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3AEF2C">
      <w:pPr>
        <w:spacing w:line="700" w:lineRule="exact"/>
        <w:jc w:val="center"/>
        <w:rPr>
          <w:rFonts w:hint="eastAsia" w:ascii="宋体" w:hAnsi="宋体" w:cs="宋体"/>
          <w:b/>
          <w:spacing w:val="20"/>
          <w:sz w:val="44"/>
          <w:szCs w:val="44"/>
        </w:rPr>
      </w:pPr>
    </w:p>
    <w:p w14:paraId="19D78338">
      <w:pPr>
        <w:pStyle w:val="2"/>
        <w:tabs>
          <w:tab w:val="left" w:pos="2020"/>
          <w:tab w:val="center" w:pos="4535"/>
        </w:tabs>
        <w:ind w:firstLine="482"/>
        <w:jc w:val="center"/>
        <w:rPr>
          <w:rFonts w:hint="eastAsia"/>
          <w:b/>
          <w:bCs/>
          <w:sz w:val="48"/>
          <w:szCs w:val="48"/>
        </w:rPr>
      </w:pPr>
    </w:p>
    <w:p w14:paraId="6BD30DCB">
      <w:pPr>
        <w:pStyle w:val="2"/>
        <w:tabs>
          <w:tab w:val="left" w:pos="2020"/>
          <w:tab w:val="center" w:pos="4535"/>
        </w:tabs>
        <w:spacing w:line="360" w:lineRule="auto"/>
        <w:ind w:firstLine="437"/>
        <w:jc w:val="center"/>
        <w:rPr>
          <w:rFonts w:hint="eastAsia"/>
          <w:b/>
          <w:bCs/>
          <w:w w:val="90"/>
          <w:sz w:val="48"/>
          <w:szCs w:val="48"/>
        </w:rPr>
      </w:pPr>
      <w:r>
        <w:rPr>
          <w:rFonts w:hint="eastAsia"/>
          <w:b/>
          <w:bCs/>
          <w:w w:val="90"/>
          <w:sz w:val="48"/>
          <w:szCs w:val="48"/>
        </w:rPr>
        <w:t>南通市市政设施管理处计量器具检定/校准</w:t>
      </w:r>
    </w:p>
    <w:p w14:paraId="2B98DBA4">
      <w:pPr>
        <w:pStyle w:val="2"/>
        <w:tabs>
          <w:tab w:val="left" w:pos="2020"/>
          <w:tab w:val="center" w:pos="4535"/>
        </w:tabs>
        <w:spacing w:line="360" w:lineRule="auto"/>
        <w:ind w:firstLine="437"/>
        <w:jc w:val="center"/>
        <w:rPr>
          <w:b/>
          <w:bCs/>
          <w:w w:val="90"/>
          <w:sz w:val="48"/>
          <w:szCs w:val="48"/>
        </w:rPr>
      </w:pPr>
      <w:r>
        <w:rPr>
          <w:rFonts w:hint="eastAsia"/>
          <w:b/>
          <w:bCs/>
          <w:w w:val="90"/>
          <w:sz w:val="48"/>
          <w:szCs w:val="48"/>
        </w:rPr>
        <w:t>采购项目</w:t>
      </w:r>
      <w:r>
        <w:rPr>
          <w:rFonts w:hint="eastAsia"/>
          <w:b/>
          <w:bCs/>
          <w:w w:val="90"/>
          <w:sz w:val="48"/>
          <w:szCs w:val="48"/>
          <w:lang w:eastAsia="zh-CN"/>
        </w:rPr>
        <w:t>（</w:t>
      </w:r>
      <w:r>
        <w:rPr>
          <w:rFonts w:hint="eastAsia"/>
          <w:b/>
          <w:bCs/>
          <w:w w:val="90"/>
          <w:sz w:val="48"/>
          <w:szCs w:val="48"/>
          <w:lang w:val="en-US" w:eastAsia="zh-CN"/>
        </w:rPr>
        <w:t>重新采购</w:t>
      </w:r>
      <w:r>
        <w:rPr>
          <w:rFonts w:hint="eastAsia"/>
          <w:b/>
          <w:bCs/>
          <w:w w:val="90"/>
          <w:sz w:val="48"/>
          <w:szCs w:val="48"/>
          <w:lang w:eastAsia="zh-CN"/>
        </w:rPr>
        <w:t>）</w:t>
      </w:r>
    </w:p>
    <w:p w14:paraId="13AEE3C5">
      <w:pPr>
        <w:pStyle w:val="7"/>
        <w:rPr>
          <w:rFonts w:hint="eastAsia" w:ascii="宋体" w:hAnsi="宋体" w:cs="宋体"/>
        </w:rPr>
      </w:pPr>
    </w:p>
    <w:p w14:paraId="31FF7C59">
      <w:pPr>
        <w:pStyle w:val="2"/>
        <w:ind w:firstLine="240"/>
        <w:rPr>
          <w:rFonts w:hint="eastAsia" w:ascii="宋体" w:hAnsi="宋体" w:cs="宋体"/>
        </w:rPr>
      </w:pPr>
    </w:p>
    <w:p w14:paraId="59CC0AE8">
      <w:pPr>
        <w:pStyle w:val="2"/>
        <w:ind w:firstLine="240"/>
        <w:rPr>
          <w:rFonts w:hint="eastAsia" w:ascii="宋体" w:hAnsi="宋体" w:cs="宋体"/>
        </w:rPr>
      </w:pPr>
    </w:p>
    <w:p w14:paraId="55345AD0">
      <w:pPr>
        <w:rPr>
          <w:rFonts w:hint="eastAsia"/>
        </w:rPr>
      </w:pPr>
    </w:p>
    <w:p w14:paraId="334739D1">
      <w:pPr>
        <w:spacing w:line="500" w:lineRule="exact"/>
        <w:jc w:val="center"/>
        <w:rPr>
          <w:rFonts w:hint="eastAsia" w:ascii="宋体" w:hAnsi="宋体" w:cs="宋体"/>
          <w:sz w:val="44"/>
          <w:szCs w:val="44"/>
        </w:rPr>
      </w:pPr>
      <w:r>
        <w:rPr>
          <w:rFonts w:hint="eastAsia" w:ascii="宋体" w:hAnsi="宋体" w:cs="宋体"/>
          <w:b/>
          <w:spacing w:val="20"/>
          <w:sz w:val="44"/>
          <w:szCs w:val="44"/>
        </w:rPr>
        <w:t>公开比选文件</w:t>
      </w:r>
    </w:p>
    <w:p w14:paraId="1AA77879">
      <w:pPr>
        <w:rPr>
          <w:rFonts w:hint="eastAsia" w:ascii="宋体" w:hAnsi="宋体" w:cs="宋体"/>
          <w:sz w:val="28"/>
          <w:szCs w:val="28"/>
        </w:rPr>
      </w:pPr>
    </w:p>
    <w:p w14:paraId="28BD2E24">
      <w:pPr>
        <w:jc w:val="center"/>
        <w:rPr>
          <w:rFonts w:hint="default" w:ascii="宋体" w:hAnsi="宋体" w:eastAsia="宋体" w:cs="宋体"/>
          <w:color w:val="auto"/>
          <w:sz w:val="40"/>
          <w:szCs w:val="40"/>
          <w:lang w:val="en-US" w:eastAsia="zh-CN"/>
        </w:rPr>
      </w:pPr>
      <w:r>
        <w:rPr>
          <w:rFonts w:hint="eastAsia" w:ascii="宋体" w:hAnsi="宋体" w:cs="宋体"/>
          <w:sz w:val="40"/>
          <w:szCs w:val="40"/>
        </w:rPr>
        <w:t>文件编号：</w:t>
      </w:r>
      <w:r>
        <w:rPr>
          <w:rFonts w:hint="eastAsia" w:ascii="宋体" w:hAnsi="宋体" w:cs="宋体"/>
          <w:color w:val="auto"/>
          <w:sz w:val="40"/>
          <w:szCs w:val="40"/>
        </w:rPr>
        <w:t>ZJJ20250</w:t>
      </w:r>
      <w:r>
        <w:rPr>
          <w:rFonts w:hint="eastAsia" w:ascii="宋体" w:hAnsi="宋体" w:cs="宋体"/>
          <w:color w:val="auto"/>
          <w:sz w:val="40"/>
          <w:szCs w:val="40"/>
          <w:lang w:val="en-US" w:eastAsia="zh-CN"/>
        </w:rPr>
        <w:t>48</w:t>
      </w:r>
    </w:p>
    <w:p w14:paraId="3D4487F8">
      <w:pPr>
        <w:rPr>
          <w:rFonts w:hint="eastAsia" w:ascii="宋体" w:hAnsi="宋体" w:cs="宋体"/>
          <w:sz w:val="28"/>
          <w:szCs w:val="28"/>
        </w:rPr>
      </w:pPr>
    </w:p>
    <w:p w14:paraId="5DD2B522">
      <w:pPr>
        <w:rPr>
          <w:rFonts w:hint="eastAsia" w:ascii="宋体" w:hAnsi="宋体" w:cs="宋体"/>
          <w:sz w:val="28"/>
          <w:szCs w:val="28"/>
        </w:rPr>
      </w:pPr>
    </w:p>
    <w:p w14:paraId="6D1D8409">
      <w:pPr>
        <w:rPr>
          <w:rFonts w:hint="eastAsia" w:ascii="宋体" w:hAnsi="宋体" w:cs="宋体"/>
          <w:sz w:val="28"/>
          <w:szCs w:val="28"/>
        </w:rPr>
      </w:pPr>
    </w:p>
    <w:p w14:paraId="75B62A98">
      <w:pPr>
        <w:rPr>
          <w:rFonts w:hint="eastAsia" w:ascii="宋体" w:hAnsi="宋体" w:cs="宋体"/>
          <w:sz w:val="28"/>
          <w:szCs w:val="28"/>
        </w:rPr>
      </w:pPr>
    </w:p>
    <w:p w14:paraId="1A7035AF">
      <w:pPr>
        <w:rPr>
          <w:rFonts w:hint="eastAsia" w:ascii="宋体" w:hAnsi="宋体" w:cs="宋体"/>
          <w:sz w:val="28"/>
          <w:szCs w:val="28"/>
        </w:rPr>
      </w:pPr>
    </w:p>
    <w:p w14:paraId="3318E0A7">
      <w:pPr>
        <w:rPr>
          <w:rFonts w:hint="eastAsia" w:ascii="宋体" w:hAnsi="宋体" w:cs="宋体"/>
          <w:sz w:val="28"/>
          <w:szCs w:val="28"/>
        </w:rPr>
      </w:pPr>
    </w:p>
    <w:p w14:paraId="580EC0C7">
      <w:pPr>
        <w:rPr>
          <w:rFonts w:hint="eastAsia" w:ascii="宋体" w:hAnsi="宋体" w:cs="宋体"/>
          <w:sz w:val="28"/>
          <w:szCs w:val="28"/>
        </w:rPr>
      </w:pPr>
    </w:p>
    <w:p w14:paraId="16F0A9C5">
      <w:pPr>
        <w:pStyle w:val="2"/>
        <w:ind w:firstLine="280"/>
        <w:rPr>
          <w:rFonts w:hint="eastAsia" w:ascii="宋体" w:hAnsi="宋体" w:cs="宋体"/>
          <w:sz w:val="28"/>
          <w:szCs w:val="28"/>
        </w:rPr>
      </w:pPr>
    </w:p>
    <w:p w14:paraId="64E1B6E0">
      <w:pPr>
        <w:pStyle w:val="2"/>
        <w:ind w:firstLine="280"/>
        <w:rPr>
          <w:rFonts w:hint="eastAsia" w:ascii="宋体" w:hAnsi="宋体" w:cs="宋体"/>
          <w:sz w:val="28"/>
          <w:szCs w:val="28"/>
        </w:rPr>
      </w:pPr>
    </w:p>
    <w:p w14:paraId="041D23BE">
      <w:pPr>
        <w:pStyle w:val="17"/>
        <w:ind w:firstLine="0" w:firstLineChars="0"/>
        <w:rPr>
          <w:rFonts w:hint="eastAsia" w:ascii="宋体" w:hAnsi="宋体" w:eastAsia="宋体" w:cs="宋体"/>
          <w:sz w:val="28"/>
          <w:szCs w:val="28"/>
        </w:rPr>
      </w:pPr>
    </w:p>
    <w:p w14:paraId="36DF4A37">
      <w:pPr>
        <w:spacing w:line="480" w:lineRule="auto"/>
        <w:jc w:val="center"/>
        <w:rPr>
          <w:rFonts w:hint="eastAsia" w:ascii="宋体" w:hAnsi="宋体" w:cs="宋体"/>
          <w:b/>
          <w:spacing w:val="20"/>
          <w:sz w:val="32"/>
          <w:szCs w:val="32"/>
        </w:rPr>
      </w:pPr>
      <w:r>
        <w:rPr>
          <w:rFonts w:hint="eastAsia" w:ascii="宋体" w:hAnsi="宋体" w:cs="宋体"/>
          <w:b/>
          <w:spacing w:val="20"/>
          <w:sz w:val="32"/>
          <w:szCs w:val="32"/>
        </w:rPr>
        <w:t>采购单位：南通市市政设施管理处</w:t>
      </w:r>
    </w:p>
    <w:p w14:paraId="35A74AAD">
      <w:pPr>
        <w:spacing w:line="480" w:lineRule="auto"/>
        <w:jc w:val="center"/>
        <w:rPr>
          <w:rFonts w:hint="eastAsia" w:ascii="宋体" w:hAnsi="宋体" w:cs="宋体"/>
          <w:b/>
          <w:spacing w:val="20"/>
          <w:sz w:val="32"/>
          <w:szCs w:val="32"/>
        </w:rPr>
      </w:pPr>
      <w:r>
        <w:rPr>
          <w:rFonts w:hint="eastAsia" w:ascii="宋体" w:hAnsi="宋体" w:cs="宋体"/>
          <w:b/>
          <w:spacing w:val="20"/>
          <w:sz w:val="32"/>
          <w:szCs w:val="32"/>
        </w:rPr>
        <w:t>二○二</w:t>
      </w:r>
      <w:r>
        <w:rPr>
          <w:rFonts w:hint="eastAsia" w:ascii="宋体" w:hAnsi="宋体" w:cs="宋体"/>
          <w:b/>
          <w:spacing w:val="20"/>
          <w:sz w:val="32"/>
          <w:szCs w:val="32"/>
          <w:lang w:val="en-US" w:eastAsia="zh-CN"/>
        </w:rPr>
        <w:t>六</w:t>
      </w:r>
      <w:r>
        <w:rPr>
          <w:rFonts w:hint="eastAsia" w:ascii="宋体" w:hAnsi="宋体" w:cs="宋体"/>
          <w:b/>
          <w:spacing w:val="20"/>
          <w:sz w:val="32"/>
          <w:szCs w:val="32"/>
        </w:rPr>
        <w:t>年</w:t>
      </w:r>
      <w:r>
        <w:rPr>
          <w:rFonts w:hint="eastAsia" w:ascii="宋体" w:hAnsi="宋体" w:cs="宋体"/>
          <w:b/>
          <w:spacing w:val="20"/>
          <w:sz w:val="32"/>
          <w:szCs w:val="32"/>
          <w:lang w:val="en-US" w:eastAsia="zh-CN"/>
        </w:rPr>
        <w:t>一</w:t>
      </w:r>
      <w:r>
        <w:rPr>
          <w:rFonts w:hint="eastAsia" w:ascii="宋体" w:hAnsi="宋体" w:cs="宋体"/>
          <w:b/>
          <w:spacing w:val="20"/>
          <w:sz w:val="32"/>
          <w:szCs w:val="32"/>
        </w:rPr>
        <w:t>月</w:t>
      </w:r>
    </w:p>
    <w:p w14:paraId="4F08F045">
      <w:pPr>
        <w:spacing w:line="500" w:lineRule="exact"/>
        <w:jc w:val="center"/>
        <w:outlineLvl w:val="0"/>
        <w:rPr>
          <w:rFonts w:hint="eastAsia" w:ascii="宋体" w:hAnsi="宋体" w:cs="宋体"/>
          <w:b/>
          <w:sz w:val="28"/>
          <w:szCs w:val="28"/>
        </w:rPr>
      </w:pPr>
    </w:p>
    <w:p w14:paraId="0B7E59A7">
      <w:pPr>
        <w:spacing w:line="500" w:lineRule="exact"/>
        <w:jc w:val="center"/>
        <w:outlineLvl w:val="0"/>
        <w:rPr>
          <w:rFonts w:hint="eastAsia" w:ascii="宋体" w:hAnsi="宋体" w:cs="宋体"/>
          <w:b/>
          <w:sz w:val="28"/>
          <w:szCs w:val="28"/>
        </w:rPr>
      </w:pPr>
    </w:p>
    <w:p w14:paraId="334F3EC5">
      <w:pPr>
        <w:spacing w:line="500" w:lineRule="exact"/>
        <w:jc w:val="center"/>
        <w:outlineLvl w:val="0"/>
        <w:rPr>
          <w:rFonts w:hint="eastAsia" w:ascii="宋体" w:hAnsi="宋体" w:cs="宋体"/>
          <w:b/>
          <w:sz w:val="28"/>
          <w:szCs w:val="28"/>
        </w:rPr>
      </w:pPr>
    </w:p>
    <w:p w14:paraId="54548235">
      <w:pPr>
        <w:spacing w:line="500" w:lineRule="exact"/>
        <w:jc w:val="center"/>
        <w:outlineLvl w:val="0"/>
        <w:rPr>
          <w:rFonts w:hint="eastAsia" w:ascii="宋体" w:hAnsi="宋体" w:cs="宋体"/>
          <w:b/>
          <w:sz w:val="32"/>
          <w:szCs w:val="32"/>
        </w:rPr>
      </w:pPr>
      <w:r>
        <w:rPr>
          <w:rFonts w:hint="eastAsia" w:ascii="宋体" w:hAnsi="宋体" w:cs="宋体"/>
          <w:b/>
          <w:sz w:val="32"/>
          <w:szCs w:val="32"/>
        </w:rPr>
        <w:t>目      录</w:t>
      </w:r>
    </w:p>
    <w:p w14:paraId="45C8A7BF">
      <w:pPr>
        <w:spacing w:line="500" w:lineRule="exact"/>
        <w:jc w:val="center"/>
        <w:rPr>
          <w:rFonts w:hint="eastAsia" w:ascii="宋体" w:hAnsi="宋体" w:cs="宋体"/>
          <w:b/>
          <w:sz w:val="32"/>
          <w:szCs w:val="32"/>
        </w:rPr>
      </w:pPr>
    </w:p>
    <w:p w14:paraId="46623079">
      <w:pPr>
        <w:tabs>
          <w:tab w:val="left" w:pos="7740"/>
        </w:tabs>
        <w:spacing w:line="500" w:lineRule="exact"/>
        <w:ind w:left="420" w:leftChars="200"/>
        <w:rPr>
          <w:rFonts w:hint="eastAsia" w:ascii="宋体" w:hAnsi="宋体" w:cs="宋体"/>
          <w:b/>
          <w:bCs/>
          <w:sz w:val="32"/>
          <w:szCs w:val="32"/>
        </w:rPr>
      </w:pPr>
      <w:r>
        <w:rPr>
          <w:rFonts w:hint="eastAsia" w:ascii="宋体" w:hAnsi="宋体" w:cs="宋体"/>
          <w:b/>
          <w:bCs/>
          <w:sz w:val="32"/>
          <w:szCs w:val="32"/>
        </w:rPr>
        <w:t>第一部分  比选公告</w:t>
      </w:r>
    </w:p>
    <w:p w14:paraId="261903DE">
      <w:pPr>
        <w:tabs>
          <w:tab w:val="left" w:pos="7740"/>
        </w:tabs>
        <w:spacing w:line="500" w:lineRule="exact"/>
        <w:ind w:left="420" w:leftChars="200"/>
        <w:rPr>
          <w:rFonts w:hint="eastAsia" w:ascii="宋体" w:hAnsi="宋体" w:cs="宋体"/>
          <w:b/>
          <w:bCs/>
          <w:sz w:val="32"/>
          <w:szCs w:val="32"/>
        </w:rPr>
      </w:pPr>
    </w:p>
    <w:p w14:paraId="4E884FFB">
      <w:pPr>
        <w:tabs>
          <w:tab w:val="left" w:pos="7740"/>
        </w:tabs>
        <w:spacing w:line="500" w:lineRule="exact"/>
        <w:ind w:left="420" w:leftChars="200"/>
        <w:rPr>
          <w:rFonts w:hint="eastAsia" w:ascii="宋体" w:hAnsi="宋体" w:cs="宋体"/>
          <w:b/>
          <w:bCs/>
          <w:sz w:val="32"/>
          <w:szCs w:val="32"/>
        </w:rPr>
      </w:pPr>
      <w:r>
        <w:rPr>
          <w:rFonts w:hint="eastAsia" w:ascii="宋体" w:hAnsi="宋体" w:cs="宋体"/>
          <w:b/>
          <w:bCs/>
          <w:sz w:val="32"/>
          <w:szCs w:val="32"/>
        </w:rPr>
        <w:t>第二部分  比选须知</w:t>
      </w:r>
    </w:p>
    <w:p w14:paraId="1A1239A1">
      <w:pPr>
        <w:tabs>
          <w:tab w:val="left" w:pos="7740"/>
        </w:tabs>
        <w:spacing w:line="500" w:lineRule="exact"/>
        <w:ind w:left="420" w:leftChars="200"/>
        <w:rPr>
          <w:rFonts w:hint="eastAsia" w:ascii="宋体" w:hAnsi="宋体" w:cs="宋体"/>
          <w:b/>
          <w:bCs/>
          <w:sz w:val="32"/>
          <w:szCs w:val="32"/>
        </w:rPr>
      </w:pPr>
    </w:p>
    <w:p w14:paraId="065C7F8A">
      <w:pPr>
        <w:tabs>
          <w:tab w:val="left" w:pos="7740"/>
        </w:tabs>
        <w:spacing w:line="500" w:lineRule="exact"/>
        <w:ind w:left="420" w:leftChars="200"/>
        <w:rPr>
          <w:rFonts w:hint="eastAsia" w:ascii="宋体" w:hAnsi="宋体" w:cs="宋体"/>
          <w:b/>
          <w:bCs/>
          <w:sz w:val="32"/>
          <w:szCs w:val="32"/>
        </w:rPr>
      </w:pPr>
      <w:r>
        <w:rPr>
          <w:rFonts w:hint="eastAsia" w:ascii="宋体" w:hAnsi="宋体" w:cs="宋体"/>
          <w:b/>
          <w:bCs/>
          <w:sz w:val="32"/>
          <w:szCs w:val="32"/>
        </w:rPr>
        <w:t>第三部分  项目需求</w:t>
      </w:r>
    </w:p>
    <w:p w14:paraId="5B9B387C">
      <w:pPr>
        <w:tabs>
          <w:tab w:val="left" w:pos="7740"/>
        </w:tabs>
        <w:spacing w:line="500" w:lineRule="exact"/>
        <w:ind w:left="420" w:leftChars="200"/>
        <w:rPr>
          <w:rFonts w:hint="eastAsia" w:ascii="宋体" w:hAnsi="宋体" w:cs="宋体"/>
          <w:b/>
          <w:bCs/>
          <w:sz w:val="32"/>
          <w:szCs w:val="32"/>
        </w:rPr>
      </w:pPr>
    </w:p>
    <w:p w14:paraId="6EB669DE">
      <w:pPr>
        <w:tabs>
          <w:tab w:val="left" w:pos="7740"/>
        </w:tabs>
        <w:spacing w:line="500" w:lineRule="exact"/>
        <w:ind w:left="420" w:leftChars="200"/>
        <w:rPr>
          <w:rFonts w:hint="eastAsia" w:ascii="宋体" w:hAnsi="宋体" w:cs="宋体"/>
          <w:b/>
          <w:bCs/>
          <w:sz w:val="32"/>
          <w:szCs w:val="32"/>
        </w:rPr>
      </w:pPr>
      <w:r>
        <w:rPr>
          <w:rFonts w:hint="eastAsia" w:ascii="宋体" w:hAnsi="宋体" w:cs="宋体"/>
          <w:b/>
          <w:bCs/>
          <w:sz w:val="32"/>
          <w:szCs w:val="32"/>
        </w:rPr>
        <w:t>第四部分  开标和评标</w:t>
      </w:r>
    </w:p>
    <w:p w14:paraId="45E779BB">
      <w:pPr>
        <w:tabs>
          <w:tab w:val="left" w:pos="7740"/>
        </w:tabs>
        <w:spacing w:line="500" w:lineRule="exact"/>
        <w:ind w:left="420" w:leftChars="200"/>
        <w:rPr>
          <w:rFonts w:hint="eastAsia" w:ascii="宋体" w:hAnsi="宋体" w:cs="宋体"/>
          <w:b/>
          <w:bCs/>
          <w:sz w:val="32"/>
          <w:szCs w:val="32"/>
        </w:rPr>
      </w:pPr>
    </w:p>
    <w:p w14:paraId="4FD4CBA0">
      <w:pPr>
        <w:tabs>
          <w:tab w:val="left" w:pos="7740"/>
        </w:tabs>
        <w:spacing w:line="500" w:lineRule="exact"/>
        <w:ind w:left="420" w:leftChars="200"/>
        <w:rPr>
          <w:rFonts w:hint="eastAsia" w:ascii="宋体" w:hAnsi="宋体" w:cs="宋体"/>
          <w:b/>
          <w:bCs/>
          <w:sz w:val="32"/>
          <w:szCs w:val="32"/>
        </w:rPr>
      </w:pPr>
      <w:r>
        <w:rPr>
          <w:rFonts w:hint="eastAsia" w:ascii="宋体" w:hAnsi="宋体" w:cs="宋体"/>
          <w:b/>
          <w:bCs/>
          <w:sz w:val="32"/>
          <w:szCs w:val="32"/>
        </w:rPr>
        <w:t>第五部分  合同主要条款</w:t>
      </w:r>
    </w:p>
    <w:p w14:paraId="53FC3CFA">
      <w:pPr>
        <w:tabs>
          <w:tab w:val="left" w:pos="7740"/>
        </w:tabs>
        <w:spacing w:line="500" w:lineRule="exact"/>
        <w:ind w:left="420" w:leftChars="200"/>
        <w:rPr>
          <w:rFonts w:hint="eastAsia" w:ascii="宋体" w:hAnsi="宋体" w:cs="宋体"/>
          <w:b/>
          <w:bCs/>
          <w:sz w:val="32"/>
          <w:szCs w:val="32"/>
        </w:rPr>
      </w:pPr>
    </w:p>
    <w:p w14:paraId="19C2199D">
      <w:pPr>
        <w:tabs>
          <w:tab w:val="left" w:pos="7740"/>
        </w:tabs>
        <w:spacing w:line="500" w:lineRule="exact"/>
        <w:ind w:left="420" w:leftChars="200"/>
        <w:rPr>
          <w:rFonts w:hint="eastAsia" w:ascii="宋体" w:hAnsi="宋体" w:cs="宋体"/>
          <w:b/>
          <w:bCs/>
          <w:sz w:val="32"/>
          <w:szCs w:val="32"/>
        </w:rPr>
      </w:pPr>
      <w:r>
        <w:rPr>
          <w:rFonts w:hint="eastAsia" w:ascii="宋体" w:hAnsi="宋体" w:cs="宋体"/>
          <w:b/>
          <w:bCs/>
          <w:sz w:val="32"/>
          <w:szCs w:val="32"/>
        </w:rPr>
        <w:t>第六部分  比选响应文件组成</w:t>
      </w:r>
    </w:p>
    <w:p w14:paraId="7246B2CD">
      <w:pPr>
        <w:spacing w:line="500" w:lineRule="exact"/>
        <w:ind w:left="420" w:leftChars="200"/>
        <w:rPr>
          <w:rFonts w:hint="eastAsia" w:ascii="宋体" w:hAnsi="宋体" w:cs="宋体"/>
          <w:b/>
          <w:sz w:val="28"/>
          <w:szCs w:val="28"/>
        </w:rPr>
      </w:pPr>
    </w:p>
    <w:p w14:paraId="00420E48">
      <w:pPr>
        <w:rPr>
          <w:rFonts w:hint="eastAsia" w:ascii="宋体" w:hAnsi="宋体" w:cs="宋体"/>
          <w:sz w:val="28"/>
          <w:szCs w:val="28"/>
        </w:rPr>
      </w:pPr>
    </w:p>
    <w:p w14:paraId="0BD0C38E">
      <w:pPr>
        <w:rPr>
          <w:rFonts w:hint="eastAsia" w:ascii="宋体" w:hAnsi="宋体" w:cs="宋体"/>
          <w:sz w:val="28"/>
          <w:szCs w:val="28"/>
        </w:rPr>
      </w:pPr>
    </w:p>
    <w:p w14:paraId="1489861F">
      <w:pPr>
        <w:rPr>
          <w:rFonts w:hint="eastAsia" w:ascii="宋体" w:hAnsi="宋体" w:cs="宋体"/>
          <w:sz w:val="28"/>
          <w:szCs w:val="28"/>
        </w:rPr>
      </w:pPr>
    </w:p>
    <w:p w14:paraId="793C6836">
      <w:pPr>
        <w:rPr>
          <w:rFonts w:hint="eastAsia" w:ascii="宋体" w:hAnsi="宋体" w:cs="宋体"/>
          <w:sz w:val="28"/>
          <w:szCs w:val="28"/>
        </w:rPr>
      </w:pPr>
    </w:p>
    <w:p w14:paraId="3E92E38D">
      <w:pPr>
        <w:rPr>
          <w:rFonts w:hint="eastAsia" w:ascii="宋体" w:hAnsi="宋体" w:cs="宋体"/>
          <w:sz w:val="28"/>
          <w:szCs w:val="28"/>
        </w:rPr>
      </w:pPr>
    </w:p>
    <w:p w14:paraId="2FFF0E77">
      <w:pPr>
        <w:rPr>
          <w:rFonts w:hint="eastAsia" w:ascii="宋体" w:hAnsi="宋体" w:cs="宋体"/>
          <w:sz w:val="28"/>
          <w:szCs w:val="28"/>
        </w:rPr>
      </w:pPr>
    </w:p>
    <w:p w14:paraId="152240A4">
      <w:pPr>
        <w:rPr>
          <w:rFonts w:hint="eastAsia" w:ascii="宋体" w:hAnsi="宋体" w:cs="宋体"/>
          <w:sz w:val="28"/>
          <w:szCs w:val="28"/>
        </w:rPr>
      </w:pPr>
    </w:p>
    <w:p w14:paraId="4A9CA44B">
      <w:pPr>
        <w:rPr>
          <w:rFonts w:hint="eastAsia" w:ascii="宋体" w:hAnsi="宋体" w:cs="宋体"/>
          <w:sz w:val="28"/>
          <w:szCs w:val="28"/>
        </w:rPr>
      </w:pPr>
    </w:p>
    <w:p w14:paraId="6608C0A6">
      <w:pPr>
        <w:rPr>
          <w:rFonts w:hint="eastAsia" w:ascii="宋体" w:hAnsi="宋体" w:cs="宋体"/>
          <w:sz w:val="28"/>
          <w:szCs w:val="28"/>
        </w:rPr>
      </w:pPr>
    </w:p>
    <w:p w14:paraId="442CEB08">
      <w:pPr>
        <w:rPr>
          <w:rFonts w:hint="eastAsia" w:ascii="宋体" w:hAnsi="宋体" w:cs="宋体"/>
          <w:sz w:val="28"/>
          <w:szCs w:val="28"/>
        </w:rPr>
      </w:pPr>
    </w:p>
    <w:p w14:paraId="7134B5A7">
      <w:pPr>
        <w:snapToGrid w:val="0"/>
        <w:spacing w:line="460" w:lineRule="exact"/>
        <w:jc w:val="center"/>
        <w:outlineLvl w:val="0"/>
        <w:rPr>
          <w:rFonts w:hint="eastAsia" w:ascii="宋体" w:hAnsi="宋体" w:cs="宋体"/>
          <w:b/>
          <w:sz w:val="36"/>
          <w:szCs w:val="36"/>
        </w:rPr>
      </w:pPr>
    </w:p>
    <w:p w14:paraId="796C4FA8">
      <w:pPr>
        <w:snapToGrid w:val="0"/>
        <w:spacing w:line="460" w:lineRule="exact"/>
        <w:jc w:val="center"/>
        <w:outlineLvl w:val="0"/>
        <w:rPr>
          <w:rFonts w:hint="eastAsia" w:ascii="宋体" w:hAnsi="宋体" w:cs="宋体"/>
          <w:b/>
          <w:sz w:val="36"/>
          <w:szCs w:val="36"/>
        </w:rPr>
      </w:pPr>
    </w:p>
    <w:p w14:paraId="705CD7E1">
      <w:pPr>
        <w:snapToGrid w:val="0"/>
        <w:spacing w:line="460" w:lineRule="exact"/>
        <w:jc w:val="center"/>
        <w:outlineLvl w:val="0"/>
        <w:rPr>
          <w:rFonts w:hint="eastAsia" w:ascii="宋体" w:hAnsi="宋体" w:cs="宋体"/>
          <w:b/>
          <w:sz w:val="36"/>
          <w:szCs w:val="36"/>
        </w:rPr>
      </w:pPr>
    </w:p>
    <w:p w14:paraId="5ABAAB2B">
      <w:pPr>
        <w:pageBreakBefore/>
        <w:snapToGrid w:val="0"/>
        <w:spacing w:line="460" w:lineRule="exact"/>
        <w:jc w:val="center"/>
        <w:outlineLvl w:val="0"/>
        <w:rPr>
          <w:rFonts w:hint="eastAsia" w:ascii="宋体" w:hAnsi="宋体" w:cs="宋体"/>
          <w:b/>
          <w:sz w:val="36"/>
          <w:szCs w:val="36"/>
        </w:rPr>
        <w:sectPr>
          <w:pgSz w:w="11905" w:h="16838"/>
          <w:pgMar w:top="1361" w:right="1304" w:bottom="1361" w:left="1361" w:header="850" w:footer="850" w:gutter="0"/>
          <w:pgNumType w:start="1"/>
          <w:cols w:space="720" w:num="1"/>
          <w:docGrid w:linePitch="286" w:charSpace="0"/>
        </w:sectPr>
      </w:pPr>
    </w:p>
    <w:p w14:paraId="24B2F0F0">
      <w:pPr>
        <w:pageBreakBefore/>
        <w:snapToGrid w:val="0"/>
        <w:spacing w:line="460" w:lineRule="exact"/>
        <w:jc w:val="center"/>
        <w:outlineLvl w:val="0"/>
        <w:rPr>
          <w:rFonts w:hint="eastAsia" w:ascii="宋体" w:hAnsi="宋体" w:cs="宋体"/>
          <w:b/>
          <w:sz w:val="28"/>
          <w:szCs w:val="28"/>
        </w:rPr>
      </w:pPr>
      <w:r>
        <w:rPr>
          <w:rFonts w:hint="eastAsia" w:ascii="宋体" w:hAnsi="宋体" w:cs="宋体"/>
          <w:b/>
          <w:sz w:val="36"/>
          <w:szCs w:val="36"/>
        </w:rPr>
        <w:t xml:space="preserve">第一部分  </w:t>
      </w:r>
      <w:bookmarkStart w:id="0" w:name="_Hlk90021805"/>
      <w:r>
        <w:rPr>
          <w:rFonts w:hint="eastAsia" w:ascii="宋体" w:hAnsi="宋体" w:cs="宋体"/>
          <w:b/>
          <w:sz w:val="36"/>
          <w:szCs w:val="36"/>
        </w:rPr>
        <w:t>比选公告</w:t>
      </w:r>
    </w:p>
    <w:p w14:paraId="0EFCF3D3">
      <w:pPr>
        <w:spacing w:line="590" w:lineRule="exact"/>
        <w:jc w:val="center"/>
        <w:rPr>
          <w:rFonts w:hint="eastAsia" w:ascii="方正公文小标宋" w:hAnsi="方正公文小标宋" w:eastAsia="方正公文小标宋" w:cs="方正公文小标宋"/>
          <w:b/>
          <w:bCs/>
          <w:color w:val="000000"/>
          <w:sz w:val="36"/>
          <w:szCs w:val="36"/>
          <w:highlight w:val="none"/>
        </w:rPr>
      </w:pPr>
    </w:p>
    <w:p w14:paraId="3396F1A3">
      <w:pPr>
        <w:pBdr>
          <w:top w:val="single" w:color="auto" w:sz="4" w:space="1"/>
          <w:left w:val="single" w:color="auto" w:sz="4" w:space="4"/>
          <w:bottom w:val="single" w:color="auto" w:sz="4" w:space="1"/>
          <w:right w:val="single" w:color="auto" w:sz="4" w:space="4"/>
        </w:pBdr>
        <w:spacing w:line="460" w:lineRule="exact"/>
        <w:ind w:firstLine="480" w:firstLineChars="200"/>
        <w:rPr>
          <w:rFonts w:hint="eastAsia" w:ascii="宋体" w:hAnsi="宋体" w:cs="宋体"/>
          <w:color w:val="auto"/>
          <w:sz w:val="24"/>
          <w:highlight w:val="none"/>
        </w:rPr>
      </w:pPr>
      <w:r>
        <w:rPr>
          <w:rFonts w:hint="eastAsia" w:ascii="宋体" w:hAnsi="宋体" w:cs="宋体"/>
          <w:sz w:val="24"/>
          <w:highlight w:val="none"/>
          <w:u w:val="single"/>
        </w:rPr>
        <w:t>南通市市政设施管理处计量器具检定/校准采购项目</w:t>
      </w:r>
      <w:r>
        <w:rPr>
          <w:rFonts w:hint="eastAsia" w:ascii="宋体" w:hAnsi="宋体" w:cs="宋体"/>
          <w:sz w:val="24"/>
          <w:highlight w:val="none"/>
          <w:u w:val="single"/>
          <w:lang w:eastAsia="zh-CN"/>
        </w:rPr>
        <w:t>（</w:t>
      </w:r>
      <w:r>
        <w:rPr>
          <w:rFonts w:hint="eastAsia" w:ascii="宋体" w:hAnsi="宋体" w:cs="宋体"/>
          <w:sz w:val="24"/>
          <w:highlight w:val="none"/>
          <w:u w:val="single"/>
          <w:lang w:val="en-US" w:eastAsia="zh-CN"/>
        </w:rPr>
        <w:t>重新采购</w:t>
      </w:r>
      <w:r>
        <w:rPr>
          <w:rFonts w:hint="eastAsia" w:ascii="宋体" w:hAnsi="宋体" w:cs="宋体"/>
          <w:sz w:val="24"/>
          <w:highlight w:val="none"/>
          <w:u w:val="single"/>
          <w:lang w:eastAsia="zh-CN"/>
        </w:rPr>
        <w:t>）</w:t>
      </w:r>
      <w:r>
        <w:rPr>
          <w:rFonts w:hint="eastAsia" w:ascii="宋体" w:hAnsi="宋体" w:cs="宋体"/>
          <w:sz w:val="24"/>
          <w:highlight w:val="none"/>
        </w:rPr>
        <w:t>的潜在供应商应在“南通市住房和城乡建设局官网”获取比选文件，并</w:t>
      </w:r>
      <w:r>
        <w:rPr>
          <w:rFonts w:hint="eastAsia" w:ascii="宋体" w:hAnsi="宋体" w:cs="宋体"/>
          <w:color w:val="auto"/>
          <w:sz w:val="24"/>
          <w:highlight w:val="none"/>
        </w:rPr>
        <w:t>于</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bCs/>
          <w:color w:val="auto"/>
          <w:sz w:val="24"/>
          <w:highlight w:val="none"/>
          <w:u w:val="single"/>
        </w:rPr>
        <w:t>年</w:t>
      </w:r>
      <w:r>
        <w:rPr>
          <w:rFonts w:hint="eastAsia" w:ascii="宋体" w:hAnsi="宋体" w:cs="宋体"/>
          <w:bCs/>
          <w:color w:val="auto"/>
          <w:sz w:val="24"/>
          <w:highlight w:val="none"/>
          <w:u w:val="single"/>
          <w:lang w:val="en-US" w:eastAsia="zh-CN"/>
        </w:rPr>
        <w:t>1</w:t>
      </w:r>
      <w:r>
        <w:rPr>
          <w:rFonts w:hint="eastAsia" w:ascii="宋体" w:hAnsi="宋体" w:cs="宋体"/>
          <w:bCs/>
          <w:color w:val="auto"/>
          <w:sz w:val="24"/>
          <w:highlight w:val="none"/>
          <w:u w:val="single"/>
        </w:rPr>
        <w:t>月</w:t>
      </w:r>
      <w:r>
        <w:rPr>
          <w:rFonts w:hint="eastAsia" w:ascii="宋体" w:hAnsi="宋体" w:cs="宋体"/>
          <w:bCs/>
          <w:color w:val="auto"/>
          <w:sz w:val="24"/>
          <w:highlight w:val="none"/>
          <w:u w:val="single"/>
          <w:lang w:val="en-US" w:eastAsia="zh-CN"/>
        </w:rPr>
        <w:t>12</w:t>
      </w:r>
      <w:r>
        <w:rPr>
          <w:rFonts w:hint="eastAsia" w:ascii="宋体" w:hAnsi="宋体" w:cs="宋体"/>
          <w:bCs/>
          <w:color w:val="auto"/>
          <w:sz w:val="24"/>
          <w:highlight w:val="none"/>
          <w:u w:val="single"/>
        </w:rPr>
        <w:t xml:space="preserve"> 日</w:t>
      </w:r>
      <w:r>
        <w:rPr>
          <w:rFonts w:hint="eastAsia" w:ascii="宋体" w:hAnsi="宋体" w:cs="宋体"/>
          <w:bCs/>
          <w:color w:val="auto"/>
          <w:sz w:val="24"/>
          <w:highlight w:val="none"/>
          <w:u w:val="single"/>
          <w:lang w:val="en-US" w:eastAsia="zh-CN"/>
        </w:rPr>
        <w:t>14</w:t>
      </w:r>
      <w:r>
        <w:rPr>
          <w:rFonts w:hint="eastAsia" w:ascii="宋体" w:hAnsi="宋体" w:cs="宋体"/>
          <w:bCs/>
          <w:color w:val="auto"/>
          <w:sz w:val="24"/>
          <w:highlight w:val="none"/>
          <w:u w:val="single"/>
        </w:rPr>
        <w:t>点30分</w:t>
      </w:r>
      <w:r>
        <w:rPr>
          <w:rFonts w:hint="eastAsia" w:ascii="宋体" w:hAnsi="宋体" w:cs="宋体"/>
          <w:bCs/>
          <w:color w:val="auto"/>
          <w:sz w:val="24"/>
          <w:highlight w:val="none"/>
        </w:rPr>
        <w:t>（北京时间）前提交响应文件</w:t>
      </w:r>
      <w:r>
        <w:rPr>
          <w:rFonts w:hint="eastAsia" w:ascii="宋体" w:hAnsi="宋体" w:cs="宋体"/>
          <w:color w:val="auto"/>
          <w:sz w:val="24"/>
          <w:highlight w:val="none"/>
        </w:rPr>
        <w:t>。</w:t>
      </w:r>
    </w:p>
    <w:p w14:paraId="17856406">
      <w:pPr>
        <w:snapToGrid w:val="0"/>
        <w:spacing w:line="480" w:lineRule="exact"/>
        <w:ind w:firstLine="555"/>
        <w:rPr>
          <w:rFonts w:hint="eastAsia" w:ascii="宋体" w:hAnsi="宋体" w:cs="宋体"/>
          <w:b/>
          <w:color w:val="auto"/>
          <w:sz w:val="24"/>
          <w:highlight w:val="none"/>
        </w:rPr>
      </w:pPr>
      <w:r>
        <w:rPr>
          <w:rFonts w:hint="eastAsia" w:ascii="宋体" w:hAnsi="宋体" w:cs="宋体"/>
          <w:b/>
          <w:color w:val="auto"/>
          <w:sz w:val="24"/>
          <w:highlight w:val="none"/>
        </w:rPr>
        <w:t>一、项目基本情况</w:t>
      </w:r>
    </w:p>
    <w:p w14:paraId="19C5650F">
      <w:pPr>
        <w:spacing w:line="48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1.项目编号：ZJJ20250</w:t>
      </w:r>
      <w:r>
        <w:rPr>
          <w:rFonts w:hint="eastAsia" w:ascii="宋体" w:hAnsi="宋体" w:cs="宋体"/>
          <w:color w:val="auto"/>
          <w:sz w:val="24"/>
          <w:highlight w:val="none"/>
          <w:lang w:val="en-US" w:eastAsia="zh-CN"/>
        </w:rPr>
        <w:t>48</w:t>
      </w:r>
    </w:p>
    <w:p w14:paraId="0CF2A51F">
      <w:pPr>
        <w:spacing w:line="48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2.项目名称：南通市市政设施管理处计量器具检定/校准采购项目</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重新采购</w:t>
      </w:r>
      <w:r>
        <w:rPr>
          <w:rFonts w:hint="eastAsia" w:ascii="宋体" w:hAnsi="宋体" w:cs="宋体"/>
          <w:color w:val="auto"/>
          <w:sz w:val="24"/>
          <w:highlight w:val="none"/>
          <w:lang w:eastAsia="zh-CN"/>
        </w:rPr>
        <w:t>）</w:t>
      </w:r>
    </w:p>
    <w:p w14:paraId="6B943B37">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3.项目类型：货物</w:t>
      </w:r>
    </w:p>
    <w:p w14:paraId="2AA3E2E4">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4.预算金额：</w:t>
      </w:r>
      <w:r>
        <w:rPr>
          <w:rFonts w:hint="eastAsia" w:ascii="宋体" w:hAnsi="宋体" w:cs="宋体"/>
          <w:color w:val="auto"/>
          <w:sz w:val="24"/>
          <w:highlight w:val="none"/>
          <w:lang w:val="en-US" w:eastAsia="zh-CN"/>
        </w:rPr>
        <w:t>3.5</w:t>
      </w:r>
      <w:r>
        <w:rPr>
          <w:rFonts w:hint="eastAsia" w:ascii="宋体" w:hAnsi="宋体" w:cs="宋体"/>
          <w:color w:val="auto"/>
          <w:sz w:val="24"/>
          <w:highlight w:val="none"/>
        </w:rPr>
        <w:t>万元</w:t>
      </w:r>
    </w:p>
    <w:p w14:paraId="134F90CD">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5.最高限价：</w:t>
      </w:r>
      <w:r>
        <w:rPr>
          <w:rFonts w:hint="eastAsia" w:ascii="宋体" w:hAnsi="宋体" w:cs="宋体"/>
          <w:color w:val="auto"/>
          <w:sz w:val="24"/>
          <w:highlight w:val="none"/>
          <w:lang w:val="en-US" w:eastAsia="zh-CN"/>
        </w:rPr>
        <w:t>见项目需求明细，</w:t>
      </w:r>
      <w:r>
        <w:rPr>
          <w:rFonts w:hint="eastAsia" w:ascii="宋体" w:hAnsi="宋体" w:cs="宋体"/>
          <w:color w:val="auto"/>
          <w:sz w:val="24"/>
          <w:highlight w:val="none"/>
        </w:rPr>
        <w:t>报价大于或等于最高限价的为无效报价。</w:t>
      </w:r>
    </w:p>
    <w:p w14:paraId="04901774">
      <w:pPr>
        <w:widowControl/>
        <w:spacing w:line="480" w:lineRule="exact"/>
        <w:ind w:firstLine="482"/>
        <w:rPr>
          <w:rFonts w:hint="eastAsia" w:ascii="宋体" w:hAnsi="宋体" w:cs="宋体"/>
          <w:sz w:val="24"/>
          <w:highlight w:val="none"/>
        </w:rPr>
      </w:pPr>
      <w:r>
        <w:rPr>
          <w:rFonts w:hint="eastAsia" w:ascii="宋体" w:hAnsi="宋体" w:cs="宋体"/>
          <w:sz w:val="24"/>
          <w:highlight w:val="none"/>
          <w:lang w:val="en-US" w:eastAsia="zh-CN"/>
        </w:rPr>
        <w:t>6</w:t>
      </w:r>
      <w:r>
        <w:rPr>
          <w:rFonts w:hint="eastAsia" w:ascii="宋体" w:hAnsi="宋体" w:cs="宋体"/>
          <w:sz w:val="24"/>
          <w:highlight w:val="none"/>
        </w:rPr>
        <w:t>.服务期限：</w:t>
      </w:r>
      <w:r>
        <w:rPr>
          <w:rFonts w:hint="eastAsia" w:ascii="宋体" w:hAnsi="宋体" w:cs="宋体"/>
          <w:sz w:val="24"/>
          <w:highlight w:val="none"/>
          <w:lang w:eastAsia="zh-CN"/>
        </w:rPr>
        <w:t>（</w:t>
      </w:r>
      <w:r>
        <w:rPr>
          <w:rFonts w:hint="eastAsia" w:ascii="宋体" w:hAnsi="宋体" w:cs="宋体"/>
          <w:sz w:val="24"/>
          <w:highlight w:val="none"/>
          <w:lang w:val="en-US" w:eastAsia="zh-CN"/>
        </w:rPr>
        <w:t>1</w:t>
      </w:r>
      <w:r>
        <w:rPr>
          <w:rFonts w:hint="eastAsia" w:ascii="宋体" w:hAnsi="宋体" w:cs="宋体"/>
          <w:sz w:val="24"/>
          <w:highlight w:val="none"/>
          <w:lang w:eastAsia="zh-CN"/>
        </w:rPr>
        <w:t>）</w:t>
      </w:r>
      <w:r>
        <w:rPr>
          <w:rFonts w:hint="eastAsia" w:ascii="宋体" w:hAnsi="宋体" w:cs="宋体"/>
          <w:sz w:val="24"/>
          <w:highlight w:val="none"/>
        </w:rPr>
        <w:t>自</w:t>
      </w:r>
      <w:r>
        <w:rPr>
          <w:rFonts w:hint="eastAsia" w:ascii="宋体" w:hAnsi="宋体" w:cs="宋体"/>
          <w:sz w:val="24"/>
          <w:highlight w:val="none"/>
          <w:lang w:val="en-US" w:eastAsia="zh-CN"/>
        </w:rPr>
        <w:t>合同签订之日</w:t>
      </w:r>
      <w:r>
        <w:rPr>
          <w:rFonts w:hint="eastAsia" w:ascii="宋体" w:hAnsi="宋体" w:cs="宋体"/>
          <w:sz w:val="24"/>
          <w:highlight w:val="none"/>
        </w:rPr>
        <w:t>起至2026年12月31日止。</w:t>
      </w:r>
      <w:r>
        <w:rPr>
          <w:rFonts w:hint="eastAsia" w:ascii="宋体" w:hAnsi="宋体" w:eastAsia="宋体" w:cs="宋体"/>
          <w:sz w:val="24"/>
          <w:szCs w:val="24"/>
          <w:highlight w:val="none"/>
        </w:rPr>
        <w:t>（2）服务期内合同结算总金额达到</w:t>
      </w:r>
      <w:r>
        <w:rPr>
          <w:rFonts w:hint="eastAsia" w:ascii="宋体" w:hAnsi="宋体" w:eastAsia="宋体" w:cs="宋体"/>
          <w:sz w:val="24"/>
          <w:szCs w:val="24"/>
          <w:highlight w:val="none"/>
          <w:lang w:val="en-US" w:eastAsia="zh-CN"/>
        </w:rPr>
        <w:t>3.5</w:t>
      </w:r>
      <w:r>
        <w:rPr>
          <w:rFonts w:hint="eastAsia" w:ascii="宋体" w:hAnsi="宋体" w:eastAsia="宋体" w:cs="宋体"/>
          <w:sz w:val="24"/>
          <w:szCs w:val="24"/>
          <w:highlight w:val="none"/>
        </w:rPr>
        <w:t>万元。以上两项条款任意一条达到期限则本</w:t>
      </w:r>
      <w:r>
        <w:rPr>
          <w:rFonts w:hint="eastAsia" w:ascii="宋体" w:hAnsi="宋体" w:eastAsia="宋体" w:cs="宋体"/>
          <w:sz w:val="24"/>
          <w:szCs w:val="24"/>
          <w:highlight w:val="none"/>
          <w:lang w:val="en-US" w:eastAsia="zh-CN"/>
        </w:rPr>
        <w:t>项目</w:t>
      </w:r>
      <w:r>
        <w:rPr>
          <w:rFonts w:hint="eastAsia" w:ascii="宋体" w:hAnsi="宋体" w:eastAsia="宋体" w:cs="宋体"/>
          <w:sz w:val="24"/>
          <w:szCs w:val="24"/>
          <w:highlight w:val="none"/>
        </w:rPr>
        <w:t>终止。</w:t>
      </w:r>
    </w:p>
    <w:p w14:paraId="0B237AEE">
      <w:pPr>
        <w:snapToGrid w:val="0"/>
        <w:spacing w:line="480" w:lineRule="exact"/>
        <w:ind w:firstLine="555"/>
        <w:rPr>
          <w:rFonts w:hint="eastAsia" w:ascii="宋体" w:hAnsi="宋体" w:cs="宋体"/>
          <w:b/>
          <w:sz w:val="24"/>
        </w:rPr>
      </w:pPr>
      <w:r>
        <w:rPr>
          <w:rFonts w:hint="eastAsia" w:ascii="宋体" w:hAnsi="宋体" w:cs="宋体"/>
          <w:b/>
          <w:sz w:val="24"/>
        </w:rPr>
        <w:t>二、</w:t>
      </w:r>
      <w:bookmarkStart w:id="1" w:name="供应商特定资质要求"/>
      <w:r>
        <w:rPr>
          <w:rFonts w:hint="eastAsia" w:ascii="宋体" w:hAnsi="宋体" w:cs="宋体"/>
          <w:b/>
          <w:sz w:val="24"/>
        </w:rPr>
        <w:t>供应商资格要求</w:t>
      </w:r>
    </w:p>
    <w:bookmarkEnd w:id="1"/>
    <w:p w14:paraId="772B6553">
      <w:pPr>
        <w:spacing w:line="480" w:lineRule="exact"/>
        <w:ind w:firstLine="480" w:firstLineChars="200"/>
        <w:rPr>
          <w:rFonts w:hint="eastAsia" w:ascii="宋体" w:hAnsi="宋体" w:cs="宋体"/>
          <w:sz w:val="24"/>
        </w:rPr>
      </w:pPr>
      <w:r>
        <w:rPr>
          <w:rFonts w:hint="eastAsia" w:ascii="宋体" w:hAnsi="宋体" w:cs="宋体"/>
          <w:sz w:val="24"/>
        </w:rPr>
        <w:t>1.满足基本要求：</w:t>
      </w:r>
    </w:p>
    <w:p w14:paraId="77C2A47F">
      <w:pPr>
        <w:spacing w:line="480" w:lineRule="exact"/>
        <w:ind w:firstLine="480" w:firstLineChars="200"/>
        <w:rPr>
          <w:rFonts w:hint="eastAsia" w:ascii="宋体" w:hAnsi="宋体" w:cs="宋体"/>
          <w:sz w:val="24"/>
          <w:lang w:val="zh-CN"/>
        </w:rPr>
      </w:pPr>
      <w:r>
        <w:rPr>
          <w:rFonts w:hint="eastAsia" w:ascii="宋体" w:hAnsi="宋体" w:cs="宋体"/>
          <w:sz w:val="24"/>
          <w:lang w:val="zh-CN"/>
        </w:rPr>
        <w:t>（1）具有独立承担民事责任的能力（</w:t>
      </w:r>
      <w:r>
        <w:rPr>
          <w:rFonts w:hint="eastAsia" w:ascii="宋体" w:hAnsi="宋体" w:cs="宋体"/>
          <w:sz w:val="24"/>
        </w:rPr>
        <w:t>提供有效的营业执照副本</w:t>
      </w:r>
      <w:r>
        <w:rPr>
          <w:rFonts w:hint="eastAsia" w:ascii="宋体" w:hAnsi="宋体" w:cs="宋体"/>
          <w:sz w:val="24"/>
          <w:lang w:val="zh-CN"/>
        </w:rPr>
        <w:t>复印件</w:t>
      </w:r>
      <w:r>
        <w:rPr>
          <w:rFonts w:hint="eastAsia" w:ascii="宋体" w:hAnsi="宋体" w:cs="宋体"/>
          <w:sz w:val="24"/>
        </w:rPr>
        <w:t>加盖公章</w:t>
      </w:r>
      <w:r>
        <w:rPr>
          <w:rFonts w:hint="eastAsia" w:ascii="宋体" w:hAnsi="宋体" w:cs="宋体"/>
          <w:sz w:val="24"/>
          <w:lang w:val="zh-CN"/>
        </w:rPr>
        <w:t>）；</w:t>
      </w:r>
    </w:p>
    <w:p w14:paraId="05FCB066">
      <w:pPr>
        <w:spacing w:line="480" w:lineRule="exact"/>
        <w:ind w:firstLine="480" w:firstLineChars="200"/>
        <w:rPr>
          <w:rFonts w:hint="eastAsia" w:ascii="宋体" w:hAnsi="宋体" w:cs="宋体"/>
          <w:sz w:val="24"/>
          <w:lang w:val="zh-CN"/>
        </w:rPr>
      </w:pP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）提供法定代表人身份证明及法定代表人本人身份证复印件；非法定代表人参加投标的，</w:t>
      </w:r>
      <w:r>
        <w:rPr>
          <w:rFonts w:hint="eastAsia" w:ascii="宋体" w:hAnsi="宋体" w:cs="宋体"/>
          <w:sz w:val="24"/>
        </w:rPr>
        <w:t>还</w:t>
      </w:r>
      <w:r>
        <w:rPr>
          <w:rFonts w:hint="eastAsia" w:ascii="宋体" w:hAnsi="宋体" w:cs="宋体"/>
          <w:sz w:val="24"/>
          <w:lang w:val="zh-CN"/>
        </w:rPr>
        <w:t>必须提供法定代表人签名或盖章的授权委托书及被授权人的身份证复印件；</w:t>
      </w:r>
    </w:p>
    <w:p w14:paraId="224EE2E7">
      <w:pPr>
        <w:spacing w:line="480" w:lineRule="exact"/>
        <w:ind w:firstLine="480" w:firstLineChars="200"/>
        <w:rPr>
          <w:rFonts w:hint="eastAsia" w:ascii="宋体" w:hAnsi="宋体" w:cs="宋体"/>
          <w:sz w:val="24"/>
          <w:lang w:val="zh-CN"/>
        </w:rPr>
      </w:pPr>
      <w:r>
        <w:rPr>
          <w:rFonts w:hint="eastAsia" w:ascii="宋体" w:hAnsi="宋体" w:cs="宋体"/>
          <w:sz w:val="24"/>
        </w:rPr>
        <w:t>（3）提供</w:t>
      </w:r>
      <w:r>
        <w:rPr>
          <w:rFonts w:hint="eastAsia" w:ascii="宋体" w:hAnsi="宋体" w:cs="宋体"/>
          <w:sz w:val="24"/>
          <w:lang w:val="zh-CN"/>
        </w:rPr>
        <w:t>无重大违法记录声明（</w:t>
      </w:r>
      <w:r>
        <w:rPr>
          <w:rFonts w:hint="eastAsia" w:ascii="宋体" w:hAnsi="宋体" w:cs="宋体"/>
          <w:sz w:val="24"/>
        </w:rPr>
        <w:t>格式详见附表</w:t>
      </w:r>
      <w:r>
        <w:rPr>
          <w:rFonts w:hint="eastAsia" w:ascii="宋体" w:hAnsi="宋体" w:cs="宋体"/>
          <w:sz w:val="24"/>
          <w:lang w:val="zh-CN"/>
        </w:rPr>
        <w:t>），未被“信用中国”网站列入失信被执行人、重大税收违法案件当事人名单、采购严重失信行为记录名单；</w:t>
      </w:r>
    </w:p>
    <w:p w14:paraId="09B7E027">
      <w:pPr>
        <w:spacing w:line="480" w:lineRule="exact"/>
        <w:ind w:firstLine="480" w:firstLineChars="200"/>
        <w:rPr>
          <w:rFonts w:hint="eastAsia"/>
          <w:sz w:val="24"/>
        </w:rPr>
      </w:pPr>
      <w:r>
        <w:rPr>
          <w:rFonts w:hint="eastAsia" w:ascii="宋体" w:hAnsi="宋体" w:cs="宋体"/>
          <w:sz w:val="24"/>
          <w:lang w:val="zh-CN"/>
        </w:rPr>
        <w:t>（</w:t>
      </w:r>
      <w:r>
        <w:rPr>
          <w:rFonts w:hint="eastAsia" w:ascii="宋体" w:hAnsi="宋体" w:cs="宋体"/>
          <w:sz w:val="24"/>
        </w:rPr>
        <w:t>4</w:t>
      </w:r>
      <w:r>
        <w:rPr>
          <w:rFonts w:hint="eastAsia" w:ascii="宋体" w:hAnsi="宋体" w:cs="宋体"/>
          <w:sz w:val="24"/>
          <w:lang w:val="zh-CN"/>
        </w:rPr>
        <w:t>）法定代表人为同一个人的两个及两个以上法人，母公司、全资子公司及其控股公司，都不得在同一采购项目相同标段中同时投标，一经发现，将视同围标处理；</w:t>
      </w:r>
    </w:p>
    <w:p w14:paraId="39C6BA24">
      <w:pPr>
        <w:spacing w:line="480" w:lineRule="exact"/>
        <w:ind w:firstLine="480" w:firstLineChars="200"/>
        <w:rPr>
          <w:rFonts w:hint="eastAsia" w:ascii="宋体" w:hAnsi="宋体" w:cs="宋体"/>
          <w:sz w:val="24"/>
          <w:highlight w:val="none"/>
          <w:lang w:val="zh-CN"/>
        </w:rPr>
      </w:pPr>
      <w:r>
        <w:rPr>
          <w:rFonts w:hint="eastAsia" w:ascii="宋体" w:hAnsi="宋体" w:cs="宋体"/>
          <w:sz w:val="24"/>
          <w:lang w:val="zh-CN"/>
        </w:rPr>
        <w:t>2.本项目的特定资格要求</w:t>
      </w:r>
      <w:r>
        <w:rPr>
          <w:rFonts w:hint="eastAsia" w:ascii="宋体" w:hAnsi="宋体" w:cs="宋体"/>
          <w:sz w:val="24"/>
          <w:highlight w:val="none"/>
          <w:lang w:val="zh-CN"/>
        </w:rPr>
        <w:t>：</w:t>
      </w:r>
      <w:r>
        <w:rPr>
          <w:rFonts w:hint="eastAsia" w:ascii="宋体" w:hAnsi="宋体" w:cs="宋体"/>
          <w:b/>
          <w:bCs/>
          <w:sz w:val="24"/>
          <w:highlight w:val="none"/>
        </w:rPr>
        <w:t>（须提供</w:t>
      </w:r>
      <w:r>
        <w:rPr>
          <w:rFonts w:hint="eastAsia" w:ascii="宋体" w:hAnsi="宋体" w:cs="宋体"/>
          <w:b/>
          <w:bCs/>
          <w:sz w:val="24"/>
          <w:highlight w:val="none"/>
          <w:lang w:val="en-US" w:eastAsia="zh-CN"/>
        </w:rPr>
        <w:t>以下</w:t>
      </w:r>
      <w:r>
        <w:rPr>
          <w:rFonts w:hint="eastAsia" w:ascii="宋体" w:hAnsi="宋体" w:cs="宋体"/>
          <w:b/>
          <w:bCs/>
          <w:sz w:val="24"/>
          <w:highlight w:val="none"/>
        </w:rPr>
        <w:t>有效资质证书的复印件或扫描件</w:t>
      </w:r>
      <w:r>
        <w:rPr>
          <w:rFonts w:hint="eastAsia" w:ascii="宋体" w:hAnsi="宋体" w:cs="宋体"/>
          <w:b/>
          <w:bCs/>
          <w:sz w:val="24"/>
          <w:highlight w:val="none"/>
          <w:lang w:eastAsia="zh-CN"/>
        </w:rPr>
        <w:t>，</w:t>
      </w:r>
      <w:r>
        <w:rPr>
          <w:rFonts w:hint="eastAsia" w:ascii="宋体" w:hAnsi="宋体" w:cs="宋体"/>
          <w:b/>
          <w:bCs/>
          <w:sz w:val="24"/>
          <w:highlight w:val="none"/>
        </w:rPr>
        <w:t>证</w:t>
      </w:r>
      <w:r>
        <w:rPr>
          <w:rFonts w:hint="eastAsia" w:ascii="宋体" w:hAnsi="宋体" w:cs="宋体"/>
          <w:b/>
          <w:bCs/>
          <w:sz w:val="24"/>
          <w:highlight w:val="none"/>
        </w:rPr>
        <w:t>书形式见项目明细表</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提供证明材料时，请将证书与表格清单顺序一一对应</w:t>
      </w:r>
      <w:r>
        <w:rPr>
          <w:rFonts w:hint="eastAsia" w:ascii="宋体" w:hAnsi="宋体" w:cs="宋体"/>
          <w:sz w:val="24"/>
          <w:highlight w:val="none"/>
        </w:rPr>
        <w:t>）</w:t>
      </w:r>
    </w:p>
    <w:p w14:paraId="11C7EB51">
      <w:pPr>
        <w:spacing w:line="480" w:lineRule="exact"/>
        <w:ind w:firstLine="480" w:firstLineChars="200"/>
        <w:rPr>
          <w:rFonts w:hint="eastAsia" w:ascii="宋体" w:hAnsi="宋体" w:cs="宋体"/>
          <w:strike/>
          <w:sz w:val="24"/>
          <w:highlight w:val="yellow"/>
          <w:lang w:eastAsia="zh-CN"/>
        </w:rPr>
      </w:pPr>
      <w:r>
        <w:rPr>
          <w:rFonts w:hint="eastAsia" w:ascii="宋体" w:hAnsi="宋体" w:cs="宋体"/>
          <w:sz w:val="24"/>
          <w:highlight w:val="none"/>
        </w:rPr>
        <w:t>供应商应具有出具相应证书的能力：具有中国合格评定国家认可委员会（CNAS）的实验室认可有效证书，具备计量校准证书出具资质；并可针对明细表内检定项目，规范出具相应检定证书</w:t>
      </w:r>
      <w:r>
        <w:rPr>
          <w:rFonts w:hint="eastAsia" w:ascii="宋体" w:hAnsi="宋体" w:cs="宋体"/>
          <w:sz w:val="24"/>
          <w:highlight w:val="none"/>
          <w:lang w:eastAsia="zh-CN"/>
        </w:rPr>
        <w:t>。</w:t>
      </w:r>
    </w:p>
    <w:p w14:paraId="09ECC0F1">
      <w:pPr>
        <w:spacing w:line="480" w:lineRule="exact"/>
        <w:ind w:firstLine="480" w:firstLineChars="200"/>
        <w:rPr>
          <w:rFonts w:hint="eastAsia" w:ascii="宋体" w:hAnsi="宋体" w:cs="宋体"/>
          <w:sz w:val="24"/>
        </w:rPr>
      </w:pPr>
      <w:r>
        <w:rPr>
          <w:rFonts w:hint="eastAsia" w:ascii="宋体" w:hAnsi="宋体" w:cs="宋体"/>
          <w:sz w:val="24"/>
          <w:lang w:val="zh-CN"/>
        </w:rPr>
        <w:t>3.本项目不接受联合体投标。</w:t>
      </w:r>
    </w:p>
    <w:p w14:paraId="314F9600">
      <w:pPr>
        <w:snapToGrid w:val="0"/>
        <w:spacing w:line="480" w:lineRule="exact"/>
        <w:ind w:firstLine="555"/>
        <w:rPr>
          <w:rFonts w:hint="eastAsia" w:ascii="宋体" w:hAnsi="宋体" w:cs="宋体"/>
          <w:b/>
          <w:sz w:val="24"/>
        </w:rPr>
      </w:pPr>
      <w:r>
        <w:rPr>
          <w:rFonts w:hint="eastAsia" w:ascii="宋体" w:hAnsi="宋体" w:cs="宋体"/>
          <w:b/>
          <w:sz w:val="24"/>
        </w:rPr>
        <w:t>三、获取采购文件</w:t>
      </w:r>
    </w:p>
    <w:p w14:paraId="628F4D71">
      <w:pPr>
        <w:spacing w:line="480" w:lineRule="exact"/>
        <w:ind w:firstLine="480" w:firstLineChars="200"/>
        <w:rPr>
          <w:rFonts w:hint="eastAsia" w:ascii="宋体" w:hAnsi="宋体" w:cs="宋体"/>
          <w:bCs/>
          <w:color w:val="auto"/>
          <w:sz w:val="24"/>
          <w:highlight w:val="yellow"/>
        </w:rPr>
      </w:pPr>
      <w:bookmarkStart w:id="2" w:name="_Toc35393632"/>
      <w:bookmarkStart w:id="3" w:name="_Toc28359015"/>
      <w:bookmarkStart w:id="4" w:name="_Toc35393801"/>
      <w:bookmarkStart w:id="5" w:name="_Toc28359092"/>
      <w:r>
        <w:rPr>
          <w:rFonts w:hint="eastAsia" w:ascii="宋体" w:hAnsi="宋体" w:cs="宋体"/>
          <w:sz w:val="24"/>
          <w:lang w:val="zh-CN"/>
        </w:rPr>
        <w:t>1、时间：</w:t>
      </w:r>
      <w:r>
        <w:rPr>
          <w:rFonts w:hint="eastAsia" w:ascii="宋体" w:hAnsi="宋体" w:cs="宋体"/>
          <w:color w:val="auto"/>
          <w:sz w:val="24"/>
        </w:rPr>
        <w:t>本采购公告发布之日至</w:t>
      </w:r>
      <w:r>
        <w:rPr>
          <w:rFonts w:hint="eastAsia" w:ascii="宋体" w:hAnsi="宋体" w:cs="宋体"/>
          <w:color w:val="auto"/>
          <w:sz w:val="24"/>
          <w:highlight w:val="none"/>
          <w:u w:val="none"/>
        </w:rPr>
        <w:t>202</w:t>
      </w:r>
      <w:r>
        <w:rPr>
          <w:rFonts w:hint="eastAsia" w:ascii="宋体" w:hAnsi="宋体" w:cs="宋体"/>
          <w:color w:val="auto"/>
          <w:sz w:val="24"/>
          <w:highlight w:val="none"/>
          <w:u w:val="none"/>
          <w:lang w:val="en-US" w:eastAsia="zh-CN"/>
        </w:rPr>
        <w:t>6</w:t>
      </w:r>
      <w:r>
        <w:rPr>
          <w:rFonts w:hint="eastAsia" w:ascii="宋体" w:hAnsi="宋体" w:cs="宋体"/>
          <w:bCs/>
          <w:color w:val="auto"/>
          <w:sz w:val="24"/>
          <w:highlight w:val="none"/>
          <w:u w:val="none"/>
        </w:rPr>
        <w:t>年</w:t>
      </w:r>
      <w:r>
        <w:rPr>
          <w:rFonts w:hint="eastAsia" w:ascii="宋体" w:hAnsi="宋体" w:cs="宋体"/>
          <w:bCs/>
          <w:color w:val="auto"/>
          <w:sz w:val="24"/>
          <w:highlight w:val="none"/>
          <w:u w:val="none"/>
          <w:lang w:val="en-US" w:eastAsia="zh-CN"/>
        </w:rPr>
        <w:t>1</w:t>
      </w:r>
      <w:r>
        <w:rPr>
          <w:rFonts w:hint="eastAsia" w:ascii="宋体" w:hAnsi="宋体" w:cs="宋体"/>
          <w:bCs/>
          <w:color w:val="auto"/>
          <w:sz w:val="24"/>
          <w:highlight w:val="none"/>
          <w:u w:val="none"/>
        </w:rPr>
        <w:t>月</w:t>
      </w:r>
      <w:r>
        <w:rPr>
          <w:rFonts w:hint="eastAsia" w:ascii="宋体" w:hAnsi="宋体" w:cs="宋体"/>
          <w:bCs/>
          <w:color w:val="auto"/>
          <w:sz w:val="24"/>
          <w:highlight w:val="none"/>
          <w:u w:val="none"/>
          <w:lang w:val="en-US" w:eastAsia="zh-CN"/>
        </w:rPr>
        <w:t>12</w:t>
      </w:r>
      <w:r>
        <w:rPr>
          <w:rFonts w:hint="eastAsia" w:ascii="宋体" w:hAnsi="宋体" w:cs="宋体"/>
          <w:bCs/>
          <w:color w:val="auto"/>
          <w:sz w:val="24"/>
          <w:highlight w:val="none"/>
          <w:u w:val="none"/>
        </w:rPr>
        <w:t xml:space="preserve"> 日</w:t>
      </w:r>
    </w:p>
    <w:p w14:paraId="19B1C05D">
      <w:pPr>
        <w:spacing w:line="480" w:lineRule="exact"/>
        <w:ind w:firstLine="480" w:firstLineChars="200"/>
        <w:rPr>
          <w:rFonts w:hint="eastAsia" w:ascii="宋体" w:hAnsi="宋体" w:cs="宋体"/>
          <w:sz w:val="24"/>
          <w:lang w:val="zh-CN"/>
        </w:rPr>
      </w:pPr>
      <w:r>
        <w:rPr>
          <w:rFonts w:hint="eastAsia" w:ascii="宋体" w:hAnsi="宋体" w:cs="宋体"/>
          <w:sz w:val="24"/>
          <w:lang w:val="zh-CN"/>
        </w:rPr>
        <w:t>2、地点：</w:t>
      </w:r>
      <w:bookmarkEnd w:id="2"/>
      <w:bookmarkEnd w:id="3"/>
      <w:bookmarkEnd w:id="4"/>
      <w:bookmarkEnd w:id="5"/>
      <w:bookmarkStart w:id="6" w:name="_Hlk127199701"/>
      <w:r>
        <w:rPr>
          <w:rFonts w:hint="eastAsia" w:ascii="宋体" w:hAnsi="宋体" w:cs="宋体"/>
          <w:sz w:val="24"/>
          <w:lang w:val="zh-CN"/>
        </w:rPr>
        <w:t>“南通市住房和城乡建设局官网（https://zj.nantong.gov.cn/）-公告公示”</w:t>
      </w:r>
    </w:p>
    <w:bookmarkEnd w:id="6"/>
    <w:p w14:paraId="04541726">
      <w:pPr>
        <w:spacing w:line="480" w:lineRule="exact"/>
        <w:ind w:firstLine="480" w:firstLineChars="200"/>
        <w:rPr>
          <w:rFonts w:hint="eastAsia" w:ascii="宋体" w:hAnsi="宋体" w:cs="宋体"/>
          <w:sz w:val="24"/>
          <w:lang w:val="zh-CN"/>
        </w:rPr>
      </w:pPr>
      <w:r>
        <w:rPr>
          <w:rFonts w:hint="eastAsia" w:ascii="宋体" w:hAnsi="宋体" w:cs="宋体"/>
          <w:sz w:val="24"/>
          <w:lang w:val="zh-CN"/>
        </w:rPr>
        <w:t>3、方式：自行下载</w:t>
      </w:r>
    </w:p>
    <w:p w14:paraId="0678D87E">
      <w:pPr>
        <w:snapToGrid w:val="0"/>
        <w:spacing w:line="480" w:lineRule="exact"/>
        <w:ind w:firstLine="555"/>
        <w:rPr>
          <w:rFonts w:hint="eastAsia" w:ascii="宋体" w:hAnsi="宋体" w:cs="宋体"/>
          <w:b/>
          <w:sz w:val="24"/>
        </w:rPr>
      </w:pPr>
      <w:r>
        <w:rPr>
          <w:rFonts w:hint="eastAsia" w:ascii="宋体" w:hAnsi="宋体" w:cs="宋体"/>
          <w:b/>
          <w:sz w:val="24"/>
        </w:rPr>
        <w:t>四、响应文件提交</w:t>
      </w:r>
    </w:p>
    <w:p w14:paraId="290B47FC">
      <w:pPr>
        <w:snapToGrid w:val="0"/>
        <w:spacing w:line="480" w:lineRule="exact"/>
        <w:ind w:left="-2" w:leftChars="-1" w:firstLine="431"/>
        <w:outlineLvl w:val="1"/>
        <w:rPr>
          <w:rFonts w:hint="eastAsia" w:ascii="宋体" w:hAnsi="宋体" w:cs="宋体"/>
          <w:bCs/>
          <w:sz w:val="24"/>
        </w:rPr>
      </w:pPr>
      <w:r>
        <w:rPr>
          <w:rFonts w:hint="eastAsia" w:ascii="宋体" w:hAnsi="宋体" w:cs="宋体"/>
          <w:bCs/>
          <w:sz w:val="24"/>
        </w:rPr>
        <w:t>1、</w:t>
      </w:r>
      <w:r>
        <w:rPr>
          <w:rFonts w:hint="eastAsia" w:ascii="宋体" w:hAnsi="宋体" w:cs="宋体"/>
          <w:sz w:val="24"/>
        </w:rPr>
        <w:t>接收人：南通市市政设施管理处</w:t>
      </w:r>
    </w:p>
    <w:p w14:paraId="759B8078">
      <w:pPr>
        <w:snapToGrid w:val="0"/>
        <w:spacing w:line="480" w:lineRule="exact"/>
        <w:ind w:left="-2" w:leftChars="-1" w:firstLine="431"/>
        <w:outlineLvl w:val="1"/>
        <w:rPr>
          <w:rFonts w:hint="eastAsia" w:ascii="宋体" w:hAnsi="宋体" w:cs="宋体"/>
          <w:color w:val="FF0000"/>
          <w:sz w:val="24"/>
        </w:rPr>
      </w:pPr>
      <w:r>
        <w:rPr>
          <w:rFonts w:hint="eastAsia" w:ascii="宋体" w:hAnsi="宋体" w:cs="宋体"/>
          <w:bCs/>
          <w:sz w:val="24"/>
        </w:rPr>
        <w:t>2、响应文件接收截止时间：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bCs/>
          <w:color w:val="auto"/>
          <w:sz w:val="24"/>
          <w:highlight w:val="none"/>
          <w:u w:val="single"/>
        </w:rPr>
        <w:t>年</w:t>
      </w:r>
      <w:r>
        <w:rPr>
          <w:rFonts w:hint="eastAsia" w:ascii="宋体" w:hAnsi="宋体" w:cs="宋体"/>
          <w:bCs/>
          <w:color w:val="auto"/>
          <w:sz w:val="24"/>
          <w:highlight w:val="none"/>
          <w:u w:val="single"/>
          <w:lang w:val="en-US" w:eastAsia="zh-CN"/>
        </w:rPr>
        <w:t>1</w:t>
      </w:r>
      <w:r>
        <w:rPr>
          <w:rFonts w:hint="eastAsia" w:ascii="宋体" w:hAnsi="宋体" w:cs="宋体"/>
          <w:bCs/>
          <w:color w:val="auto"/>
          <w:sz w:val="24"/>
          <w:highlight w:val="none"/>
          <w:u w:val="single"/>
        </w:rPr>
        <w:t>月</w:t>
      </w:r>
      <w:r>
        <w:rPr>
          <w:rFonts w:hint="eastAsia" w:ascii="宋体" w:hAnsi="宋体" w:cs="宋体"/>
          <w:bCs/>
          <w:color w:val="auto"/>
          <w:sz w:val="24"/>
          <w:highlight w:val="none"/>
          <w:u w:val="single"/>
          <w:lang w:val="en-US" w:eastAsia="zh-CN"/>
        </w:rPr>
        <w:t>12</w:t>
      </w:r>
      <w:r>
        <w:rPr>
          <w:rFonts w:hint="eastAsia" w:ascii="宋体" w:hAnsi="宋体" w:cs="宋体"/>
          <w:bCs/>
          <w:color w:val="auto"/>
          <w:sz w:val="24"/>
          <w:highlight w:val="none"/>
          <w:u w:val="single"/>
        </w:rPr>
        <w:t xml:space="preserve"> 日</w:t>
      </w:r>
      <w:r>
        <w:rPr>
          <w:rFonts w:hint="eastAsia" w:ascii="宋体" w:hAnsi="宋体" w:cs="宋体"/>
          <w:bCs/>
          <w:color w:val="auto"/>
          <w:sz w:val="24"/>
          <w:highlight w:val="none"/>
          <w:u w:val="single"/>
          <w:lang w:val="en-US" w:eastAsia="zh-CN"/>
        </w:rPr>
        <w:t>14</w:t>
      </w:r>
      <w:r>
        <w:rPr>
          <w:rFonts w:hint="eastAsia" w:ascii="宋体" w:hAnsi="宋体" w:cs="宋体"/>
          <w:bCs/>
          <w:color w:val="auto"/>
          <w:sz w:val="24"/>
          <w:highlight w:val="none"/>
          <w:u w:val="single"/>
        </w:rPr>
        <w:t>点30分</w:t>
      </w:r>
      <w:r>
        <w:rPr>
          <w:rFonts w:hint="eastAsia" w:ascii="宋体" w:hAnsi="宋体" w:cs="宋体"/>
          <w:bCs/>
          <w:color w:val="auto"/>
          <w:sz w:val="24"/>
          <w:highlight w:val="none"/>
        </w:rPr>
        <w:t>（北京时间）</w:t>
      </w:r>
    </w:p>
    <w:p w14:paraId="55C799AE">
      <w:pPr>
        <w:spacing w:line="480" w:lineRule="exact"/>
        <w:ind w:firstLine="424" w:firstLineChars="177"/>
        <w:rPr>
          <w:rFonts w:hint="eastAsia" w:ascii="宋体" w:hAnsi="宋体" w:cs="宋体"/>
          <w:bCs/>
          <w:sz w:val="24"/>
        </w:rPr>
      </w:pPr>
      <w:r>
        <w:rPr>
          <w:rFonts w:hint="eastAsia" w:ascii="宋体" w:hAnsi="宋体" w:cs="宋体"/>
          <w:bCs/>
          <w:sz w:val="24"/>
        </w:rPr>
        <w:t>3、响应文件的递交地址：南通市崇川区人民西路428号南通市市政设施管理处北楼2010开标室，如有变动另行通知。</w:t>
      </w:r>
    </w:p>
    <w:p w14:paraId="099D32FF">
      <w:pPr>
        <w:spacing w:line="480" w:lineRule="exact"/>
        <w:ind w:firstLine="482" w:firstLineChars="200"/>
        <w:rPr>
          <w:rFonts w:ascii="宋体" w:cs="宋体"/>
          <w:b/>
          <w:bCs/>
          <w:sz w:val="24"/>
        </w:rPr>
      </w:pPr>
      <w:r>
        <w:rPr>
          <w:rFonts w:hint="eastAsia" w:ascii="宋体" w:cs="宋体"/>
          <w:b/>
          <w:bCs/>
          <w:sz w:val="24"/>
        </w:rPr>
        <w:t>五</w:t>
      </w:r>
      <w:r>
        <w:rPr>
          <w:rFonts w:ascii="宋体" w:cs="宋体"/>
          <w:b/>
          <w:bCs/>
          <w:sz w:val="24"/>
        </w:rPr>
        <w:t>、</w:t>
      </w:r>
      <w:r>
        <w:rPr>
          <w:rFonts w:hint="eastAsia" w:ascii="宋体" w:cs="宋体"/>
          <w:b/>
          <w:bCs/>
          <w:sz w:val="24"/>
        </w:rPr>
        <w:t xml:space="preserve">开标 </w:t>
      </w:r>
    </w:p>
    <w:p w14:paraId="35E966A9">
      <w:pPr>
        <w:snapToGrid w:val="0"/>
        <w:spacing w:line="480" w:lineRule="exact"/>
        <w:ind w:left="-2" w:leftChars="-1" w:firstLine="431"/>
        <w:outlineLvl w:val="1"/>
        <w:rPr>
          <w:rFonts w:cs="宋体"/>
          <w:sz w:val="24"/>
          <w:u w:val="thick" w:color="FF0000"/>
        </w:rPr>
      </w:pPr>
      <w:r>
        <w:rPr>
          <w:rFonts w:hint="eastAsia" w:cs="宋体"/>
          <w:kern w:val="0"/>
          <w:sz w:val="24"/>
        </w:rPr>
        <w:t>1、时间：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bCs/>
          <w:color w:val="auto"/>
          <w:sz w:val="24"/>
          <w:highlight w:val="none"/>
          <w:u w:val="single"/>
        </w:rPr>
        <w:t>年</w:t>
      </w:r>
      <w:r>
        <w:rPr>
          <w:rFonts w:hint="eastAsia" w:ascii="宋体" w:hAnsi="宋体" w:cs="宋体"/>
          <w:bCs/>
          <w:color w:val="auto"/>
          <w:sz w:val="24"/>
          <w:highlight w:val="none"/>
          <w:u w:val="single"/>
          <w:lang w:val="en-US" w:eastAsia="zh-CN"/>
        </w:rPr>
        <w:t>1</w:t>
      </w:r>
      <w:r>
        <w:rPr>
          <w:rFonts w:hint="eastAsia" w:ascii="宋体" w:hAnsi="宋体" w:cs="宋体"/>
          <w:bCs/>
          <w:color w:val="auto"/>
          <w:sz w:val="24"/>
          <w:highlight w:val="none"/>
          <w:u w:val="single"/>
        </w:rPr>
        <w:t>月</w:t>
      </w:r>
      <w:r>
        <w:rPr>
          <w:rFonts w:hint="eastAsia" w:ascii="宋体" w:hAnsi="宋体" w:cs="宋体"/>
          <w:bCs/>
          <w:color w:val="auto"/>
          <w:sz w:val="24"/>
          <w:highlight w:val="none"/>
          <w:u w:val="single"/>
          <w:lang w:val="en-US" w:eastAsia="zh-CN"/>
        </w:rPr>
        <w:t>12</w:t>
      </w:r>
      <w:r>
        <w:rPr>
          <w:rFonts w:hint="eastAsia" w:ascii="宋体" w:hAnsi="宋体" w:cs="宋体"/>
          <w:bCs/>
          <w:color w:val="auto"/>
          <w:sz w:val="24"/>
          <w:highlight w:val="none"/>
          <w:u w:val="single"/>
        </w:rPr>
        <w:t xml:space="preserve"> 日</w:t>
      </w:r>
      <w:r>
        <w:rPr>
          <w:rFonts w:hint="eastAsia" w:ascii="宋体" w:hAnsi="宋体" w:cs="宋体"/>
          <w:bCs/>
          <w:color w:val="auto"/>
          <w:sz w:val="24"/>
          <w:highlight w:val="none"/>
          <w:u w:val="single"/>
          <w:lang w:val="en-US" w:eastAsia="zh-CN"/>
        </w:rPr>
        <w:t>14</w:t>
      </w:r>
      <w:r>
        <w:rPr>
          <w:rFonts w:hint="eastAsia" w:ascii="宋体" w:hAnsi="宋体" w:cs="宋体"/>
          <w:bCs/>
          <w:color w:val="auto"/>
          <w:sz w:val="24"/>
          <w:highlight w:val="none"/>
          <w:u w:val="single"/>
        </w:rPr>
        <w:t>点30分</w:t>
      </w:r>
      <w:r>
        <w:rPr>
          <w:rFonts w:hint="eastAsia" w:ascii="宋体" w:hAnsi="宋体" w:cs="宋体"/>
          <w:bCs/>
          <w:color w:val="auto"/>
          <w:sz w:val="24"/>
          <w:highlight w:val="none"/>
        </w:rPr>
        <w:t>（北京时间）</w:t>
      </w:r>
    </w:p>
    <w:p w14:paraId="5889822C">
      <w:pPr>
        <w:spacing w:line="480" w:lineRule="exact"/>
        <w:ind w:firstLine="424" w:firstLineChars="177"/>
        <w:rPr>
          <w:rFonts w:cs="宋体"/>
          <w:bCs/>
          <w:sz w:val="24"/>
        </w:rPr>
      </w:pPr>
      <w:r>
        <w:rPr>
          <w:rFonts w:hint="eastAsia" w:cs="宋体"/>
          <w:kern w:val="0"/>
          <w:sz w:val="24"/>
        </w:rPr>
        <w:t>2、地点：</w:t>
      </w:r>
      <w:r>
        <w:rPr>
          <w:rFonts w:hint="eastAsia" w:cs="宋体"/>
          <w:bCs/>
          <w:sz w:val="24"/>
        </w:rPr>
        <w:t>南通市崇川区人民西路428号南通市市政设施管理处北楼2010开标室，如有变动另行通知。</w:t>
      </w:r>
    </w:p>
    <w:p w14:paraId="1F0640CE">
      <w:pPr>
        <w:adjustRightInd w:val="0"/>
        <w:snapToGrid w:val="0"/>
        <w:spacing w:line="480" w:lineRule="exact"/>
        <w:ind w:firstLine="482" w:firstLineChars="200"/>
        <w:rPr>
          <w:rFonts w:ascii="宋体"/>
          <w:b/>
          <w:sz w:val="24"/>
        </w:rPr>
      </w:pPr>
      <w:r>
        <w:rPr>
          <w:rFonts w:hint="eastAsia" w:ascii="宋体"/>
          <w:b/>
          <w:sz w:val="24"/>
        </w:rPr>
        <w:t>六</w:t>
      </w:r>
      <w:r>
        <w:rPr>
          <w:rFonts w:ascii="宋体"/>
          <w:b/>
          <w:sz w:val="24"/>
        </w:rPr>
        <w:t>、公告期限</w:t>
      </w:r>
    </w:p>
    <w:p w14:paraId="4EE6547C">
      <w:pPr>
        <w:adjustRightInd w:val="0"/>
        <w:snapToGrid w:val="0"/>
        <w:spacing w:line="480" w:lineRule="exact"/>
        <w:ind w:firstLine="480" w:firstLineChars="200"/>
        <w:rPr>
          <w:rFonts w:ascii="宋体"/>
          <w:sz w:val="24"/>
        </w:rPr>
      </w:pPr>
      <w:r>
        <w:rPr>
          <w:rFonts w:hint="eastAsia" w:ascii="宋体"/>
          <w:sz w:val="24"/>
        </w:rPr>
        <w:t>1、</w:t>
      </w:r>
      <w:r>
        <w:rPr>
          <w:rFonts w:ascii="宋体"/>
          <w:sz w:val="24"/>
        </w:rPr>
        <w:t>自本公告发布之日起</w:t>
      </w:r>
      <w:r>
        <w:rPr>
          <w:rFonts w:hint="eastAsia" w:ascii="宋体"/>
          <w:sz w:val="24"/>
        </w:rPr>
        <w:t>至</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bCs/>
          <w:color w:val="auto"/>
          <w:sz w:val="24"/>
          <w:highlight w:val="none"/>
          <w:u w:val="single"/>
        </w:rPr>
        <w:t>年</w:t>
      </w:r>
      <w:r>
        <w:rPr>
          <w:rFonts w:hint="eastAsia" w:ascii="宋体" w:hAnsi="宋体" w:cs="宋体"/>
          <w:bCs/>
          <w:color w:val="auto"/>
          <w:sz w:val="24"/>
          <w:highlight w:val="none"/>
          <w:u w:val="single"/>
          <w:lang w:val="en-US" w:eastAsia="zh-CN"/>
        </w:rPr>
        <w:t>1</w:t>
      </w:r>
      <w:r>
        <w:rPr>
          <w:rFonts w:hint="eastAsia" w:ascii="宋体" w:hAnsi="宋体" w:cs="宋体"/>
          <w:bCs/>
          <w:color w:val="auto"/>
          <w:sz w:val="24"/>
          <w:highlight w:val="none"/>
          <w:u w:val="single"/>
        </w:rPr>
        <w:t>月</w:t>
      </w:r>
      <w:r>
        <w:rPr>
          <w:rFonts w:hint="eastAsia" w:ascii="宋体" w:hAnsi="宋体" w:cs="宋体"/>
          <w:bCs/>
          <w:color w:val="auto"/>
          <w:sz w:val="24"/>
          <w:highlight w:val="none"/>
          <w:u w:val="single"/>
          <w:lang w:val="en-US" w:eastAsia="zh-CN"/>
        </w:rPr>
        <w:t>12</w:t>
      </w:r>
      <w:r>
        <w:rPr>
          <w:rFonts w:hint="eastAsia" w:ascii="宋体" w:hAnsi="宋体" w:cs="宋体"/>
          <w:bCs/>
          <w:color w:val="auto"/>
          <w:sz w:val="24"/>
          <w:highlight w:val="none"/>
          <w:u w:val="single"/>
        </w:rPr>
        <w:t xml:space="preserve"> 日</w:t>
      </w:r>
      <w:r>
        <w:rPr>
          <w:rFonts w:hint="eastAsia" w:ascii="宋体" w:hAnsi="宋体" w:cs="宋体"/>
          <w:bCs/>
          <w:color w:val="auto"/>
          <w:sz w:val="24"/>
          <w:highlight w:val="none"/>
          <w:u w:val="single"/>
          <w:lang w:val="en-US" w:eastAsia="zh-CN"/>
        </w:rPr>
        <w:t>14</w:t>
      </w:r>
      <w:r>
        <w:rPr>
          <w:rFonts w:hint="eastAsia" w:ascii="宋体" w:hAnsi="宋体" w:cs="宋体"/>
          <w:bCs/>
          <w:color w:val="auto"/>
          <w:sz w:val="24"/>
          <w:highlight w:val="none"/>
          <w:u w:val="single"/>
        </w:rPr>
        <w:t>点30分</w:t>
      </w:r>
      <w:r>
        <w:rPr>
          <w:rFonts w:hint="eastAsia" w:ascii="宋体" w:hAnsi="宋体" w:cs="宋体"/>
          <w:bCs/>
          <w:color w:val="auto"/>
          <w:sz w:val="24"/>
          <w:highlight w:val="none"/>
        </w:rPr>
        <w:t>（北京时间）</w:t>
      </w:r>
      <w:r>
        <w:rPr>
          <w:rFonts w:ascii="宋体"/>
          <w:sz w:val="24"/>
        </w:rPr>
        <w:t>。</w:t>
      </w:r>
    </w:p>
    <w:p w14:paraId="552693E6">
      <w:pPr>
        <w:snapToGrid w:val="0"/>
        <w:spacing w:line="480" w:lineRule="exact"/>
        <w:ind w:firstLine="480" w:firstLineChars="200"/>
        <w:rPr>
          <w:rFonts w:ascii="宋体" w:cs="宋体"/>
          <w:sz w:val="24"/>
        </w:rPr>
      </w:pPr>
      <w:r>
        <w:rPr>
          <w:rFonts w:ascii="宋体" w:cs="宋体"/>
          <w:sz w:val="24"/>
        </w:rPr>
        <w:t>2</w:t>
      </w:r>
      <w:r>
        <w:rPr>
          <w:rFonts w:hint="eastAsia" w:ascii="宋体" w:cs="宋体"/>
          <w:sz w:val="24"/>
        </w:rPr>
        <w:t>、本次采购的有关信息将在“南通市住房和城乡建设局官网”上发布，敬请留意。</w:t>
      </w:r>
    </w:p>
    <w:p w14:paraId="2BCF1DCD">
      <w:pPr>
        <w:snapToGrid w:val="0"/>
        <w:spacing w:line="480" w:lineRule="exact"/>
        <w:ind w:firstLine="480" w:firstLineChars="200"/>
        <w:rPr>
          <w:rFonts w:ascii="宋体" w:cs="宋体"/>
          <w:sz w:val="24"/>
        </w:rPr>
      </w:pPr>
      <w:r>
        <w:rPr>
          <w:rFonts w:ascii="宋体" w:cs="宋体"/>
          <w:sz w:val="24"/>
        </w:rPr>
        <w:t>3</w:t>
      </w:r>
      <w:r>
        <w:rPr>
          <w:rFonts w:hint="eastAsia" w:ascii="宋体" w:cs="宋体"/>
          <w:sz w:val="24"/>
        </w:rPr>
        <w:t>、潜在供应商在获取本次采购文件后，认真阅读各项内容。有意愿参与本项目投标响应的供应商须进行必要准备工作，按采购文件的要求详细填写和编制响应文件，并按采购文件确定的时间、地点准时参加本项目的采购活动。</w:t>
      </w:r>
    </w:p>
    <w:p w14:paraId="38BC696D">
      <w:pPr>
        <w:adjustRightInd w:val="0"/>
        <w:snapToGrid w:val="0"/>
        <w:spacing w:line="480" w:lineRule="exact"/>
        <w:ind w:firstLine="482" w:firstLineChars="200"/>
        <w:rPr>
          <w:rFonts w:ascii="宋体"/>
          <w:b/>
          <w:sz w:val="24"/>
        </w:rPr>
      </w:pPr>
      <w:r>
        <w:rPr>
          <w:rFonts w:hint="eastAsia" w:ascii="宋体"/>
          <w:b/>
          <w:sz w:val="24"/>
        </w:rPr>
        <w:t>七</w:t>
      </w:r>
      <w:r>
        <w:rPr>
          <w:rFonts w:ascii="宋体"/>
          <w:b/>
          <w:sz w:val="24"/>
        </w:rPr>
        <w:t>、其他补充事宜</w:t>
      </w:r>
    </w:p>
    <w:p w14:paraId="39CAD3D8">
      <w:pPr>
        <w:adjustRightInd w:val="0"/>
        <w:snapToGrid w:val="0"/>
        <w:spacing w:line="480" w:lineRule="exact"/>
        <w:ind w:firstLine="480" w:firstLineChars="200"/>
        <w:rPr>
          <w:rFonts w:ascii="宋体"/>
          <w:sz w:val="24"/>
        </w:rPr>
      </w:pPr>
      <w:r>
        <w:rPr>
          <w:rFonts w:ascii="宋体"/>
          <w:sz w:val="24"/>
        </w:rPr>
        <w:t>1</w:t>
      </w:r>
      <w:r>
        <w:rPr>
          <w:rFonts w:hint="eastAsia" w:ascii="宋体"/>
          <w:sz w:val="24"/>
        </w:rPr>
        <w:t>、</w:t>
      </w:r>
      <w:r>
        <w:rPr>
          <w:rFonts w:ascii="宋体"/>
          <w:sz w:val="24"/>
        </w:rPr>
        <w:t>投标保证金：免收</w:t>
      </w:r>
    </w:p>
    <w:p w14:paraId="4F96AB9C">
      <w:pPr>
        <w:adjustRightInd w:val="0"/>
        <w:snapToGrid w:val="0"/>
        <w:spacing w:line="480" w:lineRule="exact"/>
        <w:ind w:firstLine="480" w:firstLineChars="200"/>
        <w:rPr>
          <w:rFonts w:ascii="宋体"/>
          <w:sz w:val="24"/>
        </w:rPr>
      </w:pPr>
      <w:r>
        <w:rPr>
          <w:rFonts w:ascii="宋体"/>
          <w:sz w:val="24"/>
        </w:rPr>
        <w:t>2</w:t>
      </w:r>
      <w:r>
        <w:rPr>
          <w:rFonts w:hint="eastAsia" w:ascii="宋体"/>
          <w:sz w:val="24"/>
        </w:rPr>
        <w:t>、</w:t>
      </w:r>
      <w:r>
        <w:rPr>
          <w:rFonts w:ascii="宋体"/>
          <w:sz w:val="24"/>
        </w:rPr>
        <w:t>项目</w:t>
      </w:r>
      <w:r>
        <w:rPr>
          <w:rFonts w:hint="eastAsia" w:ascii="宋体"/>
          <w:sz w:val="24"/>
        </w:rPr>
        <w:t>采购</w:t>
      </w:r>
      <w:r>
        <w:rPr>
          <w:rFonts w:ascii="宋体"/>
          <w:sz w:val="24"/>
        </w:rPr>
        <w:t>活动模式：</w:t>
      </w:r>
      <w:r>
        <w:rPr>
          <w:rFonts w:hint="eastAsia" w:ascii="宋体"/>
          <w:sz w:val="24"/>
        </w:rPr>
        <w:t>现场</w:t>
      </w:r>
      <w:r>
        <w:rPr>
          <w:rFonts w:ascii="宋体"/>
          <w:sz w:val="24"/>
        </w:rPr>
        <w:t>模式。</w:t>
      </w:r>
    </w:p>
    <w:p w14:paraId="45624AE0">
      <w:pPr>
        <w:adjustRightInd w:val="0"/>
        <w:snapToGrid w:val="0"/>
        <w:spacing w:line="480" w:lineRule="exact"/>
        <w:ind w:firstLine="480" w:firstLineChars="200"/>
        <w:rPr>
          <w:rFonts w:ascii="宋体"/>
          <w:sz w:val="24"/>
        </w:rPr>
      </w:pPr>
      <w:r>
        <w:rPr>
          <w:rFonts w:ascii="宋体"/>
          <w:sz w:val="24"/>
        </w:rPr>
        <w:t>3</w:t>
      </w:r>
      <w:r>
        <w:rPr>
          <w:rFonts w:hint="eastAsia" w:ascii="宋体"/>
          <w:sz w:val="24"/>
        </w:rPr>
        <w:t>、</w:t>
      </w:r>
      <w:r>
        <w:rPr>
          <w:rFonts w:ascii="宋体"/>
          <w:sz w:val="24"/>
        </w:rPr>
        <w:t>项目演示、样品、答辩等（如有请描述）：</w:t>
      </w:r>
      <w:r>
        <w:rPr>
          <w:rFonts w:hint="eastAsia" w:ascii="宋体"/>
          <w:sz w:val="24"/>
        </w:rPr>
        <w:t>无</w:t>
      </w:r>
    </w:p>
    <w:p w14:paraId="1C088F50">
      <w:pPr>
        <w:adjustRightInd w:val="0"/>
        <w:snapToGrid w:val="0"/>
        <w:spacing w:line="480" w:lineRule="exact"/>
        <w:ind w:firstLine="480" w:firstLineChars="200"/>
        <w:rPr>
          <w:rFonts w:ascii="宋体"/>
          <w:sz w:val="24"/>
        </w:rPr>
      </w:pPr>
      <w:r>
        <w:rPr>
          <w:rFonts w:ascii="宋体"/>
          <w:sz w:val="24"/>
        </w:rPr>
        <w:t>4</w:t>
      </w:r>
      <w:r>
        <w:rPr>
          <w:rFonts w:hint="eastAsia" w:ascii="宋体"/>
          <w:sz w:val="24"/>
        </w:rPr>
        <w:t>、</w:t>
      </w:r>
      <w:r>
        <w:rPr>
          <w:rFonts w:ascii="宋体"/>
          <w:sz w:val="24"/>
        </w:rPr>
        <w:t>对项目需求部分（供应商资格要求、项目需求）的询问、质疑请向采购人提出，由采购人负责答复；对项目</w:t>
      </w:r>
      <w:r>
        <w:rPr>
          <w:rFonts w:hint="eastAsia" w:ascii="宋体"/>
          <w:sz w:val="24"/>
        </w:rPr>
        <w:t>采购</w:t>
      </w:r>
      <w:r>
        <w:rPr>
          <w:rFonts w:ascii="宋体"/>
          <w:sz w:val="24"/>
        </w:rPr>
        <w:t>文件其它部分的询问请向</w:t>
      </w:r>
      <w:r>
        <w:rPr>
          <w:rFonts w:hint="eastAsia" w:ascii="宋体"/>
          <w:sz w:val="24"/>
        </w:rPr>
        <w:t>采购</w:t>
      </w:r>
      <w:r>
        <w:rPr>
          <w:rFonts w:ascii="宋体"/>
          <w:sz w:val="24"/>
        </w:rPr>
        <w:t>文件制作人或项目</w:t>
      </w:r>
      <w:r>
        <w:rPr>
          <w:rFonts w:hint="eastAsia" w:ascii="宋体"/>
          <w:sz w:val="24"/>
        </w:rPr>
        <w:t>采购</w:t>
      </w:r>
      <w:r>
        <w:rPr>
          <w:rFonts w:ascii="宋体"/>
          <w:sz w:val="24"/>
        </w:rPr>
        <w:t>经办人提出。</w:t>
      </w:r>
    </w:p>
    <w:p w14:paraId="27DB3733">
      <w:pPr>
        <w:adjustRightInd w:val="0"/>
        <w:snapToGrid w:val="0"/>
        <w:spacing w:line="480" w:lineRule="exact"/>
        <w:ind w:firstLine="480" w:firstLineChars="200"/>
        <w:rPr>
          <w:rFonts w:ascii="宋体"/>
          <w:sz w:val="24"/>
        </w:rPr>
      </w:pPr>
      <w:r>
        <w:rPr>
          <w:rFonts w:ascii="宋体"/>
          <w:sz w:val="24"/>
        </w:rPr>
        <w:t>5</w:t>
      </w:r>
      <w:r>
        <w:rPr>
          <w:rFonts w:hint="eastAsia" w:ascii="宋体"/>
          <w:sz w:val="24"/>
        </w:rPr>
        <w:t>、</w:t>
      </w:r>
      <w:r>
        <w:rPr>
          <w:rFonts w:ascii="宋体"/>
          <w:sz w:val="24"/>
        </w:rPr>
        <w:t>供应商应依照规定提交各类声明函、承诺函，不再同时提供原件备查或提供有关部门出具的相关证明文件。但成交供应商应做好提交声明函、承诺函相应原件的核查准备</w:t>
      </w:r>
      <w:r>
        <w:rPr>
          <w:rFonts w:hint="eastAsia" w:ascii="宋体"/>
          <w:sz w:val="24"/>
        </w:rPr>
        <w:t>，</w:t>
      </w:r>
      <w:r>
        <w:rPr>
          <w:rFonts w:ascii="宋体"/>
          <w:sz w:val="24"/>
        </w:rPr>
        <w:t>核查后发现虚假或违背承诺的，依照相关法律法规规定处理。</w:t>
      </w:r>
    </w:p>
    <w:p w14:paraId="26A9579C">
      <w:pPr>
        <w:widowControl/>
        <w:shd w:val="clear" w:color="auto" w:fill="FFFFFF"/>
        <w:adjustRightInd w:val="0"/>
        <w:snapToGrid w:val="0"/>
        <w:spacing w:line="480" w:lineRule="exact"/>
        <w:ind w:firstLine="510" w:firstLineChars="200"/>
        <w:rPr>
          <w:rFonts w:ascii="宋体"/>
          <w:b/>
          <w:spacing w:val="7"/>
          <w:kern w:val="0"/>
          <w:sz w:val="24"/>
        </w:rPr>
      </w:pPr>
      <w:r>
        <w:rPr>
          <w:rFonts w:hint="eastAsia" w:ascii="宋体"/>
          <w:b/>
          <w:spacing w:val="7"/>
          <w:kern w:val="0"/>
          <w:sz w:val="24"/>
        </w:rPr>
        <w:t>八</w:t>
      </w:r>
      <w:r>
        <w:rPr>
          <w:rFonts w:ascii="宋体"/>
          <w:b/>
          <w:spacing w:val="7"/>
          <w:kern w:val="0"/>
          <w:sz w:val="24"/>
        </w:rPr>
        <w:t>、凡对本次采购提出询问，请按以下方式联系。</w:t>
      </w:r>
    </w:p>
    <w:p w14:paraId="3E0E4593">
      <w:pPr>
        <w:adjustRightInd w:val="0"/>
        <w:snapToGrid w:val="0"/>
        <w:spacing w:line="480" w:lineRule="exact"/>
        <w:ind w:firstLine="480" w:firstLineChars="200"/>
        <w:rPr>
          <w:rFonts w:ascii="宋体"/>
          <w:sz w:val="24"/>
        </w:rPr>
      </w:pPr>
      <w:r>
        <w:rPr>
          <w:rFonts w:ascii="宋体"/>
          <w:sz w:val="24"/>
        </w:rPr>
        <w:t>采购人信息</w:t>
      </w:r>
    </w:p>
    <w:p w14:paraId="72E7E781">
      <w:pPr>
        <w:widowControl/>
        <w:shd w:val="clear" w:color="auto" w:fill="FFFFFF"/>
        <w:adjustRightInd w:val="0"/>
        <w:snapToGrid w:val="0"/>
        <w:spacing w:line="480" w:lineRule="exact"/>
        <w:ind w:firstLine="480" w:firstLineChars="200"/>
        <w:jc w:val="left"/>
        <w:rPr>
          <w:rFonts w:ascii="宋体"/>
          <w:sz w:val="24"/>
        </w:rPr>
      </w:pPr>
      <w:r>
        <w:rPr>
          <w:rFonts w:ascii="宋体"/>
          <w:sz w:val="24"/>
        </w:rPr>
        <w:t>名</w:t>
      </w:r>
      <w:r>
        <w:rPr>
          <w:rFonts w:hint="eastAsia" w:ascii="宋体"/>
          <w:sz w:val="24"/>
        </w:rPr>
        <w:t>称：南通市市政设施管理处　　　　　　　　　　　　</w:t>
      </w:r>
    </w:p>
    <w:p w14:paraId="5F6A4A26">
      <w:pPr>
        <w:widowControl/>
        <w:shd w:val="clear" w:color="auto" w:fill="FFFFFF"/>
        <w:adjustRightInd w:val="0"/>
        <w:snapToGrid w:val="0"/>
        <w:spacing w:line="480" w:lineRule="exact"/>
        <w:ind w:firstLine="480" w:firstLineChars="200"/>
        <w:jc w:val="left"/>
        <w:rPr>
          <w:kern w:val="0"/>
          <w:sz w:val="24"/>
        </w:rPr>
      </w:pPr>
      <w:r>
        <w:rPr>
          <w:rFonts w:hint="eastAsia" w:ascii="宋体"/>
          <w:sz w:val="24"/>
        </w:rPr>
        <w:t>地址：</w:t>
      </w:r>
      <w:r>
        <w:rPr>
          <w:rFonts w:hint="eastAsia"/>
          <w:kern w:val="0"/>
          <w:sz w:val="24"/>
        </w:rPr>
        <w:t>江苏省南通市崇川区人民西路428号</w:t>
      </w:r>
    </w:p>
    <w:p w14:paraId="276AA7B7">
      <w:pPr>
        <w:widowControl/>
        <w:shd w:val="clear" w:color="auto" w:fill="FFFFFF"/>
        <w:adjustRightInd w:val="0"/>
        <w:snapToGrid w:val="0"/>
        <w:spacing w:line="480" w:lineRule="exact"/>
        <w:ind w:firstLine="480" w:firstLineChars="200"/>
        <w:jc w:val="left"/>
        <w:rPr>
          <w:rFonts w:ascii="宋体"/>
          <w:sz w:val="24"/>
        </w:rPr>
      </w:pPr>
      <w:r>
        <w:rPr>
          <w:rFonts w:hint="eastAsia" w:ascii="宋体"/>
          <w:sz w:val="24"/>
        </w:rPr>
        <w:t>联系人：</w:t>
      </w:r>
      <w:r>
        <w:rPr>
          <w:rFonts w:hint="eastAsia"/>
          <w:kern w:val="0"/>
          <w:sz w:val="24"/>
        </w:rPr>
        <w:t>许女士</w:t>
      </w:r>
      <w:r>
        <w:rPr>
          <w:rFonts w:hint="eastAsia" w:ascii="宋体"/>
          <w:sz w:val="24"/>
        </w:rPr>
        <w:t>　　　　　　　　　</w:t>
      </w:r>
    </w:p>
    <w:p w14:paraId="50427DA1">
      <w:pPr>
        <w:widowControl/>
        <w:shd w:val="clear" w:color="auto" w:fill="FFFFFF"/>
        <w:adjustRightInd w:val="0"/>
        <w:snapToGrid w:val="0"/>
        <w:spacing w:line="480" w:lineRule="exact"/>
        <w:ind w:firstLine="480" w:firstLineChars="200"/>
        <w:jc w:val="left"/>
        <w:rPr>
          <w:rFonts w:ascii="宋体"/>
          <w:sz w:val="24"/>
        </w:rPr>
      </w:pPr>
      <w:r>
        <w:rPr>
          <w:rFonts w:hint="eastAsia" w:ascii="宋体"/>
          <w:sz w:val="24"/>
        </w:rPr>
        <w:t>联系方式：</w:t>
      </w:r>
      <w:r>
        <w:rPr>
          <w:rFonts w:ascii="宋体"/>
          <w:sz w:val="24"/>
        </w:rPr>
        <w:t>0513-811695</w:t>
      </w:r>
      <w:r>
        <w:rPr>
          <w:rFonts w:hint="eastAsia" w:ascii="宋体"/>
          <w:sz w:val="24"/>
        </w:rPr>
        <w:t>13　　　　　　　　　　</w:t>
      </w:r>
    </w:p>
    <w:bookmarkEnd w:id="0"/>
    <w:p w14:paraId="72DA4EF5">
      <w:pPr>
        <w:pageBreakBefore/>
        <w:spacing w:line="360" w:lineRule="auto"/>
        <w:jc w:val="center"/>
        <w:rPr>
          <w:rFonts w:hint="eastAsia" w:ascii="宋体" w:hAnsi="宋体" w:cs="宋体"/>
          <w:b/>
          <w:sz w:val="36"/>
          <w:szCs w:val="36"/>
        </w:rPr>
      </w:pPr>
      <w:r>
        <w:rPr>
          <w:rFonts w:hint="eastAsia" w:ascii="宋体" w:hAnsi="宋体" w:cs="宋体"/>
          <w:b/>
          <w:sz w:val="36"/>
          <w:szCs w:val="36"/>
        </w:rPr>
        <w:t>第二部分  比选须知</w:t>
      </w:r>
    </w:p>
    <w:p w14:paraId="1ACD888B">
      <w:pPr>
        <w:spacing w:line="460" w:lineRule="exact"/>
        <w:ind w:firstLine="482" w:firstLineChars="200"/>
        <w:outlineLvl w:val="1"/>
        <w:rPr>
          <w:rFonts w:hint="eastAsia" w:ascii="宋体" w:hAnsi="宋体" w:cs="宋体"/>
          <w:sz w:val="24"/>
        </w:rPr>
      </w:pPr>
      <w:r>
        <w:rPr>
          <w:rFonts w:hint="eastAsia" w:ascii="宋体" w:hAnsi="宋体" w:cs="宋体"/>
          <w:b/>
          <w:sz w:val="24"/>
        </w:rPr>
        <w:t>一、采购文件由采购人解释</w:t>
      </w:r>
      <w:r>
        <w:rPr>
          <w:rFonts w:hint="eastAsia" w:ascii="宋体" w:hAnsi="宋体" w:cs="宋体"/>
          <w:sz w:val="24"/>
        </w:rPr>
        <w:t>。</w:t>
      </w:r>
    </w:p>
    <w:p w14:paraId="0A0ACA9F">
      <w:pPr>
        <w:spacing w:line="460" w:lineRule="exact"/>
        <w:ind w:firstLine="480" w:firstLineChars="200"/>
        <w:rPr>
          <w:rFonts w:hint="eastAsia" w:ascii="宋体" w:hAnsi="宋体" w:cs="宋体"/>
          <w:sz w:val="24"/>
        </w:rPr>
      </w:pPr>
      <w:r>
        <w:rPr>
          <w:rFonts w:hint="eastAsia" w:ascii="宋体" w:hAnsi="宋体" w:cs="宋体"/>
          <w:sz w:val="24"/>
        </w:rPr>
        <w:t>1.供应商获取比选文件后，应仔细检查比选文件的所有内容，如有内容或页码残缺、资格要求和技术参数含有倾向性或排他性等表述的，请以书面形式提出询问或疑问，未在规定时间内提出询问或疑问的，视同供应商理解并接受本比选文件所有内容，并由此引起的损失自负。供应商不得在响应结束后针对比选文件所有内容提出质疑事项。非书面形式的不作为日后质疑提出的依据。</w:t>
      </w:r>
    </w:p>
    <w:p w14:paraId="5E3C39DE">
      <w:pPr>
        <w:spacing w:line="460" w:lineRule="exact"/>
        <w:ind w:firstLine="480" w:firstLineChars="200"/>
        <w:rPr>
          <w:rFonts w:hint="eastAsia" w:ascii="宋体" w:hAnsi="宋体" w:cs="宋体"/>
          <w:sz w:val="24"/>
        </w:rPr>
      </w:pPr>
      <w:r>
        <w:rPr>
          <w:rFonts w:hint="eastAsia" w:ascii="宋体" w:hAnsi="宋体" w:cs="宋体"/>
          <w:sz w:val="24"/>
        </w:rPr>
        <w:t>2.比选人应认真审阅采购文件中所有的事项、格式、条款和规范要求等，如果比选人没有按照采购文件要求提交比选响应文件，或者比选响应文件没有对采购文件做出实质性响应，其比选将被拒绝，比选人自行承担责任。</w:t>
      </w:r>
    </w:p>
    <w:p w14:paraId="209B9578">
      <w:pPr>
        <w:spacing w:line="460" w:lineRule="exact"/>
        <w:ind w:firstLine="482" w:firstLineChars="200"/>
        <w:outlineLvl w:val="1"/>
        <w:rPr>
          <w:rFonts w:hint="eastAsia" w:ascii="宋体" w:hAnsi="宋体" w:cs="宋体"/>
          <w:b/>
          <w:sz w:val="24"/>
        </w:rPr>
      </w:pPr>
      <w:r>
        <w:rPr>
          <w:rFonts w:hint="eastAsia" w:ascii="宋体" w:hAnsi="宋体" w:cs="宋体"/>
          <w:b/>
          <w:sz w:val="24"/>
        </w:rPr>
        <w:t>二、采购文件的澄清、修改、答疑</w:t>
      </w:r>
    </w:p>
    <w:p w14:paraId="0C25F0A6">
      <w:pPr>
        <w:spacing w:line="460" w:lineRule="exact"/>
        <w:ind w:firstLine="480" w:firstLineChars="200"/>
        <w:rPr>
          <w:rFonts w:hint="eastAsia" w:ascii="宋体" w:hAnsi="宋体" w:cs="宋体"/>
          <w:sz w:val="24"/>
        </w:rPr>
      </w:pPr>
      <w:r>
        <w:rPr>
          <w:rFonts w:hint="eastAsia" w:ascii="宋体" w:hAnsi="宋体" w:cs="宋体"/>
          <w:sz w:val="24"/>
        </w:rPr>
        <w:t>1.采购人有权对发出的采购文件进行必要的澄清或修改。</w:t>
      </w:r>
    </w:p>
    <w:p w14:paraId="0CD74BC5">
      <w:pPr>
        <w:spacing w:line="460" w:lineRule="exact"/>
        <w:ind w:firstLine="480" w:firstLineChars="200"/>
        <w:rPr>
          <w:rFonts w:hint="eastAsia" w:ascii="宋体" w:hAnsi="宋体" w:cs="宋体"/>
          <w:sz w:val="24"/>
        </w:rPr>
      </w:pPr>
      <w:r>
        <w:rPr>
          <w:rFonts w:hint="eastAsia" w:ascii="宋体" w:hAnsi="宋体" w:cs="宋体"/>
          <w:sz w:val="24"/>
        </w:rPr>
        <w:t>2.采购人可视情取消、延长相关时间。</w:t>
      </w:r>
    </w:p>
    <w:p w14:paraId="0FA171F1">
      <w:pPr>
        <w:spacing w:line="460" w:lineRule="exact"/>
        <w:ind w:firstLine="480" w:firstLineChars="200"/>
        <w:rPr>
          <w:rFonts w:hint="eastAsia" w:ascii="宋体" w:hAnsi="宋体" w:cs="宋体"/>
          <w:sz w:val="24"/>
        </w:rPr>
      </w:pPr>
      <w:r>
        <w:rPr>
          <w:rFonts w:hint="eastAsia" w:ascii="宋体" w:hAnsi="宋体" w:cs="宋体"/>
          <w:sz w:val="24"/>
        </w:rPr>
        <w:t>3.采购人对采购文件的澄清、修改将构成采购文件的一部分，对比选人具有约束力。</w:t>
      </w:r>
    </w:p>
    <w:p w14:paraId="3688DDE9">
      <w:pPr>
        <w:spacing w:line="460" w:lineRule="exact"/>
        <w:ind w:firstLine="480" w:firstLineChars="200"/>
        <w:rPr>
          <w:rFonts w:hint="eastAsia" w:ascii="宋体" w:hAnsi="宋体" w:cs="宋体"/>
          <w:sz w:val="24"/>
        </w:rPr>
      </w:pPr>
      <w:r>
        <w:rPr>
          <w:rFonts w:hint="eastAsia" w:ascii="宋体" w:hAnsi="宋体" w:cs="宋体"/>
          <w:sz w:val="24"/>
        </w:rPr>
        <w:t>4.比选人由于对采购文件的任何推论和误解以及采购人对有关问题的口头解释所造成的后果，均由比选人自负。</w:t>
      </w:r>
    </w:p>
    <w:p w14:paraId="4CAE48AF">
      <w:pPr>
        <w:spacing w:line="460" w:lineRule="exact"/>
        <w:ind w:firstLine="480" w:firstLineChars="200"/>
        <w:outlineLvl w:val="1"/>
        <w:rPr>
          <w:rFonts w:hint="eastAsia" w:ascii="宋体" w:hAnsi="宋体" w:cs="宋体"/>
          <w:b/>
          <w:sz w:val="24"/>
        </w:rPr>
      </w:pPr>
      <w:r>
        <w:rPr>
          <w:rFonts w:hint="eastAsia" w:ascii="宋体" w:hAnsi="宋体" w:cs="宋体"/>
          <w:sz w:val="24"/>
        </w:rPr>
        <w:t>5.采购人视情组织答疑会。</w:t>
      </w:r>
    </w:p>
    <w:p w14:paraId="64612BDC">
      <w:pPr>
        <w:widowControl/>
        <w:spacing w:line="460" w:lineRule="exact"/>
        <w:ind w:firstLine="482" w:firstLineChars="200"/>
        <w:jc w:val="left"/>
        <w:rPr>
          <w:rFonts w:hint="eastAsia" w:ascii="宋体" w:hAnsi="宋体" w:cs="宋体"/>
          <w:b/>
          <w:sz w:val="24"/>
        </w:rPr>
      </w:pPr>
      <w:r>
        <w:rPr>
          <w:rFonts w:hint="eastAsia" w:ascii="宋体" w:hAnsi="宋体" w:cs="宋体"/>
          <w:b/>
          <w:sz w:val="24"/>
        </w:rPr>
        <w:t>三、比选报价</w:t>
      </w:r>
    </w:p>
    <w:p w14:paraId="6270C77B">
      <w:pPr>
        <w:widowControl/>
        <w:spacing w:line="460" w:lineRule="exact"/>
        <w:ind w:firstLine="480" w:firstLineChars="200"/>
        <w:jc w:val="left"/>
        <w:rPr>
          <w:rFonts w:hint="eastAsia" w:ascii="宋体" w:hAnsi="宋体" w:cs="宋体"/>
          <w:bCs/>
          <w:sz w:val="24"/>
        </w:rPr>
      </w:pPr>
      <w:r>
        <w:rPr>
          <w:rFonts w:hint="eastAsia" w:ascii="宋体" w:hAnsi="宋体" w:cs="宋体"/>
          <w:bCs/>
          <w:sz w:val="24"/>
        </w:rPr>
        <w:t>1.本项目不接受任何有选择的报价。</w:t>
      </w:r>
    </w:p>
    <w:p w14:paraId="37DE2F35">
      <w:pPr>
        <w:widowControl/>
        <w:spacing w:line="460" w:lineRule="exact"/>
        <w:ind w:firstLine="480" w:firstLineChars="200"/>
        <w:jc w:val="left"/>
        <w:rPr>
          <w:rFonts w:hint="eastAsia" w:ascii="宋体" w:hAnsi="宋体" w:cs="宋体"/>
          <w:bCs/>
          <w:sz w:val="24"/>
        </w:rPr>
      </w:pPr>
      <w:r>
        <w:rPr>
          <w:rFonts w:hint="eastAsia" w:ascii="宋体" w:hAnsi="宋体" w:cs="宋体"/>
          <w:bCs/>
          <w:sz w:val="24"/>
        </w:rPr>
        <w:t>2.比选报价均以人民币为报价的货币单位。</w:t>
      </w:r>
    </w:p>
    <w:p w14:paraId="51E5FEEE">
      <w:pPr>
        <w:widowControl/>
        <w:spacing w:line="460" w:lineRule="exact"/>
        <w:ind w:firstLine="480" w:firstLineChars="200"/>
        <w:jc w:val="left"/>
        <w:rPr>
          <w:rFonts w:hint="eastAsia" w:ascii="宋体" w:hAnsi="宋体" w:cs="宋体"/>
          <w:bCs/>
          <w:sz w:val="24"/>
        </w:rPr>
      </w:pPr>
      <w:r>
        <w:rPr>
          <w:rFonts w:hint="eastAsia" w:ascii="宋体" w:hAnsi="宋体" w:cs="宋体"/>
          <w:bCs/>
          <w:sz w:val="24"/>
        </w:rPr>
        <w:t>3.报价表必须加盖供应商公章且必须经法定代表人或被委托授权人签署。</w:t>
      </w:r>
    </w:p>
    <w:p w14:paraId="0107FC11">
      <w:pPr>
        <w:widowControl/>
        <w:spacing w:line="460" w:lineRule="exact"/>
        <w:ind w:firstLine="480" w:firstLineChars="200"/>
        <w:jc w:val="left"/>
        <w:rPr>
          <w:rFonts w:hint="eastAsia" w:ascii="宋体" w:hAnsi="宋体" w:cs="宋体"/>
          <w:bCs/>
          <w:sz w:val="24"/>
        </w:rPr>
      </w:pPr>
      <w:r>
        <w:rPr>
          <w:rFonts w:hint="eastAsia" w:ascii="宋体" w:hAnsi="宋体" w:cs="宋体"/>
          <w:bCs/>
          <w:sz w:val="24"/>
        </w:rPr>
        <w:t>4.比选报价出现前后不一致的，按照下列规定修正：</w:t>
      </w:r>
    </w:p>
    <w:p w14:paraId="17D2532A">
      <w:pPr>
        <w:widowControl/>
        <w:spacing w:line="460" w:lineRule="exact"/>
        <w:ind w:firstLine="480" w:firstLineChars="200"/>
        <w:jc w:val="left"/>
        <w:rPr>
          <w:rFonts w:hint="eastAsia" w:ascii="宋体" w:hAnsi="宋体" w:cs="宋体"/>
          <w:bCs/>
          <w:sz w:val="24"/>
        </w:rPr>
      </w:pPr>
      <w:r>
        <w:rPr>
          <w:rFonts w:hint="eastAsia" w:ascii="宋体" w:hAnsi="宋体" w:cs="宋体"/>
          <w:bCs/>
          <w:sz w:val="24"/>
        </w:rPr>
        <w:t>（1）比选</w:t>
      </w:r>
      <w:r>
        <w:rPr>
          <w:rFonts w:hint="eastAsia" w:ascii="宋体" w:hAnsi="宋体" w:cs="宋体"/>
          <w:sz w:val="24"/>
        </w:rPr>
        <w:t>响应</w:t>
      </w:r>
      <w:r>
        <w:rPr>
          <w:rFonts w:hint="eastAsia" w:ascii="宋体" w:hAnsi="宋体" w:cs="宋体"/>
          <w:bCs/>
          <w:sz w:val="24"/>
        </w:rPr>
        <w:t>文件中报价表内容与比选</w:t>
      </w:r>
      <w:r>
        <w:rPr>
          <w:rFonts w:hint="eastAsia" w:ascii="宋体" w:hAnsi="宋体" w:cs="宋体"/>
          <w:sz w:val="24"/>
        </w:rPr>
        <w:t>响应</w:t>
      </w:r>
      <w:r>
        <w:rPr>
          <w:rFonts w:hint="eastAsia" w:ascii="宋体" w:hAnsi="宋体" w:cs="宋体"/>
          <w:bCs/>
          <w:sz w:val="24"/>
        </w:rPr>
        <w:t>文件技术响应中内容明细不一致的，以报价表为准；</w:t>
      </w:r>
    </w:p>
    <w:p w14:paraId="685F6989">
      <w:pPr>
        <w:widowControl/>
        <w:spacing w:line="460" w:lineRule="exact"/>
        <w:ind w:firstLine="480" w:firstLineChars="200"/>
        <w:jc w:val="left"/>
        <w:rPr>
          <w:rFonts w:hint="eastAsia" w:ascii="宋体" w:hAnsi="宋体" w:cs="宋体"/>
          <w:bCs/>
          <w:sz w:val="24"/>
        </w:rPr>
      </w:pPr>
      <w:r>
        <w:rPr>
          <w:rFonts w:hint="eastAsia" w:ascii="宋体" w:hAnsi="宋体" w:cs="宋体"/>
          <w:bCs/>
          <w:sz w:val="24"/>
        </w:rPr>
        <w:t>（2）比选</w:t>
      </w:r>
      <w:r>
        <w:rPr>
          <w:rFonts w:hint="eastAsia" w:ascii="宋体" w:hAnsi="宋体" w:cs="宋体"/>
          <w:sz w:val="24"/>
        </w:rPr>
        <w:t>响应</w:t>
      </w:r>
      <w:r>
        <w:rPr>
          <w:rFonts w:hint="eastAsia" w:ascii="宋体" w:hAnsi="宋体" w:cs="宋体"/>
          <w:bCs/>
          <w:sz w:val="24"/>
        </w:rPr>
        <w:t>文件中涉及大写金额和小写金额不一致的，以大写金额为准；</w:t>
      </w:r>
    </w:p>
    <w:p w14:paraId="7E1A0C72">
      <w:pPr>
        <w:widowControl/>
        <w:spacing w:line="460" w:lineRule="exact"/>
        <w:ind w:firstLine="480" w:firstLineChars="200"/>
        <w:jc w:val="left"/>
        <w:rPr>
          <w:rFonts w:hint="eastAsia" w:ascii="宋体" w:hAnsi="宋体" w:cs="宋体"/>
          <w:bCs/>
          <w:sz w:val="24"/>
        </w:rPr>
      </w:pPr>
      <w:r>
        <w:rPr>
          <w:rFonts w:hint="eastAsia" w:ascii="宋体" w:hAnsi="宋体" w:cs="宋体"/>
          <w:bCs/>
          <w:sz w:val="24"/>
        </w:rPr>
        <w:t>（3）单价金额小数点或者百分比有明显错位的，以报价表（投标报价总表）的总价为准，并修改单价；</w:t>
      </w:r>
    </w:p>
    <w:p w14:paraId="1BB793FF">
      <w:pPr>
        <w:widowControl/>
        <w:spacing w:line="460" w:lineRule="exact"/>
        <w:ind w:firstLine="480" w:firstLineChars="200"/>
        <w:jc w:val="left"/>
        <w:rPr>
          <w:rFonts w:hint="eastAsia" w:ascii="宋体" w:hAnsi="宋体" w:cs="宋体"/>
          <w:bCs/>
          <w:sz w:val="24"/>
        </w:rPr>
      </w:pPr>
      <w:r>
        <w:rPr>
          <w:rFonts w:hint="eastAsia" w:ascii="宋体" w:hAnsi="宋体" w:cs="宋体"/>
          <w:bCs/>
          <w:sz w:val="24"/>
        </w:rPr>
        <w:t>（4）总价金额与按单价汇总金额不一致的，以单价金额计算结果为准。</w:t>
      </w:r>
    </w:p>
    <w:p w14:paraId="36F1631C">
      <w:pPr>
        <w:widowControl/>
        <w:spacing w:line="460" w:lineRule="exact"/>
        <w:ind w:firstLine="480" w:firstLineChars="200"/>
        <w:jc w:val="left"/>
        <w:rPr>
          <w:rFonts w:hint="eastAsia" w:ascii="宋体" w:hAnsi="宋体" w:cs="宋体"/>
          <w:bCs/>
          <w:sz w:val="24"/>
        </w:rPr>
      </w:pPr>
      <w:r>
        <w:rPr>
          <w:rFonts w:hint="eastAsia" w:ascii="宋体" w:hAnsi="宋体" w:cs="宋体"/>
          <w:bCs/>
          <w:sz w:val="24"/>
        </w:rPr>
        <w:t>同时出现两种以上不一致的，按照前款规定的顺序修正。修正后的报价应当由供应商的法定代表人或其授权的代表签字确认后产生约束力，供应商不确认的，其投标无效。</w:t>
      </w:r>
    </w:p>
    <w:p w14:paraId="14460973">
      <w:pPr>
        <w:widowControl/>
        <w:spacing w:line="460" w:lineRule="exact"/>
        <w:ind w:firstLine="480" w:firstLineChars="200"/>
        <w:jc w:val="left"/>
        <w:rPr>
          <w:rFonts w:hint="eastAsia" w:ascii="宋体" w:hAnsi="宋体" w:cs="宋体"/>
          <w:bCs/>
          <w:sz w:val="24"/>
        </w:rPr>
      </w:pPr>
      <w:r>
        <w:rPr>
          <w:rFonts w:hint="eastAsia" w:ascii="宋体" w:hAnsi="宋体" w:cs="宋体"/>
          <w:bCs/>
          <w:sz w:val="24"/>
        </w:rPr>
        <w:t>5.供应商应详细阅读比选文件的全部内容，根据采购项目需求，准确制定相关工作方案等，必须对本采购项目全部进行报价，如有漏项，视同对本项目的优惠。不按比选文件的要求提供响应文件，导致报价无效，按无效标处理。</w:t>
      </w:r>
    </w:p>
    <w:p w14:paraId="6D9549BB">
      <w:pPr>
        <w:snapToGrid w:val="0"/>
        <w:spacing w:line="460" w:lineRule="exact"/>
        <w:ind w:firstLine="482" w:firstLineChars="200"/>
        <w:outlineLvl w:val="1"/>
        <w:rPr>
          <w:rFonts w:hint="eastAsia" w:ascii="宋体" w:hAnsi="宋体" w:cs="宋体"/>
          <w:b/>
          <w:sz w:val="24"/>
        </w:rPr>
      </w:pPr>
      <w:bookmarkStart w:id="7" w:name="_Hlk127283934"/>
      <w:r>
        <w:rPr>
          <w:rFonts w:hint="eastAsia" w:ascii="宋体" w:hAnsi="宋体" w:cs="宋体"/>
          <w:b/>
          <w:sz w:val="24"/>
        </w:rPr>
        <w:t>四、比选响应文件的编写、份数和签署</w:t>
      </w:r>
    </w:p>
    <w:p w14:paraId="6BDD48FF">
      <w:pPr>
        <w:snapToGrid w:val="0"/>
        <w:spacing w:line="460" w:lineRule="exact"/>
        <w:ind w:firstLine="480" w:firstLineChars="200"/>
        <w:contextualSpacing/>
        <w:rPr>
          <w:rFonts w:hint="eastAsia" w:ascii="宋体" w:hAnsi="宋体" w:cs="宋体"/>
          <w:sz w:val="24"/>
        </w:rPr>
      </w:pPr>
      <w:r>
        <w:rPr>
          <w:rFonts w:hint="eastAsia" w:ascii="宋体" w:hAnsi="宋体" w:cs="宋体"/>
          <w:sz w:val="24"/>
        </w:rPr>
        <w:t>1.比选人按第六部分“比选响应文件组成”编写比选响应文件。</w:t>
      </w:r>
      <w:r>
        <w:rPr>
          <w:rFonts w:hint="eastAsia" w:ascii="宋体" w:hAnsi="宋体" w:cs="宋体"/>
          <w:kern w:val="0"/>
          <w:sz w:val="24"/>
          <w:lang w:val="zh-CN"/>
        </w:rPr>
        <w:t>比选</w:t>
      </w:r>
      <w:r>
        <w:rPr>
          <w:rFonts w:hint="eastAsia" w:ascii="宋体" w:hAnsi="宋体" w:cs="宋体"/>
          <w:sz w:val="24"/>
        </w:rPr>
        <w:t>响应</w:t>
      </w:r>
      <w:r>
        <w:rPr>
          <w:rFonts w:hint="eastAsia" w:ascii="宋体" w:hAnsi="宋体" w:cs="宋体"/>
          <w:kern w:val="0"/>
          <w:sz w:val="24"/>
          <w:lang w:val="zh-CN"/>
        </w:rPr>
        <w:t>文件规格幅面</w:t>
      </w:r>
      <w:r>
        <w:rPr>
          <w:rFonts w:hint="eastAsia" w:ascii="宋体" w:hAnsi="宋体" w:cs="宋体"/>
          <w:sz w:val="24"/>
        </w:rPr>
        <w:t>A4纸（图纸等除外）</w:t>
      </w:r>
      <w:r>
        <w:rPr>
          <w:rFonts w:hint="eastAsia" w:ascii="宋体" w:hAnsi="宋体" w:cs="宋体"/>
          <w:kern w:val="0"/>
          <w:sz w:val="24"/>
          <w:lang w:val="zh-CN"/>
        </w:rPr>
        <w:t>；按照采购文件所规定的内容顺序，统一编制目录，逐页编码，由于编排混乱导致比选</w:t>
      </w:r>
      <w:r>
        <w:rPr>
          <w:rFonts w:hint="eastAsia" w:ascii="宋体" w:hAnsi="宋体" w:cs="宋体"/>
          <w:sz w:val="24"/>
        </w:rPr>
        <w:t>响应</w:t>
      </w:r>
      <w:r>
        <w:rPr>
          <w:rFonts w:hint="eastAsia" w:ascii="宋体" w:hAnsi="宋体" w:cs="宋体"/>
          <w:kern w:val="0"/>
          <w:sz w:val="24"/>
          <w:lang w:val="zh-CN"/>
        </w:rPr>
        <w:t>文件被误读或查找不到，其责任应当由比选人承担；</w:t>
      </w:r>
      <w:r>
        <w:rPr>
          <w:rFonts w:hint="eastAsia" w:ascii="宋体" w:hAnsi="宋体" w:cs="宋体"/>
          <w:sz w:val="24"/>
        </w:rPr>
        <w:t>牢固装订成册，不建议使用活页夹、拉杆夹、文件夹、塑料方便式书脊（插入式或穿孔式）装订；比选响应文件不得行间插字、涂改、增删，如修补错漏处，须经比选响应文件签署人签字并加盖公章。</w:t>
      </w:r>
    </w:p>
    <w:p w14:paraId="42544E7C">
      <w:pPr>
        <w:snapToGrid w:val="0"/>
        <w:spacing w:line="460" w:lineRule="exact"/>
        <w:ind w:firstLine="480" w:firstLineChars="200"/>
        <w:contextualSpacing/>
        <w:rPr>
          <w:rFonts w:hint="eastAsia" w:ascii="宋体" w:hAnsi="宋体" w:cs="宋体"/>
          <w:b/>
          <w:sz w:val="24"/>
        </w:rPr>
      </w:pPr>
      <w:r>
        <w:rPr>
          <w:rFonts w:hint="eastAsia" w:ascii="宋体" w:hAnsi="宋体" w:cs="宋体"/>
          <w:sz w:val="24"/>
        </w:rPr>
        <w:t>2.比选响应文件（资格审查文件、价格标），明确标注项目名称、参选人全称、响应文件名称等关键信息</w:t>
      </w:r>
      <w:r>
        <w:rPr>
          <w:rFonts w:hint="eastAsia" w:ascii="宋体" w:hAnsi="宋体" w:cs="宋体"/>
          <w:b/>
          <w:sz w:val="24"/>
        </w:rPr>
        <w:t>。</w:t>
      </w:r>
    </w:p>
    <w:p w14:paraId="2D3F92CF">
      <w:pPr>
        <w:snapToGrid w:val="0"/>
        <w:spacing w:line="460" w:lineRule="exact"/>
        <w:ind w:firstLine="480" w:firstLineChars="200"/>
        <w:contextualSpacing/>
        <w:rPr>
          <w:rFonts w:hint="eastAsia" w:ascii="宋体" w:hAnsi="宋体" w:cs="宋体"/>
          <w:sz w:val="24"/>
        </w:rPr>
      </w:pPr>
      <w:r>
        <w:rPr>
          <w:rFonts w:hint="eastAsia" w:ascii="宋体" w:hAnsi="宋体" w:cs="宋体"/>
          <w:sz w:val="24"/>
        </w:rPr>
        <w:t>3.比选响应文件正本须打印并由比选人法定代表人或授权人签字并加盖单位印章。副本可复印，但须加盖单位印章。</w:t>
      </w:r>
    </w:p>
    <w:p w14:paraId="2DE90E23">
      <w:pPr>
        <w:snapToGrid w:val="0"/>
        <w:spacing w:line="480" w:lineRule="exact"/>
        <w:ind w:firstLine="472" w:firstLineChars="196"/>
        <w:rPr>
          <w:rFonts w:hint="eastAsia" w:ascii="宋体" w:hAnsi="宋体" w:cs="宋体"/>
          <w:sz w:val="24"/>
        </w:rPr>
      </w:pPr>
      <w:r>
        <w:rPr>
          <w:rFonts w:hint="eastAsia" w:ascii="宋体" w:hAnsi="宋体" w:cs="宋体"/>
          <w:b/>
          <w:sz w:val="24"/>
        </w:rPr>
        <w:t>五、比选响应文件的密封及标记</w:t>
      </w:r>
    </w:p>
    <w:p w14:paraId="60D7A6C7">
      <w:pPr>
        <w:snapToGrid w:val="0"/>
        <w:spacing w:line="460" w:lineRule="exact"/>
        <w:ind w:firstLine="480" w:firstLineChars="200"/>
        <w:contextualSpacing/>
        <w:rPr>
          <w:rFonts w:hint="eastAsia" w:ascii="宋体" w:hAnsi="宋体" w:cs="宋体"/>
          <w:sz w:val="24"/>
        </w:rPr>
      </w:pPr>
      <w:r>
        <w:rPr>
          <w:rFonts w:hint="eastAsia" w:ascii="宋体" w:hAnsi="宋体" w:cs="宋体"/>
          <w:sz w:val="24"/>
        </w:rPr>
        <w:t>比选人应将资格审查证明材料、价格标分别密封并加盖单位公章。明确标注项目名称、参选人全称、响应文件名称等关键信息以及“正本”、“副本”字样。</w:t>
      </w:r>
    </w:p>
    <w:p w14:paraId="6BB6E9C6">
      <w:pPr>
        <w:spacing w:line="460" w:lineRule="exact"/>
        <w:ind w:firstLine="482" w:firstLineChars="200"/>
        <w:outlineLvl w:val="1"/>
        <w:rPr>
          <w:rFonts w:hint="eastAsia" w:ascii="宋体" w:hAnsi="宋体" w:cs="宋体"/>
          <w:b/>
          <w:sz w:val="24"/>
        </w:rPr>
      </w:pPr>
      <w:r>
        <w:rPr>
          <w:rFonts w:hint="eastAsia" w:ascii="宋体" w:hAnsi="宋体" w:cs="宋体"/>
          <w:b/>
          <w:sz w:val="24"/>
        </w:rPr>
        <w:t>六、比选响应文件的递交时间</w:t>
      </w:r>
    </w:p>
    <w:p w14:paraId="1B070D31">
      <w:pPr>
        <w:spacing w:line="460" w:lineRule="exact"/>
        <w:ind w:firstLine="480" w:firstLineChars="200"/>
        <w:rPr>
          <w:rFonts w:hint="eastAsia" w:ascii="宋体" w:hAnsi="宋体" w:cs="宋体"/>
          <w:sz w:val="24"/>
        </w:rPr>
      </w:pPr>
      <w:r>
        <w:rPr>
          <w:rFonts w:hint="eastAsia" w:ascii="宋体" w:hAnsi="宋体" w:cs="宋体"/>
          <w:sz w:val="24"/>
        </w:rPr>
        <w:t>比选响应文件必须在规定的接收截止时间前送达采购人。采购人将拒绝接收在比选截止时间后递交的比选响应文件。</w:t>
      </w:r>
    </w:p>
    <w:p w14:paraId="09B45D38">
      <w:pPr>
        <w:spacing w:line="460" w:lineRule="exact"/>
        <w:ind w:firstLine="482" w:firstLineChars="200"/>
        <w:rPr>
          <w:rFonts w:hint="eastAsia"/>
        </w:rPr>
      </w:pPr>
      <w:r>
        <w:rPr>
          <w:rFonts w:hint="eastAsia" w:ascii="宋体" w:hAnsi="宋体" w:cs="宋体"/>
          <w:b/>
          <w:bCs w:val="0"/>
          <w:sz w:val="24"/>
          <w:u w:val="single"/>
        </w:rPr>
        <w:t>注：须提交纸质投标文件各叁套（一正贰副）（包括资格审查文件、价格标）。</w:t>
      </w:r>
    </w:p>
    <w:bookmarkEnd w:id="7"/>
    <w:p w14:paraId="4158AE48">
      <w:pPr>
        <w:spacing w:line="460" w:lineRule="exact"/>
        <w:ind w:firstLine="482" w:firstLineChars="200"/>
        <w:outlineLvl w:val="1"/>
        <w:rPr>
          <w:rFonts w:hint="eastAsia" w:ascii="宋体" w:hAnsi="宋体" w:cs="宋体"/>
          <w:b/>
          <w:sz w:val="24"/>
        </w:rPr>
      </w:pPr>
      <w:r>
        <w:rPr>
          <w:rFonts w:hint="eastAsia" w:ascii="宋体" w:hAnsi="宋体" w:cs="宋体"/>
          <w:b/>
          <w:sz w:val="24"/>
        </w:rPr>
        <w:t>七、相关费用</w:t>
      </w:r>
    </w:p>
    <w:p w14:paraId="20BD7DBF">
      <w:pPr>
        <w:spacing w:line="460" w:lineRule="exact"/>
        <w:ind w:firstLine="480" w:firstLineChars="200"/>
        <w:contextualSpacing/>
        <w:rPr>
          <w:rFonts w:hint="eastAsia" w:ascii="宋体" w:hAnsi="宋体" w:cs="宋体"/>
          <w:sz w:val="24"/>
        </w:rPr>
      </w:pPr>
      <w:r>
        <w:rPr>
          <w:rFonts w:hint="eastAsia" w:ascii="宋体" w:hAnsi="宋体" w:cs="宋体"/>
          <w:sz w:val="24"/>
        </w:rPr>
        <w:t>1.供应商承担参与比选可能发生的全部费。</w:t>
      </w:r>
    </w:p>
    <w:p w14:paraId="50A8BE6E">
      <w:pPr>
        <w:autoSpaceDE w:val="0"/>
        <w:autoSpaceDN w:val="0"/>
        <w:adjustRightInd w:val="0"/>
        <w:spacing w:line="460" w:lineRule="exact"/>
        <w:ind w:firstLine="480" w:firstLineChars="200"/>
        <w:jc w:val="left"/>
        <w:rPr>
          <w:rFonts w:hint="eastAsia" w:ascii="宋体" w:hAnsi="宋体" w:cs="宋体"/>
          <w:sz w:val="24"/>
        </w:rPr>
      </w:pPr>
      <w:r>
        <w:rPr>
          <w:rFonts w:hint="eastAsia" w:ascii="宋体" w:hAnsi="宋体" w:cs="宋体"/>
          <w:kern w:val="0"/>
          <w:sz w:val="24"/>
        </w:rPr>
        <w:t>2.比选</w:t>
      </w:r>
      <w:r>
        <w:rPr>
          <w:rFonts w:hint="eastAsia" w:ascii="宋体" w:hAnsi="宋体" w:cs="宋体"/>
          <w:kern w:val="0"/>
          <w:sz w:val="24"/>
          <w:lang w:val="zh-CN"/>
        </w:rPr>
        <w:t>文件未列明，而投标供应商认为必需的费用也需列入报价。</w:t>
      </w:r>
    </w:p>
    <w:p w14:paraId="64F5AFED">
      <w:pPr>
        <w:adjustRightInd w:val="0"/>
        <w:spacing w:line="460" w:lineRule="exact"/>
        <w:ind w:firstLine="482" w:firstLineChars="200"/>
        <w:rPr>
          <w:rFonts w:hint="eastAsia" w:ascii="宋体" w:hAnsi="宋体" w:cs="宋体"/>
          <w:b/>
          <w:sz w:val="24"/>
        </w:rPr>
      </w:pPr>
      <w:r>
        <w:rPr>
          <w:rFonts w:hint="eastAsia" w:ascii="宋体" w:hAnsi="宋体" w:cs="宋体"/>
          <w:b/>
          <w:sz w:val="24"/>
        </w:rPr>
        <w:t>九、授予合同</w:t>
      </w:r>
    </w:p>
    <w:p w14:paraId="7399BBA8">
      <w:pPr>
        <w:adjustRightInd w:val="0"/>
        <w:spacing w:line="460" w:lineRule="exact"/>
        <w:ind w:firstLine="480" w:firstLineChars="200"/>
        <w:rPr>
          <w:rFonts w:hint="eastAsia" w:ascii="宋体" w:hAnsi="宋体" w:cs="宋体"/>
          <w:sz w:val="24"/>
        </w:rPr>
      </w:pPr>
      <w:r>
        <w:rPr>
          <w:rFonts w:hint="eastAsia" w:ascii="宋体" w:hAnsi="宋体" w:cs="宋体"/>
          <w:sz w:val="24"/>
        </w:rPr>
        <w:t>1、履约保证金</w:t>
      </w:r>
    </w:p>
    <w:p w14:paraId="4E346749">
      <w:pPr>
        <w:widowControl/>
        <w:adjustRightInd w:val="0"/>
        <w:spacing w:line="460" w:lineRule="exact"/>
        <w:ind w:firstLine="480" w:firstLineChars="200"/>
        <w:rPr>
          <w:rFonts w:hint="eastAsia" w:ascii="宋体" w:hAnsi="宋体" w:cs="宋体"/>
          <w:sz w:val="24"/>
        </w:rPr>
      </w:pPr>
      <w:bookmarkStart w:id="8" w:name="_Toc513029237"/>
      <w:bookmarkStart w:id="9" w:name="_Toc20823309"/>
      <w:bookmarkStart w:id="10" w:name="_Toc16938553"/>
      <w:r>
        <w:rPr>
          <w:rFonts w:hint="eastAsia" w:ascii="宋体" w:hAnsi="宋体" w:cs="宋体"/>
          <w:sz w:val="24"/>
        </w:rPr>
        <w:t>1.1本项目成交后的履约保证金</w:t>
      </w:r>
      <w:r>
        <w:rPr>
          <w:rFonts w:hint="eastAsia" w:ascii="宋体" w:hAnsi="宋体" w:cs="宋体"/>
          <w:sz w:val="24"/>
          <w:highlight w:val="none"/>
        </w:rPr>
        <w:t>为</w:t>
      </w:r>
      <w:r>
        <w:rPr>
          <w:rFonts w:hint="eastAsia" w:ascii="宋体" w:hAnsi="宋体" w:cs="宋体"/>
          <w:sz w:val="24"/>
          <w:highlight w:val="none"/>
          <w:lang w:val="en-US" w:eastAsia="zh-CN"/>
        </w:rPr>
        <w:t>预算价</w:t>
      </w:r>
      <w:r>
        <w:rPr>
          <w:rFonts w:hint="eastAsia" w:ascii="宋体" w:hAnsi="宋体" w:cs="宋体"/>
          <w:sz w:val="24"/>
          <w:highlight w:val="none"/>
        </w:rPr>
        <w:t>的</w:t>
      </w:r>
      <w:r>
        <w:rPr>
          <w:rFonts w:hint="eastAsia" w:ascii="宋体" w:hAnsi="宋体" w:cs="宋体"/>
          <w:b/>
          <w:bCs/>
          <w:sz w:val="24"/>
          <w:highlight w:val="none"/>
          <w:u w:val="single"/>
        </w:rPr>
        <w:t xml:space="preserve"> 5% </w:t>
      </w:r>
      <w:r>
        <w:rPr>
          <w:rFonts w:hint="eastAsia" w:ascii="宋体" w:hAnsi="宋体" w:cs="宋体"/>
          <w:sz w:val="24"/>
          <w:highlight w:val="none"/>
        </w:rPr>
        <w:t>（取整），成交后</w:t>
      </w:r>
      <w:r>
        <w:rPr>
          <w:rFonts w:hint="eastAsia" w:ascii="宋体" w:hAnsi="宋体" w:cs="宋体"/>
          <w:sz w:val="24"/>
        </w:rPr>
        <w:t>7个工作日内递交，否则作自动放弃成交资格处理。</w:t>
      </w:r>
    </w:p>
    <w:p w14:paraId="7596DD07">
      <w:pPr>
        <w:widowControl/>
        <w:adjustRightInd w:val="0"/>
        <w:spacing w:line="460" w:lineRule="exact"/>
        <w:ind w:firstLine="480" w:firstLineChars="200"/>
        <w:rPr>
          <w:rFonts w:hint="eastAsia" w:ascii="宋体" w:hAnsi="宋体" w:cs="宋体"/>
          <w:sz w:val="24"/>
        </w:rPr>
      </w:pPr>
      <w:r>
        <w:rPr>
          <w:rFonts w:hint="eastAsia" w:ascii="宋体" w:hAnsi="宋体" w:cs="宋体"/>
          <w:sz w:val="24"/>
        </w:rPr>
        <w:t>1.2缴纳方式：支票、汇票、本票、保函等非现金形式。</w:t>
      </w:r>
    </w:p>
    <w:p w14:paraId="0F36474A">
      <w:pPr>
        <w:widowControl/>
        <w:adjustRightInd w:val="0"/>
        <w:spacing w:line="460" w:lineRule="exact"/>
        <w:ind w:firstLine="480" w:firstLineChars="200"/>
        <w:rPr>
          <w:rFonts w:hint="eastAsia" w:ascii="宋体" w:hAnsi="宋体" w:cs="宋体"/>
          <w:sz w:val="24"/>
        </w:rPr>
      </w:pPr>
      <w:r>
        <w:rPr>
          <w:rFonts w:hint="eastAsia" w:ascii="宋体" w:hAnsi="宋体" w:cs="宋体"/>
          <w:sz w:val="24"/>
        </w:rPr>
        <w:t xml:space="preserve">1.3账户信息： </w:t>
      </w:r>
    </w:p>
    <w:p w14:paraId="507A2CFD">
      <w:pPr>
        <w:widowControl/>
        <w:adjustRightInd w:val="0"/>
        <w:spacing w:line="460" w:lineRule="exact"/>
        <w:ind w:firstLine="480" w:firstLineChars="200"/>
        <w:rPr>
          <w:rFonts w:hint="eastAsia" w:ascii="宋体" w:hAnsi="宋体" w:cs="宋体"/>
          <w:sz w:val="24"/>
        </w:rPr>
      </w:pPr>
      <w:r>
        <w:rPr>
          <w:rFonts w:hint="eastAsia" w:ascii="宋体" w:hAnsi="宋体" w:cs="宋体"/>
          <w:sz w:val="24"/>
        </w:rPr>
        <w:t>收款人：南通市市政设施管理处</w:t>
      </w:r>
    </w:p>
    <w:p w14:paraId="5E2B95EA">
      <w:pPr>
        <w:widowControl/>
        <w:adjustRightInd w:val="0"/>
        <w:spacing w:line="460" w:lineRule="exact"/>
        <w:ind w:firstLine="480" w:firstLineChars="200"/>
        <w:rPr>
          <w:rFonts w:hint="eastAsia" w:ascii="宋体" w:hAnsi="宋体" w:cs="宋体"/>
          <w:sz w:val="24"/>
        </w:rPr>
      </w:pPr>
      <w:r>
        <w:rPr>
          <w:rFonts w:hint="eastAsia" w:ascii="宋体" w:hAnsi="宋体" w:cs="宋体"/>
          <w:sz w:val="24"/>
        </w:rPr>
        <w:t xml:space="preserve">单位地址：江苏省南通市人民西路428号 0513-85105936 </w:t>
      </w:r>
    </w:p>
    <w:p w14:paraId="3AFE8BA1">
      <w:pPr>
        <w:widowControl/>
        <w:adjustRightInd w:val="0"/>
        <w:spacing w:line="460" w:lineRule="exact"/>
        <w:ind w:firstLine="480" w:firstLineChars="200"/>
        <w:rPr>
          <w:rFonts w:hint="eastAsia" w:ascii="宋体" w:hAnsi="宋体" w:cs="宋体"/>
          <w:sz w:val="24"/>
        </w:rPr>
      </w:pPr>
      <w:r>
        <w:rPr>
          <w:rFonts w:hint="eastAsia" w:ascii="宋体" w:hAnsi="宋体" w:cs="宋体"/>
          <w:sz w:val="24"/>
        </w:rPr>
        <w:t xml:space="preserve">开户行：建行南通分行营业部 </w:t>
      </w:r>
    </w:p>
    <w:p w14:paraId="29D4729A">
      <w:pPr>
        <w:widowControl/>
        <w:adjustRightInd w:val="0"/>
        <w:spacing w:line="460" w:lineRule="exact"/>
        <w:ind w:firstLine="480" w:firstLineChars="200"/>
        <w:rPr>
          <w:rFonts w:hint="eastAsia" w:ascii="宋体" w:hAnsi="宋体" w:cs="宋体"/>
          <w:sz w:val="24"/>
        </w:rPr>
      </w:pPr>
      <w:r>
        <w:rPr>
          <w:rFonts w:hint="eastAsia" w:ascii="宋体" w:hAnsi="宋体" w:cs="宋体"/>
          <w:sz w:val="24"/>
        </w:rPr>
        <w:t>开户账号：32001648636050828835</w:t>
      </w:r>
    </w:p>
    <w:p w14:paraId="0AFA5480">
      <w:pPr>
        <w:spacing w:line="460" w:lineRule="exact"/>
        <w:ind w:firstLine="494" w:firstLineChars="206"/>
        <w:outlineLvl w:val="1"/>
        <w:rPr>
          <w:rFonts w:hint="eastAsia" w:ascii="宋体" w:hAnsi="宋体" w:cs="宋体"/>
          <w:sz w:val="24"/>
        </w:rPr>
      </w:pPr>
      <w:r>
        <w:rPr>
          <w:rFonts w:hint="eastAsia" w:ascii="宋体" w:hAnsi="宋体" w:cs="宋体"/>
          <w:sz w:val="24"/>
        </w:rPr>
        <w:t>1.4服务期满后， 成交供应商全部履约合同义务，提交相应的申请材料，经采购人确认后 15 个工作日内一次性退还履约保证金（扣除相关违约费用的剩余部分，不计息）。</w:t>
      </w:r>
    </w:p>
    <w:p w14:paraId="1D40FD07">
      <w:pPr>
        <w:spacing w:line="460" w:lineRule="exact"/>
        <w:ind w:firstLine="494" w:firstLineChars="206"/>
        <w:outlineLvl w:val="1"/>
        <w:rPr>
          <w:rFonts w:hint="eastAsia" w:ascii="宋体" w:hAnsi="宋体" w:cs="宋体"/>
          <w:sz w:val="24"/>
        </w:rPr>
      </w:pPr>
      <w:r>
        <w:rPr>
          <w:rFonts w:hint="eastAsia" w:ascii="宋体" w:hAnsi="宋体" w:cs="宋体"/>
          <w:sz w:val="24"/>
        </w:rPr>
        <w:t>1.5由于成交供应商原因，在签订合同后出现不按合同履行的情况，采购人有权将履约保证金作为违约金，全额不予退还，同时采购人亦有权终止合同，造成损失的，成交供应商还须承担相应的法律赔偿责任。</w:t>
      </w:r>
    </w:p>
    <w:p w14:paraId="43184537">
      <w:pPr>
        <w:keepNext/>
        <w:adjustRightInd w:val="0"/>
        <w:spacing w:line="460" w:lineRule="exact"/>
        <w:ind w:firstLine="480" w:firstLineChars="200"/>
        <w:outlineLvl w:val="3"/>
        <w:rPr>
          <w:rFonts w:hint="eastAsia" w:ascii="宋体" w:hAnsi="宋体" w:cs="宋体"/>
          <w:b/>
          <w:kern w:val="0"/>
          <w:sz w:val="24"/>
        </w:rPr>
      </w:pPr>
      <w:r>
        <w:rPr>
          <w:rFonts w:hint="eastAsia" w:ascii="宋体" w:hAnsi="宋体" w:cs="宋体"/>
          <w:kern w:val="0"/>
          <w:sz w:val="24"/>
        </w:rPr>
        <w:t>2、签订合同</w:t>
      </w:r>
    </w:p>
    <w:p w14:paraId="3C55F4AA">
      <w:pPr>
        <w:adjustRightInd w:val="0"/>
        <w:spacing w:line="460" w:lineRule="exact"/>
        <w:ind w:firstLine="480" w:firstLineChars="200"/>
        <w:rPr>
          <w:rFonts w:hint="eastAsia" w:ascii="宋体" w:hAnsi="宋体" w:cs="宋体"/>
          <w:sz w:val="24"/>
        </w:rPr>
      </w:pPr>
      <w:r>
        <w:rPr>
          <w:rFonts w:hint="eastAsia" w:ascii="宋体" w:hAnsi="宋体" w:cs="宋体"/>
          <w:bCs/>
          <w:sz w:val="24"/>
        </w:rPr>
        <w:t>2</w:t>
      </w:r>
      <w:r>
        <w:rPr>
          <w:rFonts w:hint="eastAsia" w:ascii="宋体" w:hAnsi="宋体" w:cs="宋体"/>
          <w:sz w:val="24"/>
        </w:rPr>
        <w:t>.l成交供应商应当在成交通知书发出之日起三十日内，按照比选文件确定的事项与采购人签订采购合同。</w:t>
      </w:r>
    </w:p>
    <w:p w14:paraId="741ABBDE">
      <w:pPr>
        <w:adjustRightInd w:val="0"/>
        <w:spacing w:line="460" w:lineRule="exact"/>
        <w:ind w:firstLine="480" w:firstLineChars="200"/>
        <w:rPr>
          <w:rFonts w:hint="eastAsia" w:ascii="宋体" w:hAnsi="宋体" w:cs="宋体"/>
          <w:sz w:val="24"/>
        </w:rPr>
      </w:pPr>
      <w:r>
        <w:rPr>
          <w:rFonts w:hint="eastAsia" w:ascii="宋体" w:hAnsi="宋体" w:cs="宋体"/>
          <w:sz w:val="24"/>
        </w:rPr>
        <w:t>2.2比选文件、成交供应商的响应文件及比选过程中有关澄清、承诺文件均应作为合同附件。</w:t>
      </w:r>
    </w:p>
    <w:p w14:paraId="7BBE4607">
      <w:pPr>
        <w:adjustRightInd w:val="0"/>
        <w:spacing w:line="460" w:lineRule="exact"/>
        <w:ind w:firstLine="480" w:firstLineChars="200"/>
        <w:rPr>
          <w:rFonts w:hint="eastAsia" w:ascii="宋体" w:hAnsi="宋体" w:cs="宋体"/>
          <w:sz w:val="24"/>
        </w:rPr>
      </w:pPr>
      <w:r>
        <w:rPr>
          <w:rFonts w:hint="eastAsia" w:ascii="宋体" w:hAnsi="宋体" w:cs="宋体"/>
          <w:sz w:val="24"/>
        </w:rPr>
        <w:t>2.3签订合同后，成交供应商不得将本项目相关服务进行转包。未经采购人同意，成交供应商也不得采用分包的形式履行合同，否则采购人有权终止合同，成交供应商的履约保证金将不予退还。采购合同分包履行的，成交供应商就采购项目和分包项目向采购人负责，分包供应商就分包项目承担责任。转包或分包造成采购人损失的，成交供应商应承担相应赔偿责任。</w:t>
      </w:r>
      <w:bookmarkEnd w:id="8"/>
      <w:bookmarkEnd w:id="9"/>
      <w:bookmarkEnd w:id="10"/>
    </w:p>
    <w:p w14:paraId="2EFDBC07">
      <w:pPr>
        <w:pStyle w:val="3"/>
        <w:pageBreakBefore/>
        <w:jc w:val="center"/>
        <w:rPr>
          <w:rFonts w:ascii="宋体" w:hAnsi="宋体" w:eastAsia="宋体" w:cs="宋体"/>
          <w:b/>
          <w:kern w:val="2"/>
          <w:sz w:val="36"/>
          <w:szCs w:val="36"/>
        </w:rPr>
      </w:pPr>
      <w:r>
        <w:rPr>
          <w:rFonts w:hint="eastAsia" w:ascii="宋体" w:hAnsi="宋体" w:eastAsia="宋体" w:cs="宋体"/>
          <w:b/>
          <w:kern w:val="2"/>
          <w:sz w:val="36"/>
          <w:szCs w:val="36"/>
        </w:rPr>
        <w:t>第三章 项目需求</w:t>
      </w:r>
    </w:p>
    <w:p w14:paraId="2F37BF36">
      <w:pPr>
        <w:spacing w:line="520" w:lineRule="exact"/>
        <w:ind w:firstLine="482" w:firstLineChars="200"/>
        <w:rPr>
          <w:rFonts w:hint="eastAsia" w:ascii="宋体" w:hAnsi="宋体" w:cs="宋体"/>
          <w:b/>
          <w:sz w:val="24"/>
        </w:rPr>
      </w:pPr>
      <w:r>
        <w:rPr>
          <w:rFonts w:hint="eastAsia" w:ascii="宋体" w:hAnsi="宋体" w:cs="宋体"/>
          <w:b/>
          <w:sz w:val="24"/>
        </w:rPr>
        <w:t>请供应商在响应前和制作响应文件时仔细研究项目需求说明。</w:t>
      </w:r>
    </w:p>
    <w:p w14:paraId="5B532FBE">
      <w:pPr>
        <w:spacing w:line="520" w:lineRule="exact"/>
        <w:ind w:firstLine="482" w:firstLineChars="200"/>
        <w:rPr>
          <w:rFonts w:hint="eastAsia" w:ascii="宋体" w:hAnsi="宋体" w:cs="宋体"/>
          <w:b/>
          <w:sz w:val="24"/>
        </w:rPr>
      </w:pPr>
      <w:r>
        <w:rPr>
          <w:rFonts w:hint="eastAsia" w:ascii="宋体" w:hAnsi="宋体" w:cs="宋体"/>
          <w:b/>
          <w:sz w:val="24"/>
        </w:rPr>
        <w:t>一、采购标的需实现的功能或者目标</w:t>
      </w:r>
    </w:p>
    <w:p w14:paraId="2C8A6A28">
      <w:pPr>
        <w:spacing w:line="520" w:lineRule="exact"/>
        <w:ind w:firstLine="496" w:firstLineChars="200"/>
        <w:rPr>
          <w:rFonts w:hint="eastAsia" w:ascii="宋体" w:hAnsi="宋体" w:cs="宋体"/>
          <w:sz w:val="24"/>
        </w:rPr>
      </w:pPr>
      <w:r>
        <w:rPr>
          <w:rFonts w:hint="eastAsia" w:ascii="宋体" w:hAnsi="宋体" w:cs="宋体"/>
          <w:color w:val="000000"/>
          <w:spacing w:val="4"/>
          <w:sz w:val="24"/>
          <w:shd w:val="clear" w:color="auto" w:fill="FFFFFF"/>
        </w:rPr>
        <w:t>按本项目相应的检定/校准清单，依据现行有效的国家检定规程（JJG）、国家校准规范（JJF）、行业标准以及采购人特定要求对仪器设备进行计量并出具检定/校准证书，确保仪器设备检测数据结论的准确、可靠</w:t>
      </w:r>
      <w:r>
        <w:rPr>
          <w:rFonts w:hint="eastAsia" w:ascii="宋体" w:hAnsi="宋体" w:cs="宋体"/>
          <w:sz w:val="24"/>
        </w:rPr>
        <w:t>。</w:t>
      </w:r>
    </w:p>
    <w:p w14:paraId="6E81E41F">
      <w:pPr>
        <w:spacing w:line="520" w:lineRule="exact"/>
        <w:ind w:firstLine="482" w:firstLineChars="200"/>
        <w:rPr>
          <w:rFonts w:ascii="宋体" w:hAnsi="宋体" w:cs="宋体"/>
          <w:b/>
          <w:sz w:val="24"/>
        </w:rPr>
      </w:pPr>
      <w:r>
        <w:rPr>
          <w:rFonts w:hint="eastAsia" w:ascii="宋体" w:hAnsi="宋体" w:cs="宋体"/>
          <w:b/>
          <w:sz w:val="24"/>
        </w:rPr>
        <w:t>二、技术要求</w:t>
      </w:r>
    </w:p>
    <w:p w14:paraId="7C76ADE1">
      <w:pPr>
        <w:spacing w:line="520" w:lineRule="exact"/>
        <w:ind w:firstLine="482" w:firstLineChars="200"/>
        <w:rPr>
          <w:rFonts w:hint="eastAsia" w:ascii="宋体" w:hAnsi="宋体" w:cs="宋体"/>
          <w:b/>
          <w:sz w:val="24"/>
        </w:rPr>
      </w:pPr>
      <w:r>
        <w:rPr>
          <w:rFonts w:hint="eastAsia" w:ascii="宋体" w:hAnsi="宋体" w:cs="宋体"/>
          <w:b/>
          <w:sz w:val="24"/>
        </w:rPr>
        <w:t>（一）采购标的需执行的国家相关标准、行业标准、地方标准或者其他标准、规范</w:t>
      </w:r>
    </w:p>
    <w:p w14:paraId="20AA4A2B">
      <w:pPr>
        <w:widowControl/>
        <w:spacing w:before="100" w:after="100" w:line="360" w:lineRule="auto"/>
        <w:ind w:firstLine="508" w:firstLineChars="200"/>
        <w:jc w:val="left"/>
        <w:rPr>
          <w:rFonts w:ascii="宋体" w:hAnsi="宋体" w:cs="宋体"/>
          <w:spacing w:val="7"/>
          <w:kern w:val="0"/>
          <w:sz w:val="24"/>
          <w:shd w:val="clear" w:color="auto" w:fill="FFFFFF"/>
        </w:rPr>
      </w:pPr>
      <w:r>
        <w:rPr>
          <w:rFonts w:hint="eastAsia" w:ascii="宋体" w:hAnsi="宋体" w:cs="宋体"/>
          <w:spacing w:val="7"/>
          <w:kern w:val="0"/>
          <w:sz w:val="24"/>
          <w:shd w:val="clear" w:color="auto" w:fill="FFFFFF"/>
          <w:lang w:val="zh-CN"/>
        </w:rPr>
        <w:t>计量检定机构</w:t>
      </w:r>
      <w:r>
        <w:rPr>
          <w:rFonts w:hint="eastAsia" w:ascii="宋体" w:hAnsi="宋体" w:cs="宋体"/>
          <w:spacing w:val="7"/>
          <w:kern w:val="0"/>
          <w:sz w:val="24"/>
          <w:shd w:val="clear" w:color="auto" w:fill="FFFFFF"/>
        </w:rPr>
        <w:t>需具备按相关标准检定（校准）以下项目的能力</w:t>
      </w:r>
    </w:p>
    <w:tbl>
      <w:tblPr>
        <w:tblStyle w:val="15"/>
        <w:tblpPr w:leftFromText="180" w:rightFromText="180" w:vertAnchor="text" w:horzAnchor="page" w:tblpX="1615" w:tblpY="548"/>
        <w:tblOverlap w:val="never"/>
        <w:tblW w:w="90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680"/>
        <w:gridCol w:w="1681"/>
        <w:gridCol w:w="765"/>
        <w:gridCol w:w="1320"/>
        <w:gridCol w:w="2713"/>
      </w:tblGrid>
      <w:tr w14:paraId="02F62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869" w:type="dxa"/>
            <w:noWrap w:val="0"/>
            <w:vAlign w:val="center"/>
          </w:tcPr>
          <w:p w14:paraId="79D5163D">
            <w:pPr>
              <w:pStyle w:val="20"/>
              <w:spacing w:before="61" w:line="184" w:lineRule="auto"/>
              <w:jc w:val="center"/>
              <w:rPr>
                <w:rFonts w:hint="eastAsia" w:ascii="宋体" w:hAnsi="宋体" w:eastAsia="宋体" w:cs="宋体"/>
                <w:spacing w:val="7"/>
                <w:sz w:val="24"/>
                <w:szCs w:val="24"/>
                <w:highlight w:val="none"/>
                <w:shd w:val="clear" w:color="auto" w:fill="FFFFFF"/>
                <w:vertAlign w:val="baseline"/>
                <w:lang w:val="en-US" w:eastAsia="zh-CN"/>
              </w:rPr>
            </w:pPr>
            <w:r>
              <w:rPr>
                <w:rFonts w:hint="eastAsia" w:ascii="宋体" w:hAnsi="宋体" w:eastAsia="宋体" w:cs="宋体"/>
                <w:b/>
                <w:bCs/>
                <w:sz w:val="24"/>
                <w:szCs w:val="24"/>
                <w:highlight w:val="none"/>
                <w:lang w:val="en-US" w:eastAsia="zh-CN"/>
              </w:rPr>
              <w:t>序号</w:t>
            </w:r>
          </w:p>
        </w:tc>
        <w:tc>
          <w:tcPr>
            <w:tcW w:w="1680" w:type="dxa"/>
            <w:noWrap w:val="0"/>
            <w:vAlign w:val="center"/>
          </w:tcPr>
          <w:p w14:paraId="7FAA9E53">
            <w:pPr>
              <w:jc w:val="center"/>
              <w:rPr>
                <w:rFonts w:hint="eastAsia" w:ascii="宋体" w:hAnsi="宋体" w:eastAsia="宋体" w:cs="宋体"/>
                <w:spacing w:val="7"/>
                <w:sz w:val="24"/>
                <w:szCs w:val="24"/>
                <w:highlight w:val="none"/>
                <w:shd w:val="clear" w:color="auto" w:fill="FFFFFF"/>
                <w:vertAlign w:val="baseline"/>
                <w:lang w:val="en-US" w:eastAsia="zh-CN"/>
              </w:rPr>
            </w:pPr>
            <w:r>
              <w:rPr>
                <w:rFonts w:hint="eastAsia" w:ascii="宋体" w:hAnsi="宋体" w:eastAsia="宋体" w:cs="宋体"/>
                <w:b/>
                <w:bCs/>
                <w:sz w:val="24"/>
                <w:szCs w:val="24"/>
                <w:highlight w:val="none"/>
                <w:lang w:val="en-US" w:eastAsia="zh-CN"/>
              </w:rPr>
              <w:t>仪器</w:t>
            </w:r>
            <w:r>
              <w:rPr>
                <w:rFonts w:hint="eastAsia" w:ascii="宋体" w:hAnsi="宋体" w:eastAsia="宋体" w:cs="宋体"/>
                <w:b/>
                <w:bCs/>
                <w:sz w:val="24"/>
                <w:szCs w:val="24"/>
                <w:highlight w:val="none"/>
              </w:rPr>
              <w:t>名称</w:t>
            </w:r>
          </w:p>
        </w:tc>
        <w:tc>
          <w:tcPr>
            <w:tcW w:w="1681" w:type="dxa"/>
            <w:noWrap w:val="0"/>
            <w:vAlign w:val="center"/>
          </w:tcPr>
          <w:p w14:paraId="3F46E725">
            <w:pPr>
              <w:jc w:val="center"/>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仪器型号</w:t>
            </w:r>
          </w:p>
        </w:tc>
        <w:tc>
          <w:tcPr>
            <w:tcW w:w="765" w:type="dxa"/>
            <w:noWrap w:val="0"/>
            <w:vAlign w:val="center"/>
          </w:tcPr>
          <w:p w14:paraId="14DD557E">
            <w:pPr>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套数</w:t>
            </w:r>
          </w:p>
        </w:tc>
        <w:tc>
          <w:tcPr>
            <w:tcW w:w="1320" w:type="dxa"/>
            <w:noWrap w:val="0"/>
            <w:vAlign w:val="center"/>
          </w:tcPr>
          <w:p w14:paraId="567A0149">
            <w:pPr>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证书形式</w:t>
            </w:r>
          </w:p>
        </w:tc>
        <w:tc>
          <w:tcPr>
            <w:tcW w:w="2713" w:type="dxa"/>
            <w:noWrap w:val="0"/>
            <w:vAlign w:val="center"/>
          </w:tcPr>
          <w:p w14:paraId="6CE0EEAD">
            <w:pPr>
              <w:jc w:val="center"/>
              <w:rPr>
                <w:rFonts w:hint="eastAsia" w:ascii="宋体" w:hAnsi="宋体" w:eastAsia="宋体" w:cs="宋体"/>
                <w:spacing w:val="7"/>
                <w:sz w:val="24"/>
                <w:szCs w:val="24"/>
                <w:highlight w:val="none"/>
                <w:shd w:val="clear" w:color="auto" w:fill="FFFFFF"/>
                <w:vertAlign w:val="baseline"/>
                <w:lang w:val="en-US" w:eastAsia="zh-CN"/>
              </w:rPr>
            </w:pPr>
            <w:r>
              <w:rPr>
                <w:rFonts w:hint="eastAsia" w:ascii="宋体" w:hAnsi="宋体" w:eastAsia="宋体" w:cs="宋体"/>
                <w:b/>
                <w:bCs/>
                <w:sz w:val="24"/>
                <w:szCs w:val="24"/>
                <w:highlight w:val="none"/>
              </w:rPr>
              <w:t>依据检定规程编号</w:t>
            </w:r>
          </w:p>
        </w:tc>
      </w:tr>
      <w:tr w14:paraId="62E62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9" w:type="dxa"/>
            <w:noWrap w:val="0"/>
            <w:vAlign w:val="center"/>
          </w:tcPr>
          <w:p w14:paraId="58E0BB5A">
            <w:pPr>
              <w:pStyle w:val="20"/>
              <w:spacing w:before="61" w:line="184" w:lineRule="auto"/>
              <w:jc w:val="center"/>
              <w:rPr>
                <w:rFonts w:hint="eastAsia" w:ascii="宋体" w:hAnsi="宋体" w:eastAsia="宋体" w:cs="宋体"/>
                <w:spacing w:val="7"/>
                <w:sz w:val="21"/>
                <w:szCs w:val="21"/>
                <w:highlight w:val="none"/>
                <w:shd w:val="clear" w:color="auto" w:fill="FFFFFF"/>
                <w:vertAlign w:val="baseline"/>
                <w:lang w:val="en-US" w:eastAsia="zh-CN"/>
              </w:rPr>
            </w:pPr>
            <w:r>
              <w:rPr>
                <w:rFonts w:hint="eastAsia" w:ascii="宋体" w:hAnsi="宋体" w:eastAsia="宋体" w:cs="宋体"/>
                <w:sz w:val="21"/>
                <w:szCs w:val="21"/>
                <w:highlight w:val="none"/>
                <w:lang w:val="en-US" w:eastAsia="zh-CN"/>
              </w:rPr>
              <w:t>1</w:t>
            </w:r>
          </w:p>
        </w:tc>
        <w:tc>
          <w:tcPr>
            <w:tcW w:w="1680" w:type="dxa"/>
            <w:noWrap w:val="0"/>
            <w:vAlign w:val="center"/>
          </w:tcPr>
          <w:p w14:paraId="79DEA68C">
            <w:pPr>
              <w:jc w:val="center"/>
              <w:rPr>
                <w:rFonts w:hint="eastAsia" w:ascii="宋体" w:hAnsi="宋体" w:eastAsia="宋体" w:cs="宋体"/>
                <w:spacing w:val="7"/>
                <w:sz w:val="21"/>
                <w:szCs w:val="21"/>
                <w:highlight w:val="none"/>
                <w:shd w:val="clear" w:color="auto" w:fill="FFFFFF"/>
                <w:vertAlign w:val="baseline"/>
                <w:lang w:val="en-US" w:eastAsia="zh-CN"/>
              </w:rPr>
            </w:pPr>
            <w:r>
              <w:rPr>
                <w:rFonts w:hint="eastAsia" w:ascii="宋体" w:hAnsi="宋体" w:eastAsia="宋体" w:cs="宋体"/>
                <w:sz w:val="21"/>
                <w:szCs w:val="21"/>
                <w:highlight w:val="none"/>
              </w:rPr>
              <w:t>气相色谱仪</w:t>
            </w:r>
          </w:p>
        </w:tc>
        <w:tc>
          <w:tcPr>
            <w:tcW w:w="1681" w:type="dxa"/>
            <w:noWrap w:val="0"/>
            <w:vAlign w:val="center"/>
          </w:tcPr>
          <w:p w14:paraId="674C5DC8">
            <w:pPr>
              <w:keepNext w:val="0"/>
              <w:keepLines w:val="0"/>
              <w:pageBreakBefore w:val="0"/>
              <w:widowControl/>
              <w:suppressLineNumbers w:val="0"/>
              <w:kinsoku/>
              <w:wordWrap/>
              <w:overflowPunct/>
              <w:topLinePunct w:val="0"/>
              <w:autoSpaceDE/>
              <w:autoSpaceDN/>
              <w:bidi w:val="0"/>
              <w:adjustRightInd/>
              <w:spacing w:line="240" w:lineRule="auto"/>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szCs w:val="21"/>
                <w:lang w:val="en-US" w:eastAsia="zh-CN"/>
              </w:rPr>
              <w:t>岛津</w:t>
            </w:r>
            <w:r>
              <w:rPr>
                <w:rFonts w:hint="eastAsia" w:ascii="宋体" w:hAnsi="宋体" w:eastAsia="宋体" w:cs="宋体"/>
                <w:szCs w:val="21"/>
              </w:rPr>
              <w:t>GC-2010</w:t>
            </w:r>
          </w:p>
        </w:tc>
        <w:tc>
          <w:tcPr>
            <w:tcW w:w="765" w:type="dxa"/>
            <w:noWrap w:val="0"/>
            <w:vAlign w:val="center"/>
          </w:tcPr>
          <w:p w14:paraId="63C93272">
            <w:pPr>
              <w:keepNext w:val="0"/>
              <w:keepLines w:val="0"/>
              <w:pageBreakBefore w:val="0"/>
              <w:widowControl/>
              <w:suppressLineNumbers w:val="0"/>
              <w:kinsoku/>
              <w:wordWrap/>
              <w:overflowPunct/>
              <w:topLinePunct w:val="0"/>
              <w:autoSpaceDE/>
              <w:autoSpaceDN/>
              <w:bidi w:val="0"/>
              <w:adjustRightInd/>
              <w:spacing w:line="240" w:lineRule="auto"/>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1320" w:type="dxa"/>
            <w:noWrap w:val="0"/>
            <w:vAlign w:val="center"/>
          </w:tcPr>
          <w:p w14:paraId="21F19597">
            <w:pPr>
              <w:keepNext w:val="0"/>
              <w:keepLines w:val="0"/>
              <w:pageBreakBefore w:val="0"/>
              <w:widowControl/>
              <w:suppressLineNumbers w:val="0"/>
              <w:kinsoku/>
              <w:wordWrap/>
              <w:overflowPunct/>
              <w:topLinePunct w:val="0"/>
              <w:autoSpaceDE/>
              <w:autoSpaceDN/>
              <w:bidi w:val="0"/>
              <w:adjustRightInd/>
              <w:spacing w:line="240" w:lineRule="auto"/>
              <w:jc w:val="center"/>
              <w:textAlignment w:val="bottom"/>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校准</w:t>
            </w:r>
          </w:p>
        </w:tc>
        <w:tc>
          <w:tcPr>
            <w:tcW w:w="2713" w:type="dxa"/>
            <w:noWrap w:val="0"/>
            <w:vAlign w:val="center"/>
          </w:tcPr>
          <w:p w14:paraId="61638C55">
            <w:pPr>
              <w:jc w:val="center"/>
              <w:rPr>
                <w:rFonts w:hint="eastAsia" w:ascii="宋体" w:hAnsi="宋体" w:eastAsia="宋体" w:cs="宋体"/>
                <w:spacing w:val="7"/>
                <w:sz w:val="21"/>
                <w:szCs w:val="21"/>
                <w:highlight w:val="none"/>
                <w:shd w:val="clear" w:color="auto" w:fill="FFFFFF"/>
                <w:vertAlign w:val="baseline"/>
                <w:lang w:val="en-US" w:eastAsia="zh-CN"/>
              </w:rPr>
            </w:pPr>
            <w:r>
              <w:rPr>
                <w:rFonts w:hint="eastAsia" w:ascii="宋体" w:hAnsi="宋体" w:eastAsia="宋体" w:cs="宋体"/>
                <w:sz w:val="21"/>
                <w:szCs w:val="21"/>
                <w:highlight w:val="none"/>
              </w:rPr>
              <w:t>JJG 700-2016《气相色谱仪检定规程》</w:t>
            </w:r>
          </w:p>
        </w:tc>
      </w:tr>
      <w:tr w14:paraId="71446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9" w:type="dxa"/>
            <w:noWrap w:val="0"/>
            <w:vAlign w:val="center"/>
          </w:tcPr>
          <w:p w14:paraId="2F766E6D">
            <w:pPr>
              <w:pStyle w:val="20"/>
              <w:spacing w:before="61" w:line="184" w:lineRule="auto"/>
              <w:jc w:val="center"/>
              <w:rPr>
                <w:rFonts w:hint="default" w:ascii="宋体" w:hAnsi="宋体" w:eastAsia="宋体" w:cs="宋体"/>
                <w:sz w:val="21"/>
                <w:szCs w:val="21"/>
                <w:highlight w:val="none"/>
                <w:lang w:val="en-US" w:eastAsia="zh-CN"/>
              </w:rPr>
            </w:pPr>
            <w:r>
              <w:rPr>
                <w:rFonts w:hint="eastAsia" w:cs="宋体"/>
                <w:sz w:val="21"/>
                <w:szCs w:val="21"/>
                <w:highlight w:val="none"/>
                <w:lang w:val="en-US" w:eastAsia="zh-CN"/>
              </w:rPr>
              <w:t>2</w:t>
            </w:r>
          </w:p>
        </w:tc>
        <w:tc>
          <w:tcPr>
            <w:tcW w:w="1680" w:type="dxa"/>
            <w:noWrap w:val="0"/>
            <w:vAlign w:val="center"/>
          </w:tcPr>
          <w:p w14:paraId="26419CC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气相色谱仪</w:t>
            </w:r>
          </w:p>
        </w:tc>
        <w:tc>
          <w:tcPr>
            <w:tcW w:w="1681" w:type="dxa"/>
            <w:noWrap w:val="0"/>
            <w:vAlign w:val="center"/>
          </w:tcPr>
          <w:p w14:paraId="4B7C19AC">
            <w:pPr>
              <w:keepNext w:val="0"/>
              <w:keepLines w:val="0"/>
              <w:pageBreakBefore w:val="0"/>
              <w:widowControl/>
              <w:suppressLineNumbers w:val="0"/>
              <w:kinsoku/>
              <w:wordWrap/>
              <w:overflowPunct/>
              <w:topLinePunct w:val="0"/>
              <w:autoSpaceDE/>
              <w:autoSpaceDN/>
              <w:bidi w:val="0"/>
              <w:adjustRightInd/>
              <w:spacing w:line="240" w:lineRule="auto"/>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szCs w:val="21"/>
                <w:lang w:val="en-US" w:eastAsia="zh-CN"/>
              </w:rPr>
              <w:t>安捷伦</w:t>
            </w:r>
            <w:r>
              <w:rPr>
                <w:rFonts w:hint="eastAsia" w:ascii="宋体" w:hAnsi="宋体" w:eastAsia="宋体" w:cs="宋体"/>
                <w:szCs w:val="21"/>
              </w:rPr>
              <w:t>8890</w:t>
            </w:r>
          </w:p>
        </w:tc>
        <w:tc>
          <w:tcPr>
            <w:tcW w:w="765" w:type="dxa"/>
            <w:noWrap w:val="0"/>
            <w:vAlign w:val="center"/>
          </w:tcPr>
          <w:p w14:paraId="7775622F">
            <w:pPr>
              <w:keepNext w:val="0"/>
              <w:keepLines w:val="0"/>
              <w:pageBreakBefore w:val="0"/>
              <w:widowControl/>
              <w:suppressLineNumbers w:val="0"/>
              <w:kinsoku/>
              <w:wordWrap/>
              <w:overflowPunct/>
              <w:topLinePunct w:val="0"/>
              <w:autoSpaceDE/>
              <w:autoSpaceDN/>
              <w:bidi w:val="0"/>
              <w:adjustRightInd/>
              <w:spacing w:line="240" w:lineRule="auto"/>
              <w:jc w:val="center"/>
              <w:textAlignment w:val="bottom"/>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1320" w:type="dxa"/>
            <w:noWrap w:val="0"/>
            <w:vAlign w:val="center"/>
          </w:tcPr>
          <w:p w14:paraId="5FFF860C">
            <w:pPr>
              <w:keepNext w:val="0"/>
              <w:keepLines w:val="0"/>
              <w:pageBreakBefore w:val="0"/>
              <w:widowControl/>
              <w:suppressLineNumbers w:val="0"/>
              <w:kinsoku/>
              <w:wordWrap/>
              <w:overflowPunct/>
              <w:topLinePunct w:val="0"/>
              <w:autoSpaceDE/>
              <w:autoSpaceDN/>
              <w:bidi w:val="0"/>
              <w:adjustRightInd/>
              <w:spacing w:line="240" w:lineRule="auto"/>
              <w:jc w:val="center"/>
              <w:textAlignment w:val="bottom"/>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校准</w:t>
            </w:r>
          </w:p>
        </w:tc>
        <w:tc>
          <w:tcPr>
            <w:tcW w:w="2713" w:type="dxa"/>
            <w:noWrap w:val="0"/>
            <w:vAlign w:val="center"/>
          </w:tcPr>
          <w:p w14:paraId="3D12F7E8">
            <w:pPr>
              <w:jc w:val="center"/>
              <w:rPr>
                <w:rFonts w:hint="eastAsia" w:ascii="宋体" w:hAnsi="宋体" w:eastAsia="宋体" w:cs="宋体"/>
                <w:spacing w:val="7"/>
                <w:kern w:val="2"/>
                <w:sz w:val="21"/>
                <w:szCs w:val="21"/>
                <w:highlight w:val="none"/>
                <w:shd w:val="clear" w:color="auto" w:fill="FFFFFF"/>
                <w:vertAlign w:val="baseline"/>
                <w:lang w:val="en-US" w:eastAsia="zh-CN" w:bidi="ar-SA"/>
              </w:rPr>
            </w:pPr>
            <w:r>
              <w:rPr>
                <w:rFonts w:hint="eastAsia" w:ascii="宋体" w:hAnsi="宋体" w:eastAsia="宋体" w:cs="宋体"/>
                <w:sz w:val="21"/>
                <w:szCs w:val="21"/>
                <w:highlight w:val="none"/>
              </w:rPr>
              <w:t>JJG 700-2016《气相色谱仪检定规程》</w:t>
            </w:r>
          </w:p>
        </w:tc>
      </w:tr>
      <w:tr w14:paraId="2B42B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69" w:type="dxa"/>
            <w:noWrap w:val="0"/>
            <w:vAlign w:val="center"/>
          </w:tcPr>
          <w:p w14:paraId="5A095EB0">
            <w:pPr>
              <w:pStyle w:val="20"/>
              <w:spacing w:before="61" w:line="183" w:lineRule="auto"/>
              <w:jc w:val="center"/>
              <w:rPr>
                <w:rFonts w:hint="eastAsia" w:ascii="宋体" w:hAnsi="宋体" w:eastAsia="宋体" w:cs="宋体"/>
                <w:spacing w:val="7"/>
                <w:sz w:val="21"/>
                <w:szCs w:val="21"/>
                <w:highlight w:val="none"/>
                <w:shd w:val="clear" w:color="auto" w:fill="FFFFFF"/>
                <w:vertAlign w:val="baseline"/>
                <w:lang w:val="en-US" w:eastAsia="zh-CN"/>
              </w:rPr>
            </w:pPr>
            <w:r>
              <w:rPr>
                <w:rFonts w:hint="eastAsia" w:cs="宋体"/>
                <w:sz w:val="21"/>
                <w:szCs w:val="21"/>
                <w:highlight w:val="none"/>
                <w:lang w:val="en-US" w:eastAsia="zh-CN"/>
              </w:rPr>
              <w:t>3</w:t>
            </w:r>
          </w:p>
        </w:tc>
        <w:tc>
          <w:tcPr>
            <w:tcW w:w="1680" w:type="dxa"/>
            <w:noWrap w:val="0"/>
            <w:vAlign w:val="center"/>
          </w:tcPr>
          <w:p w14:paraId="5837C087">
            <w:pPr>
              <w:jc w:val="center"/>
              <w:rPr>
                <w:rFonts w:hint="eastAsia" w:ascii="宋体" w:hAnsi="宋体" w:eastAsia="宋体" w:cs="宋体"/>
                <w:spacing w:val="7"/>
                <w:sz w:val="21"/>
                <w:szCs w:val="21"/>
                <w:highlight w:val="none"/>
                <w:shd w:val="clear" w:color="auto" w:fill="FFFFFF"/>
                <w:vertAlign w:val="baseline"/>
                <w:lang w:val="en-US" w:eastAsia="zh-CN"/>
              </w:rPr>
            </w:pPr>
            <w:r>
              <w:rPr>
                <w:rFonts w:hint="eastAsia" w:ascii="宋体" w:hAnsi="宋体" w:eastAsia="宋体" w:cs="宋体"/>
                <w:sz w:val="21"/>
                <w:szCs w:val="21"/>
                <w:highlight w:val="none"/>
              </w:rPr>
              <w:t>原子荧光光度计</w:t>
            </w:r>
          </w:p>
        </w:tc>
        <w:tc>
          <w:tcPr>
            <w:tcW w:w="1681" w:type="dxa"/>
            <w:noWrap w:val="0"/>
            <w:vAlign w:val="center"/>
          </w:tcPr>
          <w:p w14:paraId="1B0F00BF">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szCs w:val="21"/>
                <w:lang w:val="en-US" w:eastAsia="zh-CN"/>
              </w:rPr>
              <w:t>吉天</w:t>
            </w:r>
            <w:r>
              <w:rPr>
                <w:rFonts w:hint="eastAsia" w:ascii="宋体" w:hAnsi="宋体" w:eastAsia="宋体" w:cs="宋体"/>
                <w:szCs w:val="21"/>
              </w:rPr>
              <w:t>AFS-933</w:t>
            </w:r>
          </w:p>
        </w:tc>
        <w:tc>
          <w:tcPr>
            <w:tcW w:w="765" w:type="dxa"/>
            <w:noWrap w:val="0"/>
            <w:vAlign w:val="center"/>
          </w:tcPr>
          <w:p w14:paraId="4C705345">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1320" w:type="dxa"/>
            <w:noWrap w:val="0"/>
            <w:vAlign w:val="center"/>
          </w:tcPr>
          <w:p w14:paraId="7D7FA0A7">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校准</w:t>
            </w:r>
          </w:p>
        </w:tc>
        <w:tc>
          <w:tcPr>
            <w:tcW w:w="2713" w:type="dxa"/>
            <w:noWrap w:val="0"/>
            <w:vAlign w:val="center"/>
          </w:tcPr>
          <w:p w14:paraId="36B22789">
            <w:pPr>
              <w:jc w:val="center"/>
              <w:rPr>
                <w:rFonts w:hint="eastAsia" w:ascii="宋体" w:hAnsi="宋体" w:eastAsia="宋体" w:cs="宋体"/>
                <w:spacing w:val="7"/>
                <w:sz w:val="21"/>
                <w:szCs w:val="21"/>
                <w:highlight w:val="none"/>
                <w:shd w:val="clear" w:color="auto" w:fill="FFFFFF"/>
                <w:vertAlign w:val="baseline"/>
                <w:lang w:val="en-US" w:eastAsia="zh-CN"/>
              </w:rPr>
            </w:pPr>
            <w:r>
              <w:rPr>
                <w:rFonts w:hint="eastAsia" w:ascii="宋体" w:hAnsi="宋体" w:eastAsia="宋体" w:cs="宋体"/>
                <w:sz w:val="21"/>
                <w:szCs w:val="21"/>
                <w:highlight w:val="none"/>
              </w:rPr>
              <w:t>JJG 939-2009《原子荧光光度计检定规程》</w:t>
            </w:r>
          </w:p>
        </w:tc>
      </w:tr>
      <w:tr w14:paraId="111E9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69" w:type="dxa"/>
            <w:noWrap w:val="0"/>
            <w:vAlign w:val="center"/>
          </w:tcPr>
          <w:p w14:paraId="2AF2682E">
            <w:pPr>
              <w:pStyle w:val="20"/>
              <w:spacing w:before="61" w:line="183" w:lineRule="auto"/>
              <w:jc w:val="center"/>
              <w:rPr>
                <w:rFonts w:hint="default" w:ascii="宋体" w:hAnsi="宋体" w:eastAsia="宋体" w:cs="宋体"/>
                <w:sz w:val="21"/>
                <w:szCs w:val="21"/>
                <w:highlight w:val="none"/>
                <w:lang w:val="en-US" w:eastAsia="zh-CN"/>
              </w:rPr>
            </w:pPr>
            <w:r>
              <w:rPr>
                <w:rFonts w:hint="eastAsia" w:cs="宋体"/>
                <w:sz w:val="21"/>
                <w:szCs w:val="21"/>
                <w:highlight w:val="none"/>
                <w:lang w:val="en-US" w:eastAsia="zh-CN"/>
              </w:rPr>
              <w:t>4</w:t>
            </w:r>
          </w:p>
        </w:tc>
        <w:tc>
          <w:tcPr>
            <w:tcW w:w="1680" w:type="dxa"/>
            <w:noWrap w:val="0"/>
            <w:vAlign w:val="center"/>
          </w:tcPr>
          <w:p w14:paraId="1D654563">
            <w:pPr>
              <w:jc w:val="center"/>
              <w:rPr>
                <w:rFonts w:hint="eastAsia" w:ascii="宋体" w:hAnsi="宋体" w:eastAsia="宋体" w:cs="宋体"/>
                <w:spacing w:val="7"/>
                <w:kern w:val="2"/>
                <w:sz w:val="21"/>
                <w:szCs w:val="21"/>
                <w:highlight w:val="none"/>
                <w:shd w:val="clear" w:color="auto" w:fill="FFFFFF"/>
                <w:vertAlign w:val="baseline"/>
                <w:lang w:val="en-US" w:eastAsia="zh-CN" w:bidi="ar-SA"/>
              </w:rPr>
            </w:pPr>
            <w:r>
              <w:rPr>
                <w:rFonts w:hint="eastAsia" w:ascii="宋体" w:hAnsi="宋体" w:eastAsia="宋体" w:cs="宋体"/>
                <w:sz w:val="21"/>
                <w:szCs w:val="21"/>
                <w:highlight w:val="none"/>
              </w:rPr>
              <w:t>原子荧光光度计</w:t>
            </w:r>
          </w:p>
        </w:tc>
        <w:tc>
          <w:tcPr>
            <w:tcW w:w="1681" w:type="dxa"/>
            <w:noWrap w:val="0"/>
            <w:vAlign w:val="center"/>
          </w:tcPr>
          <w:p w14:paraId="69A27ABA">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szCs w:val="21"/>
                <w:lang w:val="en-US" w:eastAsia="zh-CN"/>
              </w:rPr>
              <w:t>吉天</w:t>
            </w:r>
            <w:r>
              <w:rPr>
                <w:rFonts w:hint="eastAsia" w:ascii="宋体" w:hAnsi="宋体" w:eastAsia="宋体" w:cs="宋体"/>
                <w:szCs w:val="21"/>
              </w:rPr>
              <w:t>AFS-11B</w:t>
            </w:r>
          </w:p>
        </w:tc>
        <w:tc>
          <w:tcPr>
            <w:tcW w:w="765" w:type="dxa"/>
            <w:noWrap w:val="0"/>
            <w:vAlign w:val="center"/>
          </w:tcPr>
          <w:p w14:paraId="0D89FF40">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1320" w:type="dxa"/>
            <w:noWrap w:val="0"/>
            <w:vAlign w:val="center"/>
          </w:tcPr>
          <w:p w14:paraId="0F8A39C0">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校准</w:t>
            </w:r>
          </w:p>
        </w:tc>
        <w:tc>
          <w:tcPr>
            <w:tcW w:w="2713" w:type="dxa"/>
            <w:noWrap w:val="0"/>
            <w:vAlign w:val="center"/>
          </w:tcPr>
          <w:p w14:paraId="44F723D2">
            <w:pPr>
              <w:jc w:val="center"/>
              <w:rPr>
                <w:rFonts w:hint="eastAsia" w:ascii="宋体" w:hAnsi="宋体" w:eastAsia="宋体" w:cs="宋体"/>
                <w:spacing w:val="7"/>
                <w:kern w:val="2"/>
                <w:sz w:val="21"/>
                <w:szCs w:val="21"/>
                <w:highlight w:val="none"/>
                <w:shd w:val="clear" w:color="auto" w:fill="FFFFFF"/>
                <w:vertAlign w:val="baseline"/>
                <w:lang w:val="en-US" w:eastAsia="zh-CN" w:bidi="ar-SA"/>
              </w:rPr>
            </w:pPr>
            <w:r>
              <w:rPr>
                <w:rFonts w:hint="eastAsia" w:ascii="宋体" w:hAnsi="宋体" w:eastAsia="宋体" w:cs="宋体"/>
                <w:sz w:val="21"/>
                <w:szCs w:val="21"/>
                <w:highlight w:val="none"/>
              </w:rPr>
              <w:t>JJG 939-2009《原子荧光光度计检定规程》</w:t>
            </w:r>
          </w:p>
        </w:tc>
      </w:tr>
      <w:tr w14:paraId="49661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9" w:type="dxa"/>
            <w:noWrap w:val="0"/>
            <w:vAlign w:val="center"/>
          </w:tcPr>
          <w:p w14:paraId="4F478508">
            <w:pPr>
              <w:pStyle w:val="20"/>
              <w:spacing w:before="263" w:line="184" w:lineRule="auto"/>
              <w:jc w:val="center"/>
              <w:rPr>
                <w:rFonts w:hint="eastAsia" w:ascii="宋体" w:hAnsi="宋体" w:eastAsia="宋体" w:cs="宋体"/>
                <w:spacing w:val="7"/>
                <w:sz w:val="21"/>
                <w:szCs w:val="21"/>
                <w:highlight w:val="none"/>
                <w:shd w:val="clear" w:color="auto" w:fill="FFFFFF"/>
                <w:vertAlign w:val="baseline"/>
                <w:lang w:val="en-US" w:eastAsia="zh-CN"/>
              </w:rPr>
            </w:pPr>
            <w:r>
              <w:rPr>
                <w:rFonts w:hint="eastAsia" w:cs="宋体"/>
                <w:sz w:val="21"/>
                <w:szCs w:val="21"/>
                <w:highlight w:val="none"/>
                <w:lang w:val="en-US" w:eastAsia="zh-CN"/>
              </w:rPr>
              <w:t>5</w:t>
            </w:r>
          </w:p>
        </w:tc>
        <w:tc>
          <w:tcPr>
            <w:tcW w:w="1680" w:type="dxa"/>
            <w:noWrap w:val="0"/>
            <w:vAlign w:val="center"/>
          </w:tcPr>
          <w:p w14:paraId="11E870A1">
            <w:pPr>
              <w:jc w:val="center"/>
              <w:rPr>
                <w:rFonts w:hint="eastAsia" w:ascii="宋体" w:hAnsi="宋体" w:eastAsia="宋体" w:cs="宋体"/>
                <w:spacing w:val="7"/>
                <w:sz w:val="21"/>
                <w:szCs w:val="21"/>
                <w:highlight w:val="none"/>
                <w:shd w:val="clear" w:color="auto" w:fill="FFFFFF"/>
                <w:vertAlign w:val="baseline"/>
                <w:lang w:val="en-US" w:eastAsia="zh-CN"/>
              </w:rPr>
            </w:pPr>
            <w:r>
              <w:rPr>
                <w:rFonts w:hint="eastAsia" w:ascii="宋体" w:hAnsi="宋体" w:eastAsia="宋体" w:cs="宋体"/>
                <w:sz w:val="21"/>
                <w:szCs w:val="21"/>
                <w:highlight w:val="none"/>
              </w:rPr>
              <w:t>原子吸收分光光度计</w:t>
            </w:r>
          </w:p>
        </w:tc>
        <w:tc>
          <w:tcPr>
            <w:tcW w:w="1681" w:type="dxa"/>
            <w:noWrap w:val="0"/>
            <w:vAlign w:val="center"/>
          </w:tcPr>
          <w:p w14:paraId="39628F87">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szCs w:val="21"/>
                <w:lang w:val="en-US" w:eastAsia="zh-CN"/>
              </w:rPr>
              <w:t>瓦里安</w:t>
            </w:r>
            <w:r>
              <w:rPr>
                <w:rFonts w:hint="eastAsia" w:ascii="宋体" w:hAnsi="宋体" w:eastAsia="宋体" w:cs="宋体"/>
                <w:szCs w:val="21"/>
              </w:rPr>
              <w:t>AA-240</w:t>
            </w:r>
          </w:p>
        </w:tc>
        <w:tc>
          <w:tcPr>
            <w:tcW w:w="765" w:type="dxa"/>
            <w:noWrap w:val="0"/>
            <w:vAlign w:val="center"/>
          </w:tcPr>
          <w:p w14:paraId="66AAB75A">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1320" w:type="dxa"/>
            <w:noWrap w:val="0"/>
            <w:vAlign w:val="center"/>
          </w:tcPr>
          <w:p w14:paraId="7C5BE3F1">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校准</w:t>
            </w:r>
          </w:p>
        </w:tc>
        <w:tc>
          <w:tcPr>
            <w:tcW w:w="2713" w:type="dxa"/>
            <w:noWrap w:val="0"/>
            <w:vAlign w:val="center"/>
          </w:tcPr>
          <w:p w14:paraId="51EEA216">
            <w:pPr>
              <w:jc w:val="center"/>
              <w:rPr>
                <w:rFonts w:hint="eastAsia" w:ascii="宋体" w:hAnsi="宋体" w:eastAsia="宋体" w:cs="宋体"/>
                <w:spacing w:val="7"/>
                <w:sz w:val="21"/>
                <w:szCs w:val="21"/>
                <w:highlight w:val="none"/>
                <w:shd w:val="clear" w:color="auto" w:fill="FFFFFF"/>
                <w:vertAlign w:val="baseline"/>
                <w:lang w:val="en-US" w:eastAsia="zh-CN"/>
              </w:rPr>
            </w:pPr>
            <w:r>
              <w:rPr>
                <w:rFonts w:hint="eastAsia" w:ascii="宋体" w:hAnsi="宋体" w:eastAsia="宋体" w:cs="宋体"/>
                <w:sz w:val="21"/>
                <w:szCs w:val="21"/>
                <w:highlight w:val="none"/>
              </w:rPr>
              <w:t>J</w:t>
            </w:r>
            <w:r>
              <w:rPr>
                <w:rFonts w:hint="eastAsia" w:ascii="宋体" w:hAnsi="宋体" w:cs="宋体"/>
                <w:sz w:val="21"/>
                <w:szCs w:val="21"/>
                <w:highlight w:val="none"/>
                <w:lang w:val="en-US" w:eastAsia="zh-CN"/>
              </w:rPr>
              <w:t>J</w:t>
            </w:r>
            <w:r>
              <w:rPr>
                <w:rFonts w:hint="eastAsia" w:ascii="宋体" w:hAnsi="宋体" w:eastAsia="宋体" w:cs="宋体"/>
                <w:sz w:val="21"/>
                <w:szCs w:val="21"/>
                <w:highlight w:val="none"/>
              </w:rPr>
              <w:t>G 694-2009《原子吸收分光光度计  检定规程》</w:t>
            </w:r>
          </w:p>
        </w:tc>
      </w:tr>
      <w:tr w14:paraId="57C53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9" w:type="dxa"/>
            <w:noWrap w:val="0"/>
            <w:vAlign w:val="center"/>
          </w:tcPr>
          <w:p w14:paraId="1F9B9028">
            <w:pPr>
              <w:pStyle w:val="20"/>
              <w:spacing w:before="263" w:line="184" w:lineRule="auto"/>
              <w:jc w:val="center"/>
              <w:rPr>
                <w:rFonts w:hint="default" w:ascii="宋体" w:hAnsi="宋体" w:eastAsia="宋体" w:cs="宋体"/>
                <w:sz w:val="21"/>
                <w:szCs w:val="21"/>
                <w:highlight w:val="none"/>
                <w:lang w:val="en-US" w:eastAsia="zh-CN"/>
              </w:rPr>
            </w:pPr>
            <w:r>
              <w:rPr>
                <w:rFonts w:hint="eastAsia" w:cs="宋体"/>
                <w:sz w:val="21"/>
                <w:szCs w:val="21"/>
                <w:highlight w:val="none"/>
                <w:lang w:val="en-US" w:eastAsia="zh-CN"/>
              </w:rPr>
              <w:t>6</w:t>
            </w:r>
          </w:p>
        </w:tc>
        <w:tc>
          <w:tcPr>
            <w:tcW w:w="1680" w:type="dxa"/>
            <w:noWrap w:val="0"/>
            <w:vAlign w:val="center"/>
          </w:tcPr>
          <w:p w14:paraId="3F79BBF8">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原子吸收分光光度计</w:t>
            </w:r>
          </w:p>
        </w:tc>
        <w:tc>
          <w:tcPr>
            <w:tcW w:w="1681" w:type="dxa"/>
            <w:noWrap w:val="0"/>
            <w:vAlign w:val="center"/>
          </w:tcPr>
          <w:p w14:paraId="6F8C278C">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szCs w:val="21"/>
                <w:lang w:val="en-US" w:eastAsia="zh-CN"/>
              </w:rPr>
            </w:pPr>
            <w:r>
              <w:rPr>
                <w:rFonts w:hint="eastAsia" w:ascii="宋体" w:hAnsi="宋体" w:eastAsia="宋体" w:cs="宋体"/>
                <w:szCs w:val="21"/>
                <w:lang w:val="en-US" w:eastAsia="zh-CN"/>
              </w:rPr>
              <w:t>岛津</w:t>
            </w:r>
            <w:r>
              <w:rPr>
                <w:rFonts w:hint="eastAsia" w:ascii="宋体" w:hAnsi="宋体" w:eastAsia="宋体" w:cs="宋体"/>
                <w:szCs w:val="21"/>
              </w:rPr>
              <w:t>AA-7000</w:t>
            </w:r>
          </w:p>
        </w:tc>
        <w:tc>
          <w:tcPr>
            <w:tcW w:w="765" w:type="dxa"/>
            <w:noWrap w:val="0"/>
            <w:vAlign w:val="center"/>
          </w:tcPr>
          <w:p w14:paraId="3F70DF8E">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1320" w:type="dxa"/>
            <w:noWrap w:val="0"/>
            <w:vAlign w:val="center"/>
          </w:tcPr>
          <w:p w14:paraId="091B9787">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校准</w:t>
            </w:r>
          </w:p>
        </w:tc>
        <w:tc>
          <w:tcPr>
            <w:tcW w:w="2713" w:type="dxa"/>
            <w:noWrap w:val="0"/>
            <w:vAlign w:val="center"/>
          </w:tcPr>
          <w:p w14:paraId="505D3C2E">
            <w:pPr>
              <w:jc w:val="center"/>
              <w:rPr>
                <w:rFonts w:hint="eastAsia" w:ascii="宋体" w:hAnsi="宋体" w:eastAsia="宋体" w:cs="宋体"/>
                <w:sz w:val="21"/>
                <w:szCs w:val="21"/>
                <w:highlight w:val="none"/>
              </w:rPr>
            </w:pPr>
          </w:p>
          <w:p w14:paraId="1BC7CA4C">
            <w:pPr>
              <w:jc w:val="center"/>
              <w:rPr>
                <w:rFonts w:hint="eastAsia" w:ascii="宋体" w:hAnsi="宋体" w:eastAsia="宋体" w:cs="宋体"/>
                <w:spacing w:val="7"/>
                <w:kern w:val="2"/>
                <w:sz w:val="21"/>
                <w:szCs w:val="21"/>
                <w:highlight w:val="none"/>
                <w:shd w:val="clear" w:color="auto" w:fill="FFFFFF"/>
                <w:vertAlign w:val="baseline"/>
                <w:lang w:val="en-US" w:eastAsia="zh-CN" w:bidi="ar-SA"/>
              </w:rPr>
            </w:pPr>
            <w:r>
              <w:rPr>
                <w:rFonts w:hint="eastAsia" w:ascii="宋体" w:hAnsi="宋体" w:eastAsia="宋体" w:cs="宋体"/>
                <w:sz w:val="21"/>
                <w:szCs w:val="21"/>
                <w:highlight w:val="none"/>
              </w:rPr>
              <w:t>J</w:t>
            </w:r>
            <w:r>
              <w:rPr>
                <w:rFonts w:hint="eastAsia" w:ascii="宋体" w:hAnsi="宋体" w:cs="宋体"/>
                <w:sz w:val="21"/>
                <w:szCs w:val="21"/>
                <w:highlight w:val="none"/>
                <w:lang w:val="en-US" w:eastAsia="zh-CN"/>
              </w:rPr>
              <w:t>J</w:t>
            </w:r>
            <w:r>
              <w:rPr>
                <w:rFonts w:hint="eastAsia" w:ascii="宋体" w:hAnsi="宋体" w:eastAsia="宋体" w:cs="宋体"/>
                <w:sz w:val="21"/>
                <w:szCs w:val="21"/>
                <w:highlight w:val="none"/>
              </w:rPr>
              <w:t>G 694-2009《原子吸收分光光度计  检定规程》</w:t>
            </w:r>
          </w:p>
        </w:tc>
      </w:tr>
      <w:tr w14:paraId="7AFCC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9" w:type="dxa"/>
            <w:noWrap w:val="0"/>
            <w:vAlign w:val="center"/>
          </w:tcPr>
          <w:p w14:paraId="49327543">
            <w:pPr>
              <w:pStyle w:val="20"/>
              <w:spacing w:before="274" w:line="183" w:lineRule="auto"/>
              <w:jc w:val="center"/>
              <w:rPr>
                <w:rFonts w:hint="eastAsia" w:ascii="宋体" w:hAnsi="宋体" w:eastAsia="宋体" w:cs="宋体"/>
                <w:color w:val="auto"/>
                <w:spacing w:val="7"/>
                <w:sz w:val="21"/>
                <w:szCs w:val="21"/>
                <w:highlight w:val="none"/>
                <w:shd w:val="clear" w:color="auto" w:fill="FFFFFF"/>
                <w:vertAlign w:val="baseline"/>
                <w:lang w:val="en-US" w:eastAsia="zh-CN"/>
              </w:rPr>
            </w:pPr>
            <w:r>
              <w:rPr>
                <w:rFonts w:hint="eastAsia" w:cs="宋体"/>
                <w:color w:val="auto"/>
                <w:sz w:val="21"/>
                <w:szCs w:val="21"/>
                <w:highlight w:val="none"/>
                <w:lang w:val="en-US" w:eastAsia="zh-CN"/>
              </w:rPr>
              <w:t>7</w:t>
            </w:r>
          </w:p>
        </w:tc>
        <w:tc>
          <w:tcPr>
            <w:tcW w:w="1680" w:type="dxa"/>
            <w:noWrap w:val="0"/>
            <w:vAlign w:val="center"/>
          </w:tcPr>
          <w:p w14:paraId="5BA12903">
            <w:pPr>
              <w:jc w:val="center"/>
              <w:rPr>
                <w:rFonts w:hint="eastAsia" w:ascii="宋体" w:hAnsi="宋体" w:eastAsia="宋体" w:cs="宋体"/>
                <w:color w:val="auto"/>
                <w:sz w:val="21"/>
                <w:szCs w:val="21"/>
                <w:highlight w:val="none"/>
              </w:rPr>
            </w:pPr>
          </w:p>
          <w:p w14:paraId="04FA920F">
            <w:pPr>
              <w:jc w:val="center"/>
              <w:rPr>
                <w:rFonts w:hint="eastAsia" w:ascii="宋体" w:hAnsi="宋体" w:eastAsia="宋体" w:cs="宋体"/>
                <w:color w:val="auto"/>
                <w:spacing w:val="7"/>
                <w:sz w:val="21"/>
                <w:szCs w:val="21"/>
                <w:highlight w:val="none"/>
                <w:shd w:val="clear" w:color="auto" w:fill="FFFFFF"/>
                <w:vertAlign w:val="baseline"/>
                <w:lang w:val="en-US" w:eastAsia="zh-CN"/>
              </w:rPr>
            </w:pPr>
            <w:r>
              <w:rPr>
                <w:rFonts w:hint="eastAsia" w:ascii="宋体" w:hAnsi="宋体" w:eastAsia="宋体" w:cs="宋体"/>
                <w:color w:val="auto"/>
                <w:sz w:val="21"/>
                <w:szCs w:val="21"/>
                <w:highlight w:val="none"/>
                <w:lang w:val="en-US" w:eastAsia="zh-CN"/>
              </w:rPr>
              <w:t>红外分光测油仪</w:t>
            </w:r>
          </w:p>
        </w:tc>
        <w:tc>
          <w:tcPr>
            <w:tcW w:w="1681" w:type="dxa"/>
            <w:noWrap w:val="0"/>
            <w:vAlign w:val="center"/>
          </w:tcPr>
          <w:p w14:paraId="068D8FBC">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szCs w:val="21"/>
                <w:lang w:val="en-US" w:eastAsia="zh-CN"/>
              </w:rPr>
              <w:t>华夏科创</w:t>
            </w:r>
            <w:r>
              <w:rPr>
                <w:rFonts w:hint="eastAsia" w:ascii="宋体" w:hAnsi="宋体" w:eastAsia="宋体" w:cs="宋体"/>
                <w:szCs w:val="21"/>
              </w:rPr>
              <w:t>OIL480</w:t>
            </w:r>
          </w:p>
        </w:tc>
        <w:tc>
          <w:tcPr>
            <w:tcW w:w="765" w:type="dxa"/>
            <w:noWrap w:val="0"/>
            <w:vAlign w:val="center"/>
          </w:tcPr>
          <w:p w14:paraId="1810FE00">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320" w:type="dxa"/>
            <w:noWrap w:val="0"/>
            <w:vAlign w:val="center"/>
          </w:tcPr>
          <w:p w14:paraId="757EC840">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校准</w:t>
            </w:r>
          </w:p>
        </w:tc>
        <w:tc>
          <w:tcPr>
            <w:tcW w:w="2713" w:type="dxa"/>
            <w:noWrap w:val="0"/>
            <w:vAlign w:val="center"/>
          </w:tcPr>
          <w:p w14:paraId="6EBD9D44">
            <w:pPr>
              <w:jc w:val="center"/>
              <w:rPr>
                <w:rFonts w:hint="eastAsia" w:ascii="宋体" w:hAnsi="宋体" w:eastAsia="宋体" w:cs="宋体"/>
                <w:color w:val="auto"/>
                <w:sz w:val="21"/>
                <w:szCs w:val="21"/>
                <w:highlight w:val="none"/>
              </w:rPr>
            </w:pPr>
          </w:p>
          <w:p w14:paraId="7807E680">
            <w:pPr>
              <w:jc w:val="center"/>
              <w:rPr>
                <w:rFonts w:hint="eastAsia" w:ascii="宋体" w:hAnsi="宋体" w:eastAsia="宋体" w:cs="宋体"/>
                <w:color w:val="auto"/>
                <w:spacing w:val="7"/>
                <w:sz w:val="21"/>
                <w:szCs w:val="21"/>
                <w:highlight w:val="none"/>
                <w:shd w:val="clear" w:color="auto" w:fill="FFFFFF"/>
                <w:vertAlign w:val="baseline"/>
                <w:lang w:val="en-US" w:eastAsia="zh-CN"/>
              </w:rPr>
            </w:pPr>
            <w:r>
              <w:rPr>
                <w:rFonts w:hint="eastAsia" w:ascii="宋体" w:hAnsi="宋体" w:eastAsia="宋体" w:cs="宋体"/>
                <w:color w:val="auto"/>
                <w:sz w:val="21"/>
                <w:szCs w:val="21"/>
                <w:highlight w:val="none"/>
              </w:rPr>
              <w:t>JJG 950-2012《水中油分浓度分析仪  检定规程》</w:t>
            </w:r>
          </w:p>
        </w:tc>
      </w:tr>
      <w:tr w14:paraId="78CDE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9" w:type="dxa"/>
            <w:noWrap w:val="0"/>
            <w:vAlign w:val="center"/>
          </w:tcPr>
          <w:p w14:paraId="6871DBAF">
            <w:pPr>
              <w:pStyle w:val="20"/>
              <w:spacing w:before="274" w:line="183" w:lineRule="auto"/>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8</w:t>
            </w:r>
          </w:p>
        </w:tc>
        <w:tc>
          <w:tcPr>
            <w:tcW w:w="1680" w:type="dxa"/>
            <w:noWrap w:val="0"/>
            <w:vAlign w:val="center"/>
          </w:tcPr>
          <w:p w14:paraId="231D3C2A">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红外分光测油仪</w:t>
            </w:r>
          </w:p>
        </w:tc>
        <w:tc>
          <w:tcPr>
            <w:tcW w:w="1681" w:type="dxa"/>
            <w:noWrap w:val="0"/>
            <w:vAlign w:val="center"/>
          </w:tcPr>
          <w:p w14:paraId="129B4E82">
            <w:pPr>
              <w:pStyle w:val="2"/>
              <w:ind w:left="0" w:leftChars="0" w:firstLine="0" w:firstLineChars="0"/>
              <w:jc w:val="center"/>
              <w:rPr>
                <w:rFonts w:hint="eastAsia" w:ascii="宋体" w:hAnsi="宋体" w:eastAsia="宋体" w:cs="宋体"/>
                <w:lang w:val="en-US" w:eastAsia="zh-CN"/>
              </w:rPr>
            </w:pPr>
            <w:r>
              <w:rPr>
                <w:rFonts w:hint="eastAsia" w:ascii="宋体" w:hAnsi="宋体" w:eastAsia="宋体" w:cs="宋体"/>
                <w:b w:val="0"/>
                <w:bCs/>
                <w:sz w:val="21"/>
                <w:szCs w:val="21"/>
              </w:rPr>
              <w:t>华夏科创OIL</w:t>
            </w:r>
            <w:r>
              <w:rPr>
                <w:rFonts w:hint="eastAsia" w:ascii="宋体" w:hAnsi="宋体" w:eastAsia="宋体" w:cs="宋体"/>
                <w:b w:val="0"/>
                <w:bCs/>
                <w:sz w:val="21"/>
                <w:szCs w:val="21"/>
                <w:lang w:val="en-US" w:eastAsia="zh-CN"/>
              </w:rPr>
              <w:t>510D</w:t>
            </w:r>
          </w:p>
        </w:tc>
        <w:tc>
          <w:tcPr>
            <w:tcW w:w="765" w:type="dxa"/>
            <w:noWrap w:val="0"/>
            <w:vAlign w:val="center"/>
          </w:tcPr>
          <w:p w14:paraId="08974802">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320" w:type="dxa"/>
            <w:noWrap w:val="0"/>
            <w:vAlign w:val="center"/>
          </w:tcPr>
          <w:p w14:paraId="50618F7F">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校准</w:t>
            </w:r>
          </w:p>
        </w:tc>
        <w:tc>
          <w:tcPr>
            <w:tcW w:w="2713" w:type="dxa"/>
            <w:noWrap w:val="0"/>
            <w:vAlign w:val="center"/>
          </w:tcPr>
          <w:p w14:paraId="4AFADE63">
            <w:pPr>
              <w:jc w:val="center"/>
              <w:rPr>
                <w:rFonts w:hint="eastAsia" w:ascii="宋体" w:hAnsi="宋体" w:eastAsia="宋体" w:cs="宋体"/>
                <w:color w:val="auto"/>
                <w:sz w:val="21"/>
                <w:szCs w:val="21"/>
                <w:highlight w:val="none"/>
              </w:rPr>
            </w:pPr>
          </w:p>
          <w:p w14:paraId="597F3BF5">
            <w:pPr>
              <w:jc w:val="center"/>
              <w:rPr>
                <w:rFonts w:hint="eastAsia" w:ascii="宋体" w:hAnsi="宋体" w:eastAsia="宋体" w:cs="宋体"/>
                <w:color w:val="auto"/>
                <w:spacing w:val="7"/>
                <w:kern w:val="2"/>
                <w:sz w:val="21"/>
                <w:szCs w:val="21"/>
                <w:highlight w:val="none"/>
                <w:shd w:val="clear" w:color="auto" w:fill="FFFFFF"/>
                <w:vertAlign w:val="baseline"/>
                <w:lang w:val="en-US" w:eastAsia="zh-CN" w:bidi="ar-SA"/>
              </w:rPr>
            </w:pPr>
            <w:r>
              <w:rPr>
                <w:rFonts w:hint="eastAsia" w:ascii="宋体" w:hAnsi="宋体" w:eastAsia="宋体" w:cs="宋体"/>
                <w:color w:val="auto"/>
                <w:sz w:val="21"/>
                <w:szCs w:val="21"/>
                <w:highlight w:val="none"/>
              </w:rPr>
              <w:t>JJG 950-2012《水中油分浓度分析仪  检定规程》</w:t>
            </w:r>
          </w:p>
        </w:tc>
      </w:tr>
      <w:tr w14:paraId="3A987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9" w:type="dxa"/>
            <w:noWrap w:val="0"/>
            <w:vAlign w:val="center"/>
          </w:tcPr>
          <w:p w14:paraId="5E876579">
            <w:pPr>
              <w:pStyle w:val="20"/>
              <w:spacing w:before="255" w:line="183" w:lineRule="auto"/>
              <w:jc w:val="center"/>
              <w:rPr>
                <w:rFonts w:hint="eastAsia" w:ascii="宋体" w:hAnsi="宋体" w:eastAsia="宋体" w:cs="宋体"/>
                <w:color w:val="auto"/>
                <w:spacing w:val="7"/>
                <w:sz w:val="21"/>
                <w:szCs w:val="21"/>
                <w:highlight w:val="none"/>
                <w:shd w:val="clear" w:color="auto" w:fill="FFFFFF"/>
                <w:vertAlign w:val="baseline"/>
                <w:lang w:val="en-US" w:eastAsia="zh-CN"/>
              </w:rPr>
            </w:pPr>
            <w:r>
              <w:rPr>
                <w:rFonts w:hint="eastAsia" w:cs="宋体"/>
                <w:color w:val="auto"/>
                <w:sz w:val="21"/>
                <w:szCs w:val="21"/>
                <w:highlight w:val="none"/>
                <w:lang w:val="en-US" w:eastAsia="zh-CN"/>
              </w:rPr>
              <w:t>9</w:t>
            </w:r>
          </w:p>
        </w:tc>
        <w:tc>
          <w:tcPr>
            <w:tcW w:w="1680" w:type="dxa"/>
            <w:noWrap w:val="0"/>
            <w:vAlign w:val="center"/>
          </w:tcPr>
          <w:p w14:paraId="51434986">
            <w:pPr>
              <w:jc w:val="center"/>
              <w:rPr>
                <w:rFonts w:hint="eastAsia" w:ascii="宋体" w:hAnsi="宋体" w:eastAsia="宋体" w:cs="宋体"/>
                <w:color w:val="auto"/>
                <w:spacing w:val="7"/>
                <w:sz w:val="21"/>
                <w:szCs w:val="21"/>
                <w:highlight w:val="none"/>
                <w:shd w:val="clear" w:color="auto" w:fill="FFFFFF"/>
                <w:vertAlign w:val="baseline"/>
                <w:lang w:val="en-US" w:eastAsia="zh-CN"/>
              </w:rPr>
            </w:pPr>
            <w:r>
              <w:rPr>
                <w:rFonts w:hint="eastAsia" w:ascii="宋体" w:hAnsi="宋体" w:eastAsia="宋体" w:cs="宋体"/>
                <w:color w:val="auto"/>
                <w:sz w:val="21"/>
                <w:szCs w:val="21"/>
                <w:highlight w:val="none"/>
              </w:rPr>
              <w:t>紫外可见分光光度计</w:t>
            </w:r>
          </w:p>
        </w:tc>
        <w:tc>
          <w:tcPr>
            <w:tcW w:w="1681" w:type="dxa"/>
            <w:noWrap w:val="0"/>
            <w:vAlign w:val="center"/>
          </w:tcPr>
          <w:p w14:paraId="2725B3C1">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szCs w:val="21"/>
                <w:lang w:val="en-US" w:eastAsia="zh-CN"/>
              </w:rPr>
              <w:t>岛津</w:t>
            </w:r>
            <w:r>
              <w:rPr>
                <w:rFonts w:hint="eastAsia" w:ascii="宋体" w:hAnsi="宋体" w:eastAsia="宋体" w:cs="宋体"/>
                <w:szCs w:val="21"/>
              </w:rPr>
              <w:t>UV-1900</w:t>
            </w:r>
          </w:p>
        </w:tc>
        <w:tc>
          <w:tcPr>
            <w:tcW w:w="765" w:type="dxa"/>
            <w:noWrap w:val="0"/>
            <w:vAlign w:val="center"/>
          </w:tcPr>
          <w:p w14:paraId="4D2AC103">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320" w:type="dxa"/>
            <w:noWrap w:val="0"/>
            <w:vAlign w:val="center"/>
          </w:tcPr>
          <w:p w14:paraId="4ACE9B68">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校准</w:t>
            </w:r>
          </w:p>
        </w:tc>
        <w:tc>
          <w:tcPr>
            <w:tcW w:w="2713" w:type="dxa"/>
            <w:noWrap w:val="0"/>
            <w:vAlign w:val="center"/>
          </w:tcPr>
          <w:p w14:paraId="6E6EF86A">
            <w:pPr>
              <w:jc w:val="center"/>
              <w:rPr>
                <w:rFonts w:hint="eastAsia" w:ascii="宋体" w:hAnsi="宋体" w:eastAsia="宋体" w:cs="宋体"/>
                <w:color w:val="auto"/>
                <w:spacing w:val="7"/>
                <w:sz w:val="21"/>
                <w:szCs w:val="21"/>
                <w:highlight w:val="none"/>
                <w:shd w:val="clear" w:color="auto" w:fill="FFFFFF"/>
                <w:vertAlign w:val="baseline"/>
                <w:lang w:val="en-US" w:eastAsia="zh-CN"/>
              </w:rPr>
            </w:pPr>
            <w:r>
              <w:rPr>
                <w:rFonts w:hint="eastAsia" w:ascii="宋体" w:hAnsi="宋体" w:eastAsia="宋体" w:cs="宋体"/>
                <w:color w:val="auto"/>
                <w:sz w:val="21"/>
                <w:szCs w:val="21"/>
                <w:highlight w:val="none"/>
              </w:rPr>
              <w:t>JJG 178-2007《紫外、可见、近红外分光光 度计检定规程》</w:t>
            </w:r>
          </w:p>
        </w:tc>
      </w:tr>
      <w:tr w14:paraId="0CE3D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9" w:type="dxa"/>
            <w:noWrap w:val="0"/>
            <w:vAlign w:val="center"/>
          </w:tcPr>
          <w:p w14:paraId="23F548F9">
            <w:pPr>
              <w:pStyle w:val="20"/>
              <w:spacing w:before="255" w:line="183" w:lineRule="auto"/>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10</w:t>
            </w:r>
          </w:p>
        </w:tc>
        <w:tc>
          <w:tcPr>
            <w:tcW w:w="1680" w:type="dxa"/>
            <w:noWrap w:val="0"/>
            <w:vAlign w:val="center"/>
          </w:tcPr>
          <w:p w14:paraId="4940405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紫外可见分光光度计</w:t>
            </w:r>
          </w:p>
        </w:tc>
        <w:tc>
          <w:tcPr>
            <w:tcW w:w="1681" w:type="dxa"/>
            <w:noWrap w:val="0"/>
            <w:vAlign w:val="center"/>
          </w:tcPr>
          <w:p w14:paraId="1D0D354B">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szCs w:val="21"/>
              </w:rPr>
            </w:pPr>
            <w:r>
              <w:rPr>
                <w:rFonts w:hint="eastAsia" w:ascii="宋体" w:hAnsi="宋体" w:eastAsia="宋体" w:cs="宋体"/>
                <w:szCs w:val="21"/>
                <w:lang w:val="en-US" w:eastAsia="zh-CN"/>
              </w:rPr>
              <w:t>岛津</w:t>
            </w:r>
            <w:r>
              <w:rPr>
                <w:rFonts w:hint="eastAsia" w:ascii="宋体" w:hAnsi="宋体" w:eastAsia="宋体" w:cs="宋体"/>
                <w:szCs w:val="21"/>
              </w:rPr>
              <w:t>UV-1900</w:t>
            </w:r>
            <w:r>
              <w:rPr>
                <w:rFonts w:hint="eastAsia" w:ascii="宋体" w:hAnsi="宋体" w:eastAsia="宋体" w:cs="宋体"/>
                <w:szCs w:val="21"/>
                <w:lang w:val="en-US" w:eastAsia="zh-CN"/>
              </w:rPr>
              <w:t>i</w:t>
            </w:r>
          </w:p>
        </w:tc>
        <w:tc>
          <w:tcPr>
            <w:tcW w:w="765" w:type="dxa"/>
            <w:noWrap w:val="0"/>
            <w:vAlign w:val="center"/>
          </w:tcPr>
          <w:p w14:paraId="5A6A563A">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320" w:type="dxa"/>
            <w:noWrap w:val="0"/>
            <w:vAlign w:val="center"/>
          </w:tcPr>
          <w:p w14:paraId="76E9DCFD">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校准</w:t>
            </w:r>
          </w:p>
        </w:tc>
        <w:tc>
          <w:tcPr>
            <w:tcW w:w="2713" w:type="dxa"/>
            <w:noWrap w:val="0"/>
            <w:vAlign w:val="center"/>
          </w:tcPr>
          <w:p w14:paraId="1A3F9A13">
            <w:pPr>
              <w:jc w:val="center"/>
              <w:rPr>
                <w:rFonts w:hint="eastAsia" w:ascii="宋体" w:hAnsi="宋体" w:eastAsia="宋体" w:cs="宋体"/>
                <w:color w:val="auto"/>
                <w:spacing w:val="7"/>
                <w:kern w:val="2"/>
                <w:sz w:val="21"/>
                <w:szCs w:val="21"/>
                <w:highlight w:val="none"/>
                <w:shd w:val="clear" w:color="auto" w:fill="FFFFFF"/>
                <w:vertAlign w:val="baseline"/>
                <w:lang w:val="en-US" w:eastAsia="zh-CN" w:bidi="ar-SA"/>
              </w:rPr>
            </w:pPr>
            <w:r>
              <w:rPr>
                <w:rFonts w:hint="eastAsia" w:ascii="宋体" w:hAnsi="宋体" w:eastAsia="宋体" w:cs="宋体"/>
                <w:color w:val="auto"/>
                <w:sz w:val="21"/>
                <w:szCs w:val="21"/>
                <w:highlight w:val="none"/>
              </w:rPr>
              <w:t>JJG 178-2007《紫外、可见、近红外分光光 度计检定规程》</w:t>
            </w:r>
          </w:p>
        </w:tc>
      </w:tr>
      <w:tr w14:paraId="724F2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9" w:type="dxa"/>
            <w:noWrap w:val="0"/>
            <w:vAlign w:val="center"/>
          </w:tcPr>
          <w:p w14:paraId="08BFC4BD">
            <w:pPr>
              <w:pStyle w:val="20"/>
              <w:spacing w:before="265" w:line="183" w:lineRule="auto"/>
              <w:jc w:val="center"/>
              <w:rPr>
                <w:rFonts w:hint="default" w:ascii="宋体" w:hAnsi="宋体" w:eastAsia="宋体" w:cs="宋体"/>
                <w:color w:val="auto"/>
                <w:spacing w:val="7"/>
                <w:sz w:val="21"/>
                <w:szCs w:val="21"/>
                <w:highlight w:val="none"/>
                <w:shd w:val="clear" w:color="auto" w:fill="FFFFFF"/>
                <w:vertAlign w:val="baseline"/>
                <w:lang w:val="en-US" w:eastAsia="zh-CN"/>
              </w:rPr>
            </w:pPr>
            <w:r>
              <w:rPr>
                <w:rFonts w:hint="eastAsia" w:cs="宋体"/>
                <w:color w:val="auto"/>
                <w:sz w:val="21"/>
                <w:szCs w:val="21"/>
                <w:highlight w:val="none"/>
                <w:lang w:val="en-US" w:eastAsia="zh-CN"/>
              </w:rPr>
              <w:t>11</w:t>
            </w:r>
          </w:p>
        </w:tc>
        <w:tc>
          <w:tcPr>
            <w:tcW w:w="1680" w:type="dxa"/>
            <w:noWrap w:val="0"/>
            <w:vAlign w:val="center"/>
          </w:tcPr>
          <w:p w14:paraId="23D502AC">
            <w:pPr>
              <w:jc w:val="center"/>
              <w:rPr>
                <w:rFonts w:hint="eastAsia" w:ascii="宋体" w:hAnsi="宋体" w:eastAsia="宋体" w:cs="宋体"/>
                <w:color w:val="auto"/>
                <w:spacing w:val="7"/>
                <w:sz w:val="21"/>
                <w:szCs w:val="21"/>
                <w:highlight w:val="none"/>
                <w:shd w:val="clear" w:color="auto" w:fill="FFFFFF"/>
                <w:vertAlign w:val="baseline"/>
                <w:lang w:val="en-US" w:eastAsia="zh-CN"/>
              </w:rPr>
            </w:pPr>
            <w:r>
              <w:rPr>
                <w:rFonts w:hint="eastAsia" w:ascii="宋体" w:hAnsi="宋体" w:eastAsia="宋体" w:cs="宋体"/>
                <w:color w:val="auto"/>
                <w:sz w:val="21"/>
                <w:szCs w:val="21"/>
                <w:highlight w:val="none"/>
              </w:rPr>
              <w:t>可见分光光度计</w:t>
            </w:r>
          </w:p>
        </w:tc>
        <w:tc>
          <w:tcPr>
            <w:tcW w:w="1681" w:type="dxa"/>
            <w:noWrap w:val="0"/>
            <w:vAlign w:val="center"/>
          </w:tcPr>
          <w:p w14:paraId="4817F708">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722G</w:t>
            </w:r>
          </w:p>
        </w:tc>
        <w:tc>
          <w:tcPr>
            <w:tcW w:w="765" w:type="dxa"/>
            <w:noWrap w:val="0"/>
            <w:vAlign w:val="center"/>
          </w:tcPr>
          <w:p w14:paraId="73F6E795">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1320" w:type="dxa"/>
            <w:noWrap w:val="0"/>
            <w:vAlign w:val="center"/>
          </w:tcPr>
          <w:p w14:paraId="3BE5DDB6">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校准</w:t>
            </w:r>
          </w:p>
        </w:tc>
        <w:tc>
          <w:tcPr>
            <w:tcW w:w="2713" w:type="dxa"/>
            <w:noWrap w:val="0"/>
            <w:vAlign w:val="center"/>
          </w:tcPr>
          <w:p w14:paraId="6EF1B625">
            <w:pPr>
              <w:jc w:val="center"/>
              <w:rPr>
                <w:rFonts w:hint="eastAsia" w:ascii="宋体" w:hAnsi="宋体" w:eastAsia="宋体" w:cs="宋体"/>
                <w:color w:val="auto"/>
                <w:spacing w:val="7"/>
                <w:sz w:val="21"/>
                <w:szCs w:val="21"/>
                <w:highlight w:val="none"/>
                <w:shd w:val="clear" w:color="auto" w:fill="FFFFFF"/>
                <w:vertAlign w:val="baseline"/>
                <w:lang w:val="en-US" w:eastAsia="zh-CN"/>
              </w:rPr>
            </w:pPr>
            <w:r>
              <w:rPr>
                <w:rFonts w:hint="eastAsia" w:ascii="宋体" w:hAnsi="宋体" w:eastAsia="宋体" w:cs="宋体"/>
                <w:color w:val="auto"/>
                <w:sz w:val="21"/>
                <w:szCs w:val="21"/>
                <w:highlight w:val="none"/>
              </w:rPr>
              <w:t>JJG 178-2007《紫外、可见、近红外分光光 度计检定规程》</w:t>
            </w:r>
          </w:p>
        </w:tc>
      </w:tr>
      <w:tr w14:paraId="29550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9" w:type="dxa"/>
            <w:noWrap w:val="0"/>
            <w:vAlign w:val="center"/>
          </w:tcPr>
          <w:p w14:paraId="414276C9">
            <w:pPr>
              <w:pStyle w:val="20"/>
              <w:spacing w:before="265" w:line="183" w:lineRule="auto"/>
              <w:jc w:val="center"/>
              <w:rPr>
                <w:rFonts w:hint="default" w:ascii="宋体" w:hAnsi="宋体" w:eastAsia="宋体" w:cs="宋体"/>
                <w:color w:val="auto"/>
                <w:spacing w:val="7"/>
                <w:sz w:val="21"/>
                <w:szCs w:val="21"/>
                <w:highlight w:val="none"/>
                <w:shd w:val="clear" w:color="auto" w:fill="FFFFFF"/>
                <w:vertAlign w:val="baseline"/>
                <w:lang w:val="en-US" w:eastAsia="zh-CN"/>
              </w:rPr>
            </w:pPr>
            <w:r>
              <w:rPr>
                <w:rFonts w:hint="eastAsia" w:cs="宋体"/>
                <w:color w:val="auto"/>
                <w:sz w:val="21"/>
                <w:szCs w:val="21"/>
                <w:highlight w:val="none"/>
                <w:lang w:val="en-US" w:eastAsia="zh-CN"/>
              </w:rPr>
              <w:t>12</w:t>
            </w:r>
          </w:p>
        </w:tc>
        <w:tc>
          <w:tcPr>
            <w:tcW w:w="1680" w:type="dxa"/>
            <w:noWrap w:val="0"/>
            <w:vAlign w:val="center"/>
          </w:tcPr>
          <w:p w14:paraId="623F2370">
            <w:pPr>
              <w:jc w:val="center"/>
              <w:rPr>
                <w:rFonts w:hint="eastAsia" w:ascii="宋体" w:hAnsi="宋体" w:eastAsia="宋体" w:cs="宋体"/>
                <w:color w:val="auto"/>
                <w:spacing w:val="7"/>
                <w:sz w:val="21"/>
                <w:szCs w:val="21"/>
                <w:highlight w:val="none"/>
                <w:shd w:val="clear" w:color="auto" w:fill="FFFFFF"/>
                <w:vertAlign w:val="baseline"/>
                <w:lang w:val="en-US" w:eastAsia="zh-CN"/>
              </w:rPr>
            </w:pPr>
            <w:r>
              <w:rPr>
                <w:rFonts w:hint="eastAsia" w:ascii="宋体" w:hAnsi="宋体" w:eastAsia="宋体" w:cs="宋体"/>
                <w:color w:val="auto"/>
                <w:sz w:val="21"/>
                <w:szCs w:val="21"/>
                <w:highlight w:val="none"/>
              </w:rPr>
              <w:t>溶解氧测定仪</w:t>
            </w:r>
          </w:p>
        </w:tc>
        <w:tc>
          <w:tcPr>
            <w:tcW w:w="1681" w:type="dxa"/>
            <w:noWrap w:val="0"/>
            <w:vAlign w:val="center"/>
          </w:tcPr>
          <w:p w14:paraId="4AA09085">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szCs w:val="21"/>
              </w:rPr>
              <w:t>S4</w:t>
            </w:r>
          </w:p>
        </w:tc>
        <w:tc>
          <w:tcPr>
            <w:tcW w:w="765" w:type="dxa"/>
            <w:noWrap w:val="0"/>
            <w:vAlign w:val="center"/>
          </w:tcPr>
          <w:p w14:paraId="11CCCC9D">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2</w:t>
            </w:r>
          </w:p>
        </w:tc>
        <w:tc>
          <w:tcPr>
            <w:tcW w:w="1320" w:type="dxa"/>
            <w:noWrap w:val="0"/>
            <w:vAlign w:val="center"/>
          </w:tcPr>
          <w:p w14:paraId="34CA867F">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校准</w:t>
            </w:r>
          </w:p>
        </w:tc>
        <w:tc>
          <w:tcPr>
            <w:tcW w:w="2713" w:type="dxa"/>
            <w:noWrap w:val="0"/>
            <w:vAlign w:val="center"/>
          </w:tcPr>
          <w:p w14:paraId="461FC6CA">
            <w:pPr>
              <w:jc w:val="center"/>
              <w:rPr>
                <w:rFonts w:hint="eastAsia" w:ascii="宋体" w:hAnsi="宋体" w:eastAsia="宋体" w:cs="宋体"/>
                <w:color w:val="auto"/>
                <w:spacing w:val="7"/>
                <w:sz w:val="21"/>
                <w:szCs w:val="21"/>
                <w:highlight w:val="none"/>
                <w:shd w:val="clear" w:color="auto" w:fill="FFFFFF"/>
                <w:vertAlign w:val="baseline"/>
                <w:lang w:val="en-US" w:eastAsia="zh-CN"/>
              </w:rPr>
            </w:pPr>
            <w:r>
              <w:rPr>
                <w:rFonts w:hint="eastAsia" w:ascii="宋体" w:hAnsi="宋体" w:eastAsia="宋体" w:cs="宋体"/>
                <w:color w:val="auto"/>
                <w:sz w:val="21"/>
                <w:szCs w:val="21"/>
                <w:highlight w:val="none"/>
              </w:rPr>
              <w:t>JJG 291-2018《溶解氧测定仪检定规程》</w:t>
            </w:r>
          </w:p>
        </w:tc>
      </w:tr>
      <w:tr w14:paraId="24918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869" w:type="dxa"/>
            <w:noWrap w:val="0"/>
            <w:vAlign w:val="center"/>
          </w:tcPr>
          <w:p w14:paraId="0EA0C098">
            <w:pPr>
              <w:pStyle w:val="20"/>
              <w:spacing w:before="296" w:line="183" w:lineRule="auto"/>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13</w:t>
            </w:r>
          </w:p>
        </w:tc>
        <w:tc>
          <w:tcPr>
            <w:tcW w:w="1680" w:type="dxa"/>
            <w:noWrap w:val="0"/>
            <w:vAlign w:val="center"/>
          </w:tcPr>
          <w:p w14:paraId="6FBE0FC0">
            <w:pPr>
              <w:jc w:val="center"/>
              <w:rPr>
                <w:rFonts w:hint="eastAsia" w:ascii="宋体" w:hAnsi="宋体" w:eastAsia="宋体" w:cs="宋体"/>
                <w:color w:val="auto"/>
                <w:spacing w:val="7"/>
                <w:sz w:val="21"/>
                <w:szCs w:val="21"/>
                <w:highlight w:val="none"/>
                <w:shd w:val="clear" w:color="auto" w:fill="FFFFFF"/>
                <w:vertAlign w:val="baseline"/>
                <w:lang w:val="en-US" w:eastAsia="zh-CN"/>
              </w:rPr>
            </w:pPr>
            <w:r>
              <w:rPr>
                <w:rFonts w:hint="eastAsia" w:ascii="宋体" w:hAnsi="宋体" w:eastAsia="宋体" w:cs="宋体"/>
                <w:color w:val="auto"/>
                <w:sz w:val="21"/>
                <w:szCs w:val="21"/>
                <w:highlight w:val="none"/>
                <w:lang w:val="en-US" w:eastAsia="zh-CN"/>
              </w:rPr>
              <w:t>HQD便携式仪表(PH）</w:t>
            </w:r>
          </w:p>
        </w:tc>
        <w:tc>
          <w:tcPr>
            <w:tcW w:w="1681" w:type="dxa"/>
            <w:noWrap w:val="0"/>
            <w:vAlign w:val="center"/>
          </w:tcPr>
          <w:p w14:paraId="633A7333">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szCs w:val="21"/>
              </w:rPr>
              <w:t>HQ30d</w:t>
            </w:r>
          </w:p>
        </w:tc>
        <w:tc>
          <w:tcPr>
            <w:tcW w:w="765" w:type="dxa"/>
            <w:noWrap w:val="0"/>
            <w:vAlign w:val="center"/>
          </w:tcPr>
          <w:p w14:paraId="0B632703">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320" w:type="dxa"/>
            <w:noWrap w:val="0"/>
            <w:vAlign w:val="center"/>
          </w:tcPr>
          <w:p w14:paraId="1652C199">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校准</w:t>
            </w:r>
          </w:p>
        </w:tc>
        <w:tc>
          <w:tcPr>
            <w:tcW w:w="2713" w:type="dxa"/>
            <w:noWrap w:val="0"/>
            <w:vAlign w:val="center"/>
          </w:tcPr>
          <w:p w14:paraId="0430438C">
            <w:pPr>
              <w:jc w:val="center"/>
              <w:rPr>
                <w:rFonts w:hint="eastAsia" w:ascii="宋体" w:hAnsi="宋体" w:eastAsia="宋体" w:cs="宋体"/>
                <w:color w:val="auto"/>
                <w:spacing w:val="7"/>
                <w:sz w:val="21"/>
                <w:szCs w:val="21"/>
                <w:highlight w:val="none"/>
                <w:shd w:val="clear" w:color="auto" w:fill="FFFFFF"/>
                <w:vertAlign w:val="baseline"/>
                <w:lang w:val="en-US" w:eastAsia="zh-CN"/>
              </w:rPr>
            </w:pPr>
            <w:r>
              <w:rPr>
                <w:rFonts w:hint="eastAsia" w:ascii="宋体" w:hAnsi="宋体" w:eastAsia="宋体" w:cs="宋体"/>
                <w:color w:val="auto"/>
                <w:sz w:val="21"/>
                <w:szCs w:val="21"/>
                <w:highlight w:val="none"/>
              </w:rPr>
              <w:t>JJG 119-201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《实验室pH(酸度)计检定规程》</w:t>
            </w:r>
          </w:p>
        </w:tc>
      </w:tr>
      <w:tr w14:paraId="761B7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9" w:type="dxa"/>
            <w:noWrap w:val="0"/>
            <w:vAlign w:val="center"/>
          </w:tcPr>
          <w:p w14:paraId="52FD0B82">
            <w:pPr>
              <w:pStyle w:val="20"/>
              <w:spacing w:before="296" w:line="183" w:lineRule="auto"/>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14</w:t>
            </w:r>
          </w:p>
        </w:tc>
        <w:tc>
          <w:tcPr>
            <w:tcW w:w="1680" w:type="dxa"/>
            <w:noWrap w:val="0"/>
            <w:vAlign w:val="center"/>
          </w:tcPr>
          <w:p w14:paraId="0F37AB59">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HQD便携式仪表(PH）</w:t>
            </w:r>
          </w:p>
        </w:tc>
        <w:tc>
          <w:tcPr>
            <w:tcW w:w="1681" w:type="dxa"/>
            <w:noWrap w:val="0"/>
            <w:vAlign w:val="center"/>
          </w:tcPr>
          <w:p w14:paraId="01BF7613">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szCs w:val="21"/>
                <w:lang w:val="en-US" w:eastAsia="zh-CN"/>
              </w:rPr>
            </w:pPr>
            <w:r>
              <w:rPr>
                <w:rFonts w:hint="eastAsia" w:ascii="宋体" w:hAnsi="宋体" w:eastAsia="宋体" w:cs="宋体"/>
                <w:szCs w:val="21"/>
              </w:rPr>
              <w:t>HQ</w:t>
            </w:r>
            <w:r>
              <w:rPr>
                <w:rFonts w:hint="eastAsia" w:ascii="宋体" w:hAnsi="宋体" w:eastAsia="宋体" w:cs="宋体"/>
                <w:szCs w:val="21"/>
                <w:lang w:val="en-US" w:eastAsia="zh-CN"/>
              </w:rPr>
              <w:t>11</w:t>
            </w:r>
            <w:r>
              <w:rPr>
                <w:rFonts w:hint="eastAsia" w:ascii="宋体" w:hAnsi="宋体" w:eastAsia="宋体" w:cs="宋体"/>
                <w:szCs w:val="21"/>
              </w:rPr>
              <w:t>d</w:t>
            </w:r>
          </w:p>
        </w:tc>
        <w:tc>
          <w:tcPr>
            <w:tcW w:w="765" w:type="dxa"/>
            <w:noWrap w:val="0"/>
            <w:vAlign w:val="center"/>
          </w:tcPr>
          <w:p w14:paraId="68C7A06A">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320" w:type="dxa"/>
            <w:noWrap w:val="0"/>
            <w:vAlign w:val="center"/>
          </w:tcPr>
          <w:p w14:paraId="1BCF33F2">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校准</w:t>
            </w:r>
          </w:p>
        </w:tc>
        <w:tc>
          <w:tcPr>
            <w:tcW w:w="2713" w:type="dxa"/>
            <w:noWrap w:val="0"/>
            <w:vAlign w:val="center"/>
          </w:tcPr>
          <w:p w14:paraId="619F6FC5">
            <w:pPr>
              <w:jc w:val="center"/>
              <w:rPr>
                <w:rFonts w:hint="eastAsia" w:ascii="宋体" w:hAnsi="宋体" w:eastAsia="宋体" w:cs="宋体"/>
                <w:color w:val="auto"/>
                <w:spacing w:val="7"/>
                <w:kern w:val="2"/>
                <w:sz w:val="21"/>
                <w:szCs w:val="21"/>
                <w:highlight w:val="none"/>
                <w:shd w:val="clear" w:color="auto" w:fill="FFFFFF"/>
                <w:vertAlign w:val="baseline"/>
                <w:lang w:val="en-US" w:eastAsia="zh-CN" w:bidi="ar-SA"/>
              </w:rPr>
            </w:pPr>
            <w:r>
              <w:rPr>
                <w:rFonts w:hint="eastAsia" w:ascii="宋体" w:hAnsi="宋体" w:eastAsia="宋体" w:cs="宋体"/>
                <w:color w:val="auto"/>
                <w:sz w:val="21"/>
                <w:szCs w:val="21"/>
                <w:highlight w:val="none"/>
              </w:rPr>
              <w:t>JJG 119-201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《实验室pH(酸度)计检定规程》</w:t>
            </w:r>
          </w:p>
        </w:tc>
      </w:tr>
      <w:tr w14:paraId="72207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9" w:type="dxa"/>
            <w:noWrap w:val="0"/>
            <w:vAlign w:val="center"/>
          </w:tcPr>
          <w:p w14:paraId="055827AB">
            <w:pPr>
              <w:pStyle w:val="20"/>
              <w:spacing w:before="296" w:line="183" w:lineRule="auto"/>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15</w:t>
            </w:r>
          </w:p>
        </w:tc>
        <w:tc>
          <w:tcPr>
            <w:tcW w:w="1680" w:type="dxa"/>
            <w:noWrap w:val="0"/>
            <w:vAlign w:val="center"/>
          </w:tcPr>
          <w:p w14:paraId="5CA85743">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HQD便携式仪表(PH）</w:t>
            </w:r>
          </w:p>
        </w:tc>
        <w:tc>
          <w:tcPr>
            <w:tcW w:w="1681" w:type="dxa"/>
            <w:noWrap w:val="0"/>
            <w:vAlign w:val="center"/>
          </w:tcPr>
          <w:p w14:paraId="59BBF8C4">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default" w:ascii="宋体" w:hAnsi="宋体" w:eastAsia="宋体" w:cs="宋体"/>
                <w:szCs w:val="21"/>
                <w:lang w:val="en-US"/>
              </w:rPr>
            </w:pPr>
            <w:r>
              <w:rPr>
                <w:rFonts w:hint="eastAsia" w:ascii="宋体" w:hAnsi="宋体" w:eastAsia="宋体" w:cs="宋体"/>
                <w:szCs w:val="21"/>
              </w:rPr>
              <w:t>HQ</w:t>
            </w:r>
            <w:r>
              <w:rPr>
                <w:rFonts w:hint="eastAsia" w:ascii="宋体" w:hAnsi="宋体" w:eastAsia="宋体" w:cs="宋体"/>
                <w:szCs w:val="21"/>
                <w:lang w:val="en-US" w:eastAsia="zh-CN"/>
              </w:rPr>
              <w:t>2100</w:t>
            </w:r>
          </w:p>
        </w:tc>
        <w:tc>
          <w:tcPr>
            <w:tcW w:w="765" w:type="dxa"/>
            <w:noWrap w:val="0"/>
            <w:vAlign w:val="center"/>
          </w:tcPr>
          <w:p w14:paraId="4634B166">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320" w:type="dxa"/>
            <w:noWrap w:val="0"/>
            <w:vAlign w:val="center"/>
          </w:tcPr>
          <w:p w14:paraId="10577421">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校准</w:t>
            </w:r>
          </w:p>
        </w:tc>
        <w:tc>
          <w:tcPr>
            <w:tcW w:w="2713" w:type="dxa"/>
            <w:noWrap w:val="0"/>
            <w:vAlign w:val="center"/>
          </w:tcPr>
          <w:p w14:paraId="38C3AB92">
            <w:pPr>
              <w:jc w:val="center"/>
              <w:rPr>
                <w:rFonts w:hint="eastAsia" w:ascii="宋体" w:hAnsi="宋体" w:eastAsia="宋体" w:cs="宋体"/>
                <w:color w:val="auto"/>
                <w:spacing w:val="7"/>
                <w:kern w:val="2"/>
                <w:sz w:val="21"/>
                <w:szCs w:val="21"/>
                <w:highlight w:val="none"/>
                <w:shd w:val="clear" w:color="auto" w:fill="FFFFFF"/>
                <w:vertAlign w:val="baseline"/>
                <w:lang w:val="en-US" w:eastAsia="zh-CN" w:bidi="ar-SA"/>
              </w:rPr>
            </w:pPr>
            <w:r>
              <w:rPr>
                <w:rFonts w:hint="eastAsia" w:ascii="宋体" w:hAnsi="宋体" w:eastAsia="宋体" w:cs="宋体"/>
                <w:color w:val="auto"/>
                <w:sz w:val="21"/>
                <w:szCs w:val="21"/>
                <w:highlight w:val="none"/>
              </w:rPr>
              <w:t>JJG 119-201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《实验室pH(酸度)计检定规程》</w:t>
            </w:r>
          </w:p>
        </w:tc>
      </w:tr>
      <w:tr w14:paraId="57704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69" w:type="dxa"/>
            <w:noWrap w:val="0"/>
            <w:vAlign w:val="center"/>
          </w:tcPr>
          <w:p w14:paraId="65D17C14">
            <w:pPr>
              <w:pStyle w:val="20"/>
              <w:spacing w:before="296" w:line="183" w:lineRule="auto"/>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16</w:t>
            </w:r>
          </w:p>
        </w:tc>
        <w:tc>
          <w:tcPr>
            <w:tcW w:w="1680" w:type="dxa"/>
            <w:noWrap w:val="0"/>
            <w:vAlign w:val="center"/>
          </w:tcPr>
          <w:p w14:paraId="409BB95B">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HQD便携式仪表</w:t>
            </w:r>
          </w:p>
          <w:p w14:paraId="5C853B2B">
            <w:pPr>
              <w:pStyle w:val="3"/>
              <w:ind w:firstLine="420" w:firstLineChars="200"/>
              <w:rPr>
                <w:rFonts w:hint="eastAsia" w:ascii="宋体" w:hAnsi="宋体" w:eastAsia="宋体" w:cs="宋体"/>
                <w:color w:val="auto"/>
                <w:lang w:val="en-US" w:eastAsia="zh-CN"/>
              </w:rPr>
            </w:pPr>
            <w:r>
              <w:rPr>
                <w:rFonts w:hint="eastAsia" w:ascii="宋体" w:hAnsi="宋体" w:eastAsia="宋体" w:cs="宋体"/>
                <w:color w:val="auto"/>
                <w:sz w:val="21"/>
                <w:szCs w:val="21"/>
                <w:highlight w:val="none"/>
                <w:lang w:val="en-US" w:eastAsia="zh-CN"/>
              </w:rPr>
              <w:t>(DO)</w:t>
            </w:r>
          </w:p>
        </w:tc>
        <w:tc>
          <w:tcPr>
            <w:tcW w:w="1681" w:type="dxa"/>
            <w:noWrap w:val="0"/>
            <w:vAlign w:val="center"/>
          </w:tcPr>
          <w:p w14:paraId="21B10413">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szCs w:val="21"/>
              </w:rPr>
              <w:t>HQ2100</w:t>
            </w:r>
          </w:p>
        </w:tc>
        <w:tc>
          <w:tcPr>
            <w:tcW w:w="765" w:type="dxa"/>
            <w:noWrap w:val="0"/>
            <w:vAlign w:val="center"/>
          </w:tcPr>
          <w:p w14:paraId="0E339F71">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320" w:type="dxa"/>
            <w:noWrap w:val="0"/>
            <w:vAlign w:val="center"/>
          </w:tcPr>
          <w:p w14:paraId="33DD1472">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校准</w:t>
            </w:r>
          </w:p>
        </w:tc>
        <w:tc>
          <w:tcPr>
            <w:tcW w:w="2713" w:type="dxa"/>
            <w:noWrap w:val="0"/>
            <w:vAlign w:val="center"/>
          </w:tcPr>
          <w:p w14:paraId="634206A8">
            <w:pPr>
              <w:jc w:val="center"/>
              <w:rPr>
                <w:rFonts w:hint="eastAsia" w:ascii="宋体" w:hAnsi="宋体" w:eastAsia="宋体" w:cs="宋体"/>
                <w:color w:val="auto"/>
                <w:spacing w:val="7"/>
                <w:kern w:val="2"/>
                <w:sz w:val="21"/>
                <w:szCs w:val="21"/>
                <w:highlight w:val="none"/>
                <w:shd w:val="clear" w:color="auto" w:fill="FFFFFF"/>
                <w:vertAlign w:val="baseline"/>
                <w:lang w:val="en-US" w:eastAsia="zh-CN" w:bidi="ar-SA"/>
              </w:rPr>
            </w:pPr>
            <w:r>
              <w:rPr>
                <w:rFonts w:hint="eastAsia" w:ascii="宋体" w:hAnsi="宋体" w:eastAsia="宋体" w:cs="宋体"/>
                <w:color w:val="auto"/>
                <w:sz w:val="21"/>
                <w:szCs w:val="21"/>
                <w:highlight w:val="none"/>
              </w:rPr>
              <w:t>JJG 291-2018《溶解氧测定仪检定规程》</w:t>
            </w:r>
          </w:p>
        </w:tc>
      </w:tr>
      <w:tr w14:paraId="34FE9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9" w:type="dxa"/>
            <w:noWrap w:val="0"/>
            <w:vAlign w:val="center"/>
          </w:tcPr>
          <w:p w14:paraId="327C3751">
            <w:pPr>
              <w:pStyle w:val="20"/>
              <w:spacing w:before="296" w:line="183" w:lineRule="auto"/>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17</w:t>
            </w:r>
          </w:p>
        </w:tc>
        <w:tc>
          <w:tcPr>
            <w:tcW w:w="1680" w:type="dxa"/>
            <w:noWrap w:val="0"/>
            <w:vAlign w:val="center"/>
          </w:tcPr>
          <w:p w14:paraId="6F8DADC1">
            <w:pPr>
              <w:jc w:val="center"/>
              <w:rPr>
                <w:rFonts w:hint="eastAsia" w:ascii="宋体" w:hAnsi="宋体" w:eastAsia="宋体" w:cs="宋体"/>
                <w:color w:val="auto"/>
                <w:spacing w:val="7"/>
                <w:kern w:val="2"/>
                <w:sz w:val="21"/>
                <w:szCs w:val="21"/>
                <w:highlight w:val="none"/>
                <w:shd w:val="clear" w:color="auto" w:fill="FFFFFF"/>
                <w:vertAlign w:val="baseline"/>
                <w:lang w:val="en-US" w:eastAsia="zh-CN" w:bidi="ar-SA"/>
              </w:rPr>
            </w:pPr>
            <w:r>
              <w:rPr>
                <w:rFonts w:hint="eastAsia" w:ascii="宋体" w:hAnsi="宋体" w:eastAsia="宋体" w:cs="宋体"/>
                <w:color w:val="auto"/>
                <w:sz w:val="21"/>
                <w:szCs w:val="21"/>
                <w:highlight w:val="none"/>
                <w:lang w:val="en-US" w:eastAsia="zh-CN"/>
              </w:rPr>
              <w:t>生化培养箱</w:t>
            </w:r>
          </w:p>
        </w:tc>
        <w:tc>
          <w:tcPr>
            <w:tcW w:w="1681" w:type="dxa"/>
            <w:noWrap w:val="0"/>
            <w:vAlign w:val="center"/>
          </w:tcPr>
          <w:p w14:paraId="260EA036">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szCs w:val="21"/>
              </w:rPr>
              <w:t>TS606-G/4-i</w:t>
            </w:r>
          </w:p>
        </w:tc>
        <w:tc>
          <w:tcPr>
            <w:tcW w:w="765" w:type="dxa"/>
            <w:noWrap w:val="0"/>
            <w:vAlign w:val="center"/>
          </w:tcPr>
          <w:p w14:paraId="6C520801">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1320" w:type="dxa"/>
            <w:noWrap w:val="0"/>
            <w:vAlign w:val="center"/>
          </w:tcPr>
          <w:p w14:paraId="3FEF1304">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校准</w:t>
            </w:r>
          </w:p>
        </w:tc>
        <w:tc>
          <w:tcPr>
            <w:tcW w:w="2713" w:type="dxa"/>
            <w:noWrap w:val="0"/>
            <w:vAlign w:val="center"/>
          </w:tcPr>
          <w:p w14:paraId="2417347F">
            <w:pPr>
              <w:jc w:val="center"/>
              <w:rPr>
                <w:rFonts w:hint="eastAsia" w:ascii="宋体" w:hAnsi="宋体" w:eastAsia="宋体" w:cs="宋体"/>
                <w:color w:val="auto"/>
                <w:spacing w:val="7"/>
                <w:kern w:val="2"/>
                <w:sz w:val="21"/>
                <w:szCs w:val="21"/>
                <w:highlight w:val="none"/>
                <w:shd w:val="clear" w:color="auto" w:fill="FFFFFF"/>
                <w:vertAlign w:val="baseline"/>
                <w:lang w:val="en-US" w:eastAsia="zh-CN" w:bidi="ar-SA"/>
              </w:rPr>
            </w:pPr>
            <w:r>
              <w:rPr>
                <w:rFonts w:hint="eastAsia" w:ascii="宋体" w:hAnsi="宋体" w:eastAsia="宋体" w:cs="宋体"/>
                <w:color w:val="auto"/>
                <w:sz w:val="21"/>
                <w:szCs w:val="21"/>
                <w:highlight w:val="none"/>
              </w:rPr>
              <w:t>JJF 1101-2019《环境试验设备温度、湿度 校准规范》</w:t>
            </w:r>
          </w:p>
        </w:tc>
      </w:tr>
      <w:tr w14:paraId="26CBD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9" w:type="dxa"/>
            <w:noWrap w:val="0"/>
            <w:vAlign w:val="center"/>
          </w:tcPr>
          <w:p w14:paraId="506A17CA">
            <w:pPr>
              <w:pStyle w:val="20"/>
              <w:spacing w:before="296" w:line="183"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cs="宋体"/>
                <w:color w:val="auto"/>
                <w:sz w:val="21"/>
                <w:szCs w:val="21"/>
                <w:highlight w:val="none"/>
                <w:lang w:val="en-US" w:eastAsia="zh-CN"/>
              </w:rPr>
              <w:t>8</w:t>
            </w:r>
          </w:p>
        </w:tc>
        <w:tc>
          <w:tcPr>
            <w:tcW w:w="1680" w:type="dxa"/>
            <w:noWrap w:val="0"/>
            <w:vAlign w:val="center"/>
          </w:tcPr>
          <w:p w14:paraId="0AE21D18">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电热恒温培养箱</w:t>
            </w:r>
          </w:p>
        </w:tc>
        <w:tc>
          <w:tcPr>
            <w:tcW w:w="1681" w:type="dxa"/>
            <w:noWrap w:val="0"/>
            <w:vAlign w:val="center"/>
          </w:tcPr>
          <w:p w14:paraId="6D0665D0">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szCs w:val="21"/>
              </w:rPr>
              <w:t>HHB11420BY</w:t>
            </w:r>
          </w:p>
        </w:tc>
        <w:tc>
          <w:tcPr>
            <w:tcW w:w="765" w:type="dxa"/>
            <w:noWrap w:val="0"/>
            <w:vAlign w:val="center"/>
          </w:tcPr>
          <w:p w14:paraId="7B0BD2B1">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1320" w:type="dxa"/>
            <w:noWrap w:val="0"/>
            <w:vAlign w:val="center"/>
          </w:tcPr>
          <w:p w14:paraId="0E970716">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校准</w:t>
            </w:r>
          </w:p>
        </w:tc>
        <w:tc>
          <w:tcPr>
            <w:tcW w:w="2713" w:type="dxa"/>
            <w:noWrap w:val="0"/>
            <w:vAlign w:val="center"/>
          </w:tcPr>
          <w:p w14:paraId="01D85318">
            <w:pPr>
              <w:jc w:val="center"/>
              <w:rPr>
                <w:rFonts w:hint="eastAsia" w:ascii="宋体" w:hAnsi="宋体" w:eastAsia="宋体" w:cs="宋体"/>
                <w:color w:val="auto"/>
                <w:spacing w:val="7"/>
                <w:kern w:val="2"/>
                <w:sz w:val="21"/>
                <w:szCs w:val="21"/>
                <w:highlight w:val="none"/>
                <w:shd w:val="clear" w:color="auto" w:fill="FFFFFF"/>
                <w:vertAlign w:val="baseline"/>
                <w:lang w:val="en-US" w:eastAsia="zh-CN" w:bidi="ar-SA"/>
              </w:rPr>
            </w:pPr>
            <w:r>
              <w:rPr>
                <w:rFonts w:hint="eastAsia" w:ascii="宋体" w:hAnsi="宋体" w:eastAsia="宋体" w:cs="宋体"/>
                <w:color w:val="auto"/>
                <w:sz w:val="21"/>
                <w:szCs w:val="21"/>
                <w:highlight w:val="none"/>
              </w:rPr>
              <w:t>JJF 1101-2019《环境试验设备温度、湿度 校准规范》</w:t>
            </w:r>
          </w:p>
        </w:tc>
      </w:tr>
      <w:tr w14:paraId="6CFA7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9" w:type="dxa"/>
            <w:noWrap w:val="0"/>
            <w:vAlign w:val="center"/>
          </w:tcPr>
          <w:p w14:paraId="2852C64F">
            <w:pPr>
              <w:pStyle w:val="20"/>
              <w:spacing w:before="296" w:line="183" w:lineRule="auto"/>
              <w:jc w:val="center"/>
              <w:rPr>
                <w:rFonts w:hint="eastAsia" w:ascii="宋体" w:hAnsi="宋体" w:eastAsia="宋体" w:cs="宋体"/>
                <w:color w:val="auto"/>
                <w:spacing w:val="7"/>
                <w:sz w:val="21"/>
                <w:szCs w:val="21"/>
                <w:highlight w:val="none"/>
                <w:shd w:val="clear" w:color="auto" w:fill="FFFFFF"/>
                <w:vertAlign w:val="baseline"/>
                <w:lang w:val="en-US" w:eastAsia="zh-CN"/>
              </w:rPr>
            </w:pPr>
            <w:r>
              <w:rPr>
                <w:rFonts w:hint="eastAsia" w:ascii="宋体" w:hAnsi="宋体" w:eastAsia="宋体" w:cs="宋体"/>
                <w:color w:val="auto"/>
                <w:spacing w:val="7"/>
                <w:sz w:val="21"/>
                <w:szCs w:val="21"/>
                <w:highlight w:val="none"/>
                <w:shd w:val="clear" w:color="auto" w:fill="FFFFFF"/>
                <w:vertAlign w:val="baseline"/>
                <w:lang w:val="en-US" w:eastAsia="zh-CN"/>
              </w:rPr>
              <w:t>1</w:t>
            </w:r>
            <w:r>
              <w:rPr>
                <w:rFonts w:hint="eastAsia" w:cs="宋体"/>
                <w:color w:val="auto"/>
                <w:spacing w:val="7"/>
                <w:sz w:val="21"/>
                <w:szCs w:val="21"/>
                <w:highlight w:val="none"/>
                <w:shd w:val="clear" w:color="auto" w:fill="FFFFFF"/>
                <w:vertAlign w:val="baseline"/>
                <w:lang w:val="en-US" w:eastAsia="zh-CN"/>
              </w:rPr>
              <w:t>9</w:t>
            </w:r>
          </w:p>
        </w:tc>
        <w:tc>
          <w:tcPr>
            <w:tcW w:w="1680" w:type="dxa"/>
            <w:noWrap w:val="0"/>
            <w:vAlign w:val="center"/>
          </w:tcPr>
          <w:p w14:paraId="39FD4174">
            <w:pPr>
              <w:tabs>
                <w:tab w:val="left" w:pos="852"/>
              </w:tabs>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箱式电阻炉</w:t>
            </w:r>
          </w:p>
        </w:tc>
        <w:tc>
          <w:tcPr>
            <w:tcW w:w="1681" w:type="dxa"/>
            <w:noWrap w:val="0"/>
            <w:vAlign w:val="center"/>
          </w:tcPr>
          <w:p w14:paraId="3B82E5C3">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szCs w:val="21"/>
              </w:rPr>
              <w:t>SXL-1008T</w:t>
            </w:r>
          </w:p>
        </w:tc>
        <w:tc>
          <w:tcPr>
            <w:tcW w:w="765" w:type="dxa"/>
            <w:noWrap w:val="0"/>
            <w:vAlign w:val="center"/>
          </w:tcPr>
          <w:p w14:paraId="640514C0">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320" w:type="dxa"/>
            <w:noWrap w:val="0"/>
            <w:vAlign w:val="center"/>
          </w:tcPr>
          <w:p w14:paraId="3C330349">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校准</w:t>
            </w:r>
          </w:p>
        </w:tc>
        <w:tc>
          <w:tcPr>
            <w:tcW w:w="2713" w:type="dxa"/>
            <w:noWrap w:val="0"/>
            <w:vAlign w:val="center"/>
          </w:tcPr>
          <w:p w14:paraId="727F4ABF">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JJF</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1376-2012《箱式电阻炉校准规范》</w:t>
            </w:r>
          </w:p>
        </w:tc>
      </w:tr>
      <w:tr w14:paraId="0CFEA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9" w:type="dxa"/>
            <w:noWrap w:val="0"/>
            <w:vAlign w:val="center"/>
          </w:tcPr>
          <w:p w14:paraId="2492C246">
            <w:pPr>
              <w:pStyle w:val="20"/>
              <w:spacing w:before="266" w:line="183" w:lineRule="auto"/>
              <w:jc w:val="center"/>
              <w:rPr>
                <w:rFonts w:hint="default" w:ascii="宋体" w:hAnsi="宋体" w:eastAsia="宋体" w:cs="宋体"/>
                <w:color w:val="auto"/>
                <w:spacing w:val="7"/>
                <w:sz w:val="21"/>
                <w:szCs w:val="21"/>
                <w:highlight w:val="none"/>
                <w:shd w:val="clear" w:color="auto" w:fill="FFFFFF"/>
                <w:vertAlign w:val="baseline"/>
                <w:lang w:val="en-US" w:eastAsia="zh-CN"/>
              </w:rPr>
            </w:pPr>
            <w:r>
              <w:rPr>
                <w:rFonts w:hint="eastAsia" w:cs="宋体"/>
                <w:color w:val="auto"/>
                <w:spacing w:val="7"/>
                <w:sz w:val="21"/>
                <w:szCs w:val="21"/>
                <w:highlight w:val="none"/>
                <w:shd w:val="clear" w:color="auto" w:fill="FFFFFF"/>
                <w:vertAlign w:val="baseline"/>
                <w:lang w:val="en-US" w:eastAsia="zh-CN"/>
              </w:rPr>
              <w:t>20</w:t>
            </w:r>
          </w:p>
        </w:tc>
        <w:tc>
          <w:tcPr>
            <w:tcW w:w="1680" w:type="dxa"/>
            <w:noWrap w:val="0"/>
            <w:vAlign w:val="center"/>
          </w:tcPr>
          <w:p w14:paraId="5CE15A96">
            <w:pPr>
              <w:jc w:val="center"/>
              <w:rPr>
                <w:rFonts w:hint="eastAsia" w:ascii="宋体" w:hAnsi="宋体" w:eastAsia="宋体" w:cs="宋体"/>
                <w:color w:val="auto"/>
                <w:spacing w:val="7"/>
                <w:sz w:val="21"/>
                <w:szCs w:val="21"/>
                <w:highlight w:val="none"/>
                <w:shd w:val="clear" w:color="auto" w:fill="FFFFFF"/>
                <w:vertAlign w:val="baseline"/>
                <w:lang w:val="en-US" w:eastAsia="zh-CN"/>
              </w:rPr>
            </w:pPr>
            <w:r>
              <w:rPr>
                <w:rFonts w:hint="eastAsia" w:ascii="宋体" w:hAnsi="宋体" w:eastAsia="宋体" w:cs="宋体"/>
                <w:color w:val="auto"/>
                <w:sz w:val="21"/>
                <w:szCs w:val="21"/>
                <w:highlight w:val="none"/>
                <w:lang w:val="en-US" w:eastAsia="zh-CN"/>
              </w:rPr>
              <w:t>电热鼓风干燥箱</w:t>
            </w:r>
          </w:p>
        </w:tc>
        <w:tc>
          <w:tcPr>
            <w:tcW w:w="1681" w:type="dxa"/>
            <w:noWrap w:val="0"/>
            <w:vAlign w:val="center"/>
          </w:tcPr>
          <w:p w14:paraId="0D2EEA12">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szCs w:val="21"/>
              </w:rPr>
              <w:t>GZX-GF101-2BS</w:t>
            </w:r>
          </w:p>
        </w:tc>
        <w:tc>
          <w:tcPr>
            <w:tcW w:w="765" w:type="dxa"/>
            <w:noWrap w:val="0"/>
            <w:vAlign w:val="center"/>
          </w:tcPr>
          <w:p w14:paraId="554BA1C5">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1320" w:type="dxa"/>
            <w:noWrap w:val="0"/>
            <w:vAlign w:val="center"/>
          </w:tcPr>
          <w:p w14:paraId="138E0593">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校准</w:t>
            </w:r>
          </w:p>
        </w:tc>
        <w:tc>
          <w:tcPr>
            <w:tcW w:w="2713" w:type="dxa"/>
            <w:noWrap w:val="0"/>
            <w:vAlign w:val="center"/>
          </w:tcPr>
          <w:p w14:paraId="35EBA8B3">
            <w:pPr>
              <w:jc w:val="center"/>
              <w:rPr>
                <w:rFonts w:hint="eastAsia" w:ascii="宋体" w:hAnsi="宋体" w:eastAsia="宋体" w:cs="宋体"/>
                <w:color w:val="auto"/>
                <w:spacing w:val="7"/>
                <w:sz w:val="21"/>
                <w:szCs w:val="21"/>
                <w:highlight w:val="none"/>
                <w:shd w:val="clear" w:color="auto" w:fill="FFFFFF"/>
                <w:vertAlign w:val="baseline"/>
                <w:lang w:val="en-US" w:eastAsia="zh-CN"/>
              </w:rPr>
            </w:pPr>
            <w:r>
              <w:rPr>
                <w:rFonts w:hint="eastAsia" w:ascii="宋体" w:hAnsi="宋体" w:eastAsia="宋体" w:cs="宋体"/>
                <w:color w:val="auto"/>
                <w:sz w:val="21"/>
                <w:szCs w:val="21"/>
                <w:highlight w:val="none"/>
              </w:rPr>
              <w:t>JJF 1101-2019《环境试验设备温度、湿度 校准规范》</w:t>
            </w:r>
          </w:p>
        </w:tc>
      </w:tr>
      <w:tr w14:paraId="2CFE2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9" w:type="dxa"/>
            <w:noWrap w:val="0"/>
            <w:vAlign w:val="center"/>
          </w:tcPr>
          <w:p w14:paraId="79539555">
            <w:pPr>
              <w:pStyle w:val="20"/>
              <w:spacing w:before="267" w:line="183" w:lineRule="auto"/>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21</w:t>
            </w:r>
          </w:p>
        </w:tc>
        <w:tc>
          <w:tcPr>
            <w:tcW w:w="1680" w:type="dxa"/>
            <w:noWrap w:val="0"/>
            <w:vAlign w:val="center"/>
          </w:tcPr>
          <w:p w14:paraId="502993FA">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立式压力蒸汽灭菌锅</w:t>
            </w:r>
          </w:p>
        </w:tc>
        <w:tc>
          <w:tcPr>
            <w:tcW w:w="1681" w:type="dxa"/>
            <w:noWrap w:val="0"/>
            <w:vAlign w:val="center"/>
          </w:tcPr>
          <w:p w14:paraId="4E7B2A22">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szCs w:val="21"/>
              </w:rPr>
              <w:t>LDZF-50KB</w:t>
            </w:r>
          </w:p>
        </w:tc>
        <w:tc>
          <w:tcPr>
            <w:tcW w:w="765" w:type="dxa"/>
            <w:noWrap w:val="0"/>
            <w:vAlign w:val="center"/>
          </w:tcPr>
          <w:p w14:paraId="0D815CA6">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320" w:type="dxa"/>
            <w:noWrap w:val="0"/>
            <w:vAlign w:val="center"/>
          </w:tcPr>
          <w:p w14:paraId="7C33A210">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校准</w:t>
            </w:r>
          </w:p>
        </w:tc>
        <w:tc>
          <w:tcPr>
            <w:tcW w:w="2713" w:type="dxa"/>
            <w:noWrap w:val="0"/>
            <w:vAlign w:val="center"/>
          </w:tcPr>
          <w:p w14:paraId="5FCBCB10">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JJF(苏)96-2010《蒸汽灭菌器温度、压力校准规范》</w:t>
            </w:r>
          </w:p>
        </w:tc>
      </w:tr>
      <w:tr w14:paraId="1DC59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9" w:type="dxa"/>
            <w:noWrap w:val="0"/>
            <w:vAlign w:val="center"/>
          </w:tcPr>
          <w:p w14:paraId="22695D2F">
            <w:pPr>
              <w:pStyle w:val="20"/>
              <w:spacing w:before="267" w:line="183" w:lineRule="auto"/>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22</w:t>
            </w:r>
          </w:p>
        </w:tc>
        <w:tc>
          <w:tcPr>
            <w:tcW w:w="1680" w:type="dxa"/>
            <w:noWrap w:val="0"/>
            <w:vAlign w:val="center"/>
          </w:tcPr>
          <w:p w14:paraId="72EEA8BC">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离子活度计</w:t>
            </w:r>
          </w:p>
        </w:tc>
        <w:tc>
          <w:tcPr>
            <w:tcW w:w="1681" w:type="dxa"/>
            <w:noWrap w:val="0"/>
            <w:vAlign w:val="center"/>
          </w:tcPr>
          <w:p w14:paraId="186A6843">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szCs w:val="21"/>
              </w:rPr>
              <w:t>PXSJ-226</w:t>
            </w:r>
          </w:p>
        </w:tc>
        <w:tc>
          <w:tcPr>
            <w:tcW w:w="765" w:type="dxa"/>
            <w:noWrap w:val="0"/>
            <w:vAlign w:val="center"/>
          </w:tcPr>
          <w:p w14:paraId="6E15A670">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1320" w:type="dxa"/>
            <w:noWrap w:val="0"/>
            <w:vAlign w:val="center"/>
          </w:tcPr>
          <w:p w14:paraId="7E83D0CA">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校准</w:t>
            </w:r>
          </w:p>
        </w:tc>
        <w:tc>
          <w:tcPr>
            <w:tcW w:w="2713" w:type="dxa"/>
            <w:noWrap w:val="0"/>
            <w:vAlign w:val="center"/>
          </w:tcPr>
          <w:p w14:paraId="1B903A36">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JJG</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757-2018《离子计检定规程》</w:t>
            </w:r>
          </w:p>
        </w:tc>
      </w:tr>
      <w:tr w14:paraId="57BC1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9" w:type="dxa"/>
            <w:noWrap w:val="0"/>
            <w:vAlign w:val="center"/>
          </w:tcPr>
          <w:p w14:paraId="6D6D8947">
            <w:pPr>
              <w:pStyle w:val="20"/>
              <w:spacing w:before="267" w:line="183" w:lineRule="auto"/>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23</w:t>
            </w:r>
          </w:p>
        </w:tc>
        <w:tc>
          <w:tcPr>
            <w:tcW w:w="1680" w:type="dxa"/>
            <w:noWrap w:val="0"/>
            <w:vAlign w:val="center"/>
          </w:tcPr>
          <w:p w14:paraId="00D9B28C">
            <w:pPr>
              <w:jc w:val="center"/>
              <w:rPr>
                <w:rFonts w:hint="eastAsia" w:ascii="宋体" w:hAnsi="宋体" w:eastAsia="宋体" w:cs="宋体"/>
                <w:color w:val="auto"/>
                <w:spacing w:val="7"/>
                <w:kern w:val="2"/>
                <w:sz w:val="21"/>
                <w:szCs w:val="21"/>
                <w:highlight w:val="none"/>
                <w:shd w:val="clear" w:color="auto" w:fill="FFFFFF"/>
                <w:vertAlign w:val="baseline"/>
                <w:lang w:val="en-US" w:eastAsia="zh-CN" w:bidi="ar-SA"/>
              </w:rPr>
            </w:pPr>
            <w:r>
              <w:rPr>
                <w:rFonts w:hint="eastAsia" w:ascii="宋体" w:hAnsi="宋体" w:eastAsia="宋体" w:cs="宋体"/>
                <w:color w:val="auto"/>
                <w:sz w:val="21"/>
                <w:szCs w:val="21"/>
                <w:highlight w:val="none"/>
              </w:rPr>
              <w:t>电导率仪</w:t>
            </w:r>
          </w:p>
        </w:tc>
        <w:tc>
          <w:tcPr>
            <w:tcW w:w="1681" w:type="dxa"/>
            <w:noWrap w:val="0"/>
            <w:vAlign w:val="center"/>
          </w:tcPr>
          <w:p w14:paraId="1E43078C">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szCs w:val="21"/>
              </w:rPr>
              <w:t>DDS-307A</w:t>
            </w:r>
          </w:p>
        </w:tc>
        <w:tc>
          <w:tcPr>
            <w:tcW w:w="765" w:type="dxa"/>
            <w:noWrap w:val="0"/>
            <w:vAlign w:val="center"/>
          </w:tcPr>
          <w:p w14:paraId="1364B9C1">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320" w:type="dxa"/>
            <w:noWrap w:val="0"/>
            <w:vAlign w:val="center"/>
          </w:tcPr>
          <w:p w14:paraId="51A0945F">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校准</w:t>
            </w:r>
          </w:p>
        </w:tc>
        <w:tc>
          <w:tcPr>
            <w:tcW w:w="2713" w:type="dxa"/>
            <w:noWrap w:val="0"/>
            <w:vAlign w:val="center"/>
          </w:tcPr>
          <w:p w14:paraId="2FF2F366">
            <w:pPr>
              <w:jc w:val="center"/>
              <w:rPr>
                <w:rFonts w:hint="eastAsia" w:ascii="宋体" w:hAnsi="宋体" w:eastAsia="宋体" w:cs="宋体"/>
                <w:color w:val="auto"/>
                <w:spacing w:val="7"/>
                <w:kern w:val="2"/>
                <w:sz w:val="21"/>
                <w:szCs w:val="21"/>
                <w:highlight w:val="none"/>
                <w:shd w:val="clear" w:color="auto" w:fill="FFFFFF"/>
                <w:vertAlign w:val="baseline"/>
                <w:lang w:val="en-US" w:eastAsia="zh-CN" w:bidi="ar-SA"/>
              </w:rPr>
            </w:pPr>
            <w:r>
              <w:rPr>
                <w:rFonts w:hint="eastAsia" w:ascii="宋体" w:hAnsi="宋体" w:eastAsia="宋体" w:cs="宋体"/>
                <w:color w:val="auto"/>
                <w:sz w:val="21"/>
                <w:szCs w:val="21"/>
                <w:highlight w:val="none"/>
              </w:rPr>
              <w:t>JJG</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376-2007《电导率仪检定规程》</w:t>
            </w:r>
          </w:p>
        </w:tc>
      </w:tr>
      <w:tr w14:paraId="2552A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9" w:type="dxa"/>
            <w:noWrap w:val="0"/>
            <w:vAlign w:val="center"/>
          </w:tcPr>
          <w:p w14:paraId="26719543">
            <w:pPr>
              <w:pStyle w:val="20"/>
              <w:spacing w:before="267" w:line="183" w:lineRule="auto"/>
              <w:jc w:val="center"/>
              <w:rPr>
                <w:rFonts w:hint="default" w:ascii="宋体" w:hAnsi="宋体" w:eastAsia="宋体" w:cs="宋体"/>
                <w:color w:val="auto"/>
                <w:spacing w:val="7"/>
                <w:sz w:val="21"/>
                <w:szCs w:val="21"/>
                <w:highlight w:val="none"/>
                <w:shd w:val="clear" w:color="auto" w:fill="FFFFFF"/>
                <w:vertAlign w:val="baseline"/>
                <w:lang w:val="en-US" w:eastAsia="zh-CN"/>
              </w:rPr>
            </w:pPr>
            <w:r>
              <w:rPr>
                <w:rFonts w:hint="eastAsia" w:cs="宋体"/>
                <w:color w:val="auto"/>
                <w:spacing w:val="7"/>
                <w:sz w:val="21"/>
                <w:szCs w:val="21"/>
                <w:highlight w:val="none"/>
                <w:shd w:val="clear" w:color="auto" w:fill="FFFFFF"/>
                <w:vertAlign w:val="baseline"/>
                <w:lang w:val="en-US" w:eastAsia="zh-CN"/>
              </w:rPr>
              <w:t>24</w:t>
            </w:r>
          </w:p>
        </w:tc>
        <w:tc>
          <w:tcPr>
            <w:tcW w:w="1680" w:type="dxa"/>
            <w:noWrap w:val="0"/>
            <w:vAlign w:val="center"/>
          </w:tcPr>
          <w:p w14:paraId="11498CBB">
            <w:pPr>
              <w:pStyle w:val="20"/>
              <w:spacing w:before="246" w:line="219" w:lineRule="auto"/>
              <w:jc w:val="center"/>
              <w:rPr>
                <w:rFonts w:hint="eastAsia" w:ascii="宋体" w:hAnsi="宋体" w:eastAsia="宋体" w:cs="宋体"/>
                <w:color w:val="auto"/>
                <w:spacing w:val="7"/>
                <w:kern w:val="2"/>
                <w:sz w:val="21"/>
                <w:szCs w:val="21"/>
                <w:highlight w:val="none"/>
                <w:shd w:val="clear" w:color="auto" w:fill="FFFFFF"/>
                <w:vertAlign w:val="baseline"/>
                <w:lang w:val="en-US" w:eastAsia="zh-CN" w:bidi="ar-SA"/>
              </w:rPr>
            </w:pPr>
            <w:r>
              <w:rPr>
                <w:rFonts w:hint="eastAsia" w:ascii="宋体" w:hAnsi="宋体" w:eastAsia="宋体" w:cs="宋体"/>
                <w:color w:val="auto"/>
                <w:spacing w:val="-2"/>
                <w:sz w:val="21"/>
                <w:szCs w:val="21"/>
                <w:highlight w:val="none"/>
              </w:rPr>
              <w:t>数字式温湿度计</w:t>
            </w:r>
          </w:p>
        </w:tc>
        <w:tc>
          <w:tcPr>
            <w:tcW w:w="1681" w:type="dxa"/>
            <w:noWrap w:val="0"/>
            <w:vAlign w:val="center"/>
          </w:tcPr>
          <w:p w14:paraId="7DDA47D0">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THP22BL</w:t>
            </w:r>
          </w:p>
        </w:tc>
        <w:tc>
          <w:tcPr>
            <w:tcW w:w="765" w:type="dxa"/>
            <w:noWrap w:val="0"/>
            <w:vAlign w:val="center"/>
          </w:tcPr>
          <w:p w14:paraId="1FC751C8">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1320" w:type="dxa"/>
            <w:noWrap w:val="0"/>
            <w:vAlign w:val="center"/>
          </w:tcPr>
          <w:p w14:paraId="76BEF422">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校准</w:t>
            </w:r>
          </w:p>
        </w:tc>
        <w:tc>
          <w:tcPr>
            <w:tcW w:w="2713" w:type="dxa"/>
            <w:noWrap w:val="0"/>
            <w:vAlign w:val="center"/>
          </w:tcPr>
          <w:p w14:paraId="63101143">
            <w:pPr>
              <w:pStyle w:val="20"/>
              <w:spacing w:before="157" w:line="221" w:lineRule="auto"/>
              <w:ind w:right="105" w:rightChars="0"/>
              <w:jc w:val="center"/>
              <w:rPr>
                <w:rFonts w:hint="eastAsia" w:ascii="宋体" w:hAnsi="宋体" w:eastAsia="宋体" w:cs="宋体"/>
                <w:color w:val="auto"/>
                <w:spacing w:val="7"/>
                <w:kern w:val="2"/>
                <w:sz w:val="21"/>
                <w:szCs w:val="21"/>
                <w:highlight w:val="none"/>
                <w:shd w:val="clear" w:color="auto" w:fill="FFFFFF"/>
                <w:vertAlign w:val="baseline"/>
                <w:lang w:val="en-US" w:eastAsia="zh-CN" w:bidi="ar-SA"/>
              </w:rPr>
            </w:pPr>
            <w:r>
              <w:rPr>
                <w:rFonts w:hint="eastAsia" w:ascii="宋体" w:hAnsi="宋体" w:eastAsia="宋体" w:cs="宋体"/>
                <w:color w:val="auto"/>
                <w:spacing w:val="-3"/>
                <w:sz w:val="21"/>
                <w:szCs w:val="21"/>
                <w:highlight w:val="none"/>
              </w:rPr>
              <w:t>JJF</w:t>
            </w:r>
            <w:r>
              <w:rPr>
                <w:rFonts w:hint="eastAsia" w:cs="宋体"/>
                <w:color w:val="auto"/>
                <w:spacing w:val="-3"/>
                <w:sz w:val="21"/>
                <w:szCs w:val="21"/>
                <w:highlight w:val="none"/>
                <w:lang w:val="en-US" w:eastAsia="zh-CN"/>
              </w:rPr>
              <w:t xml:space="preserve"> </w:t>
            </w:r>
            <w:r>
              <w:rPr>
                <w:rFonts w:hint="eastAsia" w:ascii="宋体" w:hAnsi="宋体" w:eastAsia="宋体" w:cs="宋体"/>
                <w:color w:val="auto"/>
                <w:spacing w:val="-3"/>
                <w:sz w:val="21"/>
                <w:szCs w:val="21"/>
                <w:highlight w:val="none"/>
              </w:rPr>
              <w:t>1076-2020</w:t>
            </w:r>
            <w:r>
              <w:rPr>
                <w:rFonts w:hint="eastAsia" w:ascii="宋体" w:hAnsi="宋体" w:eastAsia="宋体" w:cs="宋体"/>
                <w:color w:val="auto"/>
                <w:spacing w:val="-2"/>
                <w:sz w:val="21"/>
                <w:szCs w:val="21"/>
                <w:highlight w:val="none"/>
              </w:rPr>
              <w:t>《数字温湿度计校准规范》</w:t>
            </w:r>
          </w:p>
        </w:tc>
      </w:tr>
      <w:tr w14:paraId="6D71B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9" w:type="dxa"/>
            <w:noWrap w:val="0"/>
            <w:vAlign w:val="center"/>
          </w:tcPr>
          <w:p w14:paraId="004EAD10">
            <w:pPr>
              <w:pStyle w:val="20"/>
              <w:spacing w:before="266" w:line="184" w:lineRule="auto"/>
              <w:jc w:val="center"/>
              <w:rPr>
                <w:rFonts w:hint="default" w:ascii="宋体" w:hAnsi="宋体" w:eastAsia="宋体" w:cs="宋体"/>
                <w:color w:val="auto"/>
                <w:spacing w:val="7"/>
                <w:sz w:val="21"/>
                <w:szCs w:val="21"/>
                <w:highlight w:val="none"/>
                <w:shd w:val="clear" w:color="auto" w:fill="FFFFFF"/>
                <w:vertAlign w:val="baseline"/>
                <w:lang w:val="en-US" w:eastAsia="zh-CN"/>
              </w:rPr>
            </w:pPr>
            <w:r>
              <w:rPr>
                <w:rFonts w:hint="eastAsia" w:cs="宋体"/>
                <w:color w:val="auto"/>
                <w:spacing w:val="7"/>
                <w:sz w:val="21"/>
                <w:szCs w:val="21"/>
                <w:highlight w:val="none"/>
                <w:shd w:val="clear" w:color="auto" w:fill="FFFFFF"/>
                <w:vertAlign w:val="baseline"/>
                <w:lang w:val="en-US" w:eastAsia="zh-CN"/>
              </w:rPr>
              <w:t>25</w:t>
            </w:r>
          </w:p>
        </w:tc>
        <w:tc>
          <w:tcPr>
            <w:tcW w:w="1680" w:type="dxa"/>
            <w:noWrap w:val="0"/>
            <w:vAlign w:val="center"/>
          </w:tcPr>
          <w:p w14:paraId="3C9AFA11">
            <w:pPr>
              <w:jc w:val="center"/>
              <w:rPr>
                <w:rFonts w:hint="eastAsia" w:ascii="宋体" w:hAnsi="宋体" w:eastAsia="宋体" w:cs="宋体"/>
                <w:color w:val="auto"/>
                <w:spacing w:val="7"/>
                <w:sz w:val="21"/>
                <w:szCs w:val="21"/>
                <w:highlight w:val="none"/>
                <w:shd w:val="clear" w:color="auto" w:fill="FFFFFF"/>
                <w:vertAlign w:val="baseline"/>
                <w:lang w:val="en-US" w:eastAsia="zh-CN"/>
              </w:rPr>
            </w:pPr>
            <w:r>
              <w:rPr>
                <w:rFonts w:hint="eastAsia" w:ascii="宋体" w:hAnsi="宋体" w:eastAsia="宋体" w:cs="宋体"/>
                <w:color w:val="auto"/>
                <w:spacing w:val="7"/>
                <w:sz w:val="21"/>
                <w:szCs w:val="21"/>
                <w:highlight w:val="none"/>
                <w:shd w:val="clear" w:color="auto" w:fill="FFFFFF"/>
                <w:vertAlign w:val="baseline"/>
                <w:lang w:val="en-US" w:eastAsia="zh-CN"/>
              </w:rPr>
              <w:t>英霍夫锥形管</w:t>
            </w:r>
          </w:p>
        </w:tc>
        <w:tc>
          <w:tcPr>
            <w:tcW w:w="1681" w:type="dxa"/>
            <w:noWrap w:val="0"/>
            <w:vAlign w:val="center"/>
          </w:tcPr>
          <w:p w14:paraId="5DED09A0">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765" w:type="dxa"/>
            <w:noWrap w:val="0"/>
            <w:vAlign w:val="center"/>
          </w:tcPr>
          <w:p w14:paraId="7388AF8D">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320" w:type="dxa"/>
            <w:noWrap w:val="0"/>
            <w:vAlign w:val="center"/>
          </w:tcPr>
          <w:p w14:paraId="3E67145D">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校准</w:t>
            </w:r>
          </w:p>
        </w:tc>
        <w:tc>
          <w:tcPr>
            <w:tcW w:w="2713" w:type="dxa"/>
            <w:noWrap w:val="0"/>
            <w:vAlign w:val="center"/>
          </w:tcPr>
          <w:p w14:paraId="681334DE">
            <w:pPr>
              <w:jc w:val="center"/>
              <w:rPr>
                <w:rFonts w:hint="eastAsia" w:ascii="宋体" w:hAnsi="宋体" w:eastAsia="宋体" w:cs="宋体"/>
                <w:color w:val="auto"/>
                <w:spacing w:val="7"/>
                <w:kern w:val="2"/>
                <w:sz w:val="21"/>
                <w:szCs w:val="21"/>
                <w:highlight w:val="none"/>
                <w:shd w:val="clear" w:color="auto" w:fill="FFFFFF"/>
                <w:vertAlign w:val="baseline"/>
                <w:lang w:val="en-US" w:eastAsia="zh-CN" w:bidi="ar-SA"/>
              </w:rPr>
            </w:pPr>
            <w:r>
              <w:rPr>
                <w:rFonts w:hint="eastAsia" w:ascii="宋体" w:hAnsi="宋体" w:eastAsia="宋体" w:cs="宋体"/>
                <w:color w:val="auto"/>
                <w:sz w:val="21"/>
                <w:szCs w:val="21"/>
                <w:highlight w:val="none"/>
              </w:rPr>
              <w:t>J</w:t>
            </w:r>
            <w:r>
              <w:rPr>
                <w:rFonts w:hint="eastAsia" w:ascii="宋体" w:hAnsi="宋体" w:cs="宋体"/>
                <w:sz w:val="21"/>
                <w:szCs w:val="21"/>
                <w:highlight w:val="none"/>
                <w:lang w:val="en-US" w:eastAsia="zh-CN"/>
              </w:rPr>
              <w:t>J</w:t>
            </w:r>
            <w:r>
              <w:rPr>
                <w:rFonts w:hint="eastAsia" w:ascii="宋体" w:hAnsi="宋体" w:eastAsia="宋体" w:cs="宋体"/>
                <w:color w:val="auto"/>
                <w:sz w:val="21"/>
                <w:szCs w:val="21"/>
                <w:highlight w:val="none"/>
              </w:rPr>
              <w:t>G 196-2006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常用玻璃量器检定规程》</w:t>
            </w:r>
          </w:p>
        </w:tc>
      </w:tr>
      <w:tr w14:paraId="52C27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9" w:type="dxa"/>
            <w:noWrap w:val="0"/>
            <w:vAlign w:val="center"/>
          </w:tcPr>
          <w:p w14:paraId="2546AFA3">
            <w:pPr>
              <w:pStyle w:val="20"/>
              <w:spacing w:before="266" w:line="184" w:lineRule="auto"/>
              <w:jc w:val="center"/>
              <w:rPr>
                <w:rFonts w:hint="default" w:ascii="宋体" w:hAnsi="宋体" w:eastAsia="宋体" w:cs="宋体"/>
                <w:color w:val="auto"/>
                <w:spacing w:val="7"/>
                <w:sz w:val="21"/>
                <w:szCs w:val="21"/>
                <w:highlight w:val="none"/>
                <w:shd w:val="clear" w:color="auto" w:fill="FFFFFF"/>
                <w:vertAlign w:val="baseline"/>
                <w:lang w:val="en-US" w:eastAsia="zh-CN"/>
              </w:rPr>
            </w:pPr>
            <w:r>
              <w:rPr>
                <w:rFonts w:hint="eastAsia" w:cs="宋体"/>
                <w:color w:val="auto"/>
                <w:spacing w:val="7"/>
                <w:sz w:val="21"/>
                <w:szCs w:val="21"/>
                <w:highlight w:val="none"/>
                <w:shd w:val="clear" w:color="auto" w:fill="FFFFFF"/>
                <w:vertAlign w:val="baseline"/>
                <w:lang w:val="en-US" w:eastAsia="zh-CN"/>
              </w:rPr>
              <w:t>26</w:t>
            </w:r>
          </w:p>
        </w:tc>
        <w:tc>
          <w:tcPr>
            <w:tcW w:w="1680" w:type="dxa"/>
            <w:noWrap w:val="0"/>
            <w:vAlign w:val="center"/>
          </w:tcPr>
          <w:p w14:paraId="786BA67A">
            <w:pPr>
              <w:jc w:val="center"/>
              <w:rPr>
                <w:rFonts w:hint="eastAsia" w:ascii="宋体" w:hAnsi="宋体" w:eastAsia="宋体" w:cs="宋体"/>
                <w:color w:val="auto"/>
                <w:spacing w:val="7"/>
                <w:kern w:val="2"/>
                <w:sz w:val="21"/>
                <w:szCs w:val="21"/>
                <w:highlight w:val="none"/>
                <w:shd w:val="clear" w:color="auto" w:fill="FFFFFF"/>
                <w:vertAlign w:val="baseline"/>
                <w:lang w:val="en-US" w:eastAsia="zh-CN" w:bidi="ar-SA"/>
              </w:rPr>
            </w:pPr>
            <w:r>
              <w:rPr>
                <w:rFonts w:hint="eastAsia" w:ascii="宋体" w:hAnsi="宋体" w:eastAsia="宋体" w:cs="宋体"/>
                <w:color w:val="auto"/>
                <w:spacing w:val="7"/>
                <w:sz w:val="21"/>
                <w:szCs w:val="21"/>
                <w:highlight w:val="none"/>
                <w:shd w:val="clear" w:color="auto" w:fill="FFFFFF"/>
                <w:vertAlign w:val="baseline"/>
                <w:lang w:val="en-US" w:eastAsia="zh-CN"/>
              </w:rPr>
              <w:t>表层水温表</w:t>
            </w:r>
          </w:p>
        </w:tc>
        <w:tc>
          <w:tcPr>
            <w:tcW w:w="1681" w:type="dxa"/>
            <w:noWrap w:val="0"/>
            <w:vAlign w:val="center"/>
          </w:tcPr>
          <w:p w14:paraId="51ABB7C0">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765" w:type="dxa"/>
            <w:noWrap w:val="0"/>
            <w:vAlign w:val="center"/>
          </w:tcPr>
          <w:p w14:paraId="309EC4F6">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1320" w:type="dxa"/>
            <w:noWrap w:val="0"/>
            <w:vAlign w:val="center"/>
          </w:tcPr>
          <w:p w14:paraId="009E7B84">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校准</w:t>
            </w:r>
          </w:p>
        </w:tc>
        <w:tc>
          <w:tcPr>
            <w:tcW w:w="2713" w:type="dxa"/>
            <w:noWrap w:val="0"/>
            <w:vAlign w:val="center"/>
          </w:tcPr>
          <w:p w14:paraId="0AA195C1">
            <w:pPr>
              <w:jc w:val="center"/>
              <w:rPr>
                <w:rFonts w:hint="eastAsia" w:ascii="宋体" w:hAnsi="宋体" w:eastAsia="宋体" w:cs="宋体"/>
                <w:color w:val="auto"/>
                <w:spacing w:val="7"/>
                <w:kern w:val="2"/>
                <w:sz w:val="21"/>
                <w:szCs w:val="21"/>
                <w:highlight w:val="none"/>
                <w:shd w:val="clear" w:color="auto" w:fill="FFFFFF"/>
                <w:vertAlign w:val="baseline"/>
                <w:lang w:val="en-US" w:eastAsia="zh-CN" w:bidi="ar-SA"/>
              </w:rPr>
            </w:pPr>
            <w:r>
              <w:rPr>
                <w:rFonts w:hint="eastAsia" w:ascii="宋体" w:hAnsi="宋体" w:eastAsia="宋体" w:cs="宋体"/>
                <w:color w:val="auto"/>
                <w:spacing w:val="7"/>
                <w:sz w:val="21"/>
                <w:szCs w:val="21"/>
                <w:highlight w:val="none"/>
                <w:shd w:val="clear" w:color="auto" w:fill="FFFFFF"/>
                <w:vertAlign w:val="baseline"/>
                <w:lang w:val="en-US" w:eastAsia="zh-CN"/>
              </w:rPr>
              <w:t>JJG 289-2019《表层水温表检定规程》</w:t>
            </w:r>
          </w:p>
        </w:tc>
      </w:tr>
      <w:tr w14:paraId="78138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9" w:type="dxa"/>
            <w:noWrap w:val="0"/>
            <w:vAlign w:val="center"/>
          </w:tcPr>
          <w:p w14:paraId="2ECB50D0">
            <w:pPr>
              <w:pStyle w:val="20"/>
              <w:spacing w:before="266" w:line="184" w:lineRule="auto"/>
              <w:jc w:val="center"/>
              <w:rPr>
                <w:rFonts w:hint="default" w:ascii="宋体" w:hAnsi="宋体" w:eastAsia="宋体" w:cs="宋体"/>
                <w:color w:val="auto"/>
                <w:spacing w:val="7"/>
                <w:sz w:val="21"/>
                <w:szCs w:val="21"/>
                <w:highlight w:val="none"/>
                <w:shd w:val="clear" w:color="auto" w:fill="FFFFFF"/>
                <w:vertAlign w:val="baseline"/>
                <w:lang w:val="en-US" w:eastAsia="zh-CN"/>
              </w:rPr>
            </w:pPr>
            <w:r>
              <w:rPr>
                <w:rFonts w:hint="eastAsia" w:cs="宋体"/>
                <w:color w:val="auto"/>
                <w:spacing w:val="7"/>
                <w:sz w:val="21"/>
                <w:szCs w:val="21"/>
                <w:highlight w:val="none"/>
                <w:shd w:val="clear" w:color="auto" w:fill="FFFFFF"/>
                <w:vertAlign w:val="baseline"/>
                <w:lang w:val="en-US" w:eastAsia="zh-CN"/>
              </w:rPr>
              <w:t>27</w:t>
            </w:r>
          </w:p>
        </w:tc>
        <w:tc>
          <w:tcPr>
            <w:tcW w:w="1680" w:type="dxa"/>
            <w:noWrap w:val="0"/>
            <w:vAlign w:val="center"/>
          </w:tcPr>
          <w:p w14:paraId="4B5A0655">
            <w:pPr>
              <w:jc w:val="center"/>
              <w:rPr>
                <w:rFonts w:hint="eastAsia" w:ascii="宋体" w:hAnsi="宋体" w:eastAsia="宋体" w:cs="宋体"/>
                <w:color w:val="auto"/>
                <w:spacing w:val="7"/>
                <w:kern w:val="2"/>
                <w:sz w:val="21"/>
                <w:szCs w:val="21"/>
                <w:highlight w:val="none"/>
                <w:shd w:val="clear" w:color="auto" w:fill="FFFFFF"/>
                <w:vertAlign w:val="baseline"/>
                <w:lang w:val="en-US" w:eastAsia="zh-CN" w:bidi="ar-SA"/>
              </w:rPr>
            </w:pPr>
            <w:r>
              <w:rPr>
                <w:rFonts w:hint="eastAsia" w:ascii="宋体" w:hAnsi="宋体" w:eastAsia="宋体" w:cs="宋体"/>
                <w:color w:val="auto"/>
                <w:sz w:val="21"/>
                <w:szCs w:val="21"/>
                <w:highlight w:val="none"/>
                <w:lang w:val="en-US" w:eastAsia="zh-CN"/>
              </w:rPr>
              <w:t>透明度计</w:t>
            </w:r>
          </w:p>
        </w:tc>
        <w:tc>
          <w:tcPr>
            <w:tcW w:w="1681" w:type="dxa"/>
            <w:noWrap w:val="0"/>
            <w:vAlign w:val="center"/>
          </w:tcPr>
          <w:p w14:paraId="0C00008F">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szCs w:val="21"/>
              </w:rPr>
              <w:t>TDJ-330</w:t>
            </w:r>
          </w:p>
        </w:tc>
        <w:tc>
          <w:tcPr>
            <w:tcW w:w="765" w:type="dxa"/>
            <w:noWrap w:val="0"/>
            <w:vAlign w:val="center"/>
          </w:tcPr>
          <w:p w14:paraId="74A03B79">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1320" w:type="dxa"/>
            <w:noWrap w:val="0"/>
            <w:vAlign w:val="center"/>
          </w:tcPr>
          <w:p w14:paraId="445F3C74">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校准</w:t>
            </w:r>
          </w:p>
        </w:tc>
        <w:tc>
          <w:tcPr>
            <w:tcW w:w="2713" w:type="dxa"/>
            <w:noWrap w:val="0"/>
            <w:vAlign w:val="center"/>
          </w:tcPr>
          <w:p w14:paraId="5810617C">
            <w:pPr>
              <w:jc w:val="center"/>
              <w:rPr>
                <w:rFonts w:hint="eastAsia" w:ascii="宋体" w:hAnsi="宋体" w:eastAsia="宋体" w:cs="宋体"/>
                <w:color w:val="auto"/>
                <w:spacing w:val="7"/>
                <w:kern w:val="2"/>
                <w:sz w:val="21"/>
                <w:szCs w:val="21"/>
                <w:highlight w:val="none"/>
                <w:shd w:val="clear" w:color="auto" w:fill="FFFFFF"/>
                <w:vertAlign w:val="baseline"/>
                <w:lang w:val="en-US" w:eastAsia="zh-CN" w:bidi="ar-SA"/>
              </w:rPr>
            </w:pPr>
            <w:r>
              <w:rPr>
                <w:rFonts w:hint="eastAsia" w:ascii="宋体" w:hAnsi="宋体" w:eastAsia="宋体" w:cs="宋体"/>
                <w:color w:val="auto"/>
                <w:sz w:val="21"/>
                <w:szCs w:val="21"/>
                <w:highlight w:val="none"/>
              </w:rPr>
              <w:t>JJG 1-1999《钢直尺检定规程》</w:t>
            </w:r>
          </w:p>
        </w:tc>
      </w:tr>
      <w:tr w14:paraId="3A4F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9" w:type="dxa"/>
            <w:noWrap w:val="0"/>
            <w:vAlign w:val="center"/>
          </w:tcPr>
          <w:p w14:paraId="72F0DAEB">
            <w:pPr>
              <w:pStyle w:val="20"/>
              <w:spacing w:before="266" w:line="184" w:lineRule="auto"/>
              <w:jc w:val="center"/>
              <w:rPr>
                <w:rFonts w:hint="default" w:ascii="宋体" w:hAnsi="宋体" w:eastAsia="宋体" w:cs="宋体"/>
                <w:color w:val="auto"/>
                <w:spacing w:val="7"/>
                <w:sz w:val="21"/>
                <w:szCs w:val="21"/>
                <w:highlight w:val="none"/>
                <w:shd w:val="clear" w:color="auto" w:fill="FFFFFF"/>
                <w:vertAlign w:val="baseline"/>
                <w:lang w:val="en-US" w:eastAsia="zh-CN"/>
              </w:rPr>
            </w:pPr>
            <w:r>
              <w:rPr>
                <w:rFonts w:hint="eastAsia" w:cs="宋体"/>
                <w:color w:val="auto"/>
                <w:spacing w:val="7"/>
                <w:sz w:val="21"/>
                <w:szCs w:val="21"/>
                <w:highlight w:val="none"/>
                <w:shd w:val="clear" w:color="auto" w:fill="FFFFFF"/>
                <w:vertAlign w:val="baseline"/>
                <w:lang w:val="en-US" w:eastAsia="zh-CN"/>
              </w:rPr>
              <w:t>28</w:t>
            </w:r>
          </w:p>
        </w:tc>
        <w:tc>
          <w:tcPr>
            <w:tcW w:w="1680" w:type="dxa"/>
            <w:noWrap w:val="0"/>
            <w:vAlign w:val="center"/>
          </w:tcPr>
          <w:p w14:paraId="3C880F80">
            <w:pPr>
              <w:jc w:val="center"/>
              <w:rPr>
                <w:rFonts w:hint="eastAsia" w:ascii="宋体" w:hAnsi="宋体" w:eastAsia="宋体" w:cs="宋体"/>
                <w:color w:val="auto"/>
                <w:spacing w:val="7"/>
                <w:kern w:val="2"/>
                <w:sz w:val="21"/>
                <w:szCs w:val="21"/>
                <w:highlight w:val="none"/>
                <w:shd w:val="clear" w:color="auto" w:fill="FFFFFF"/>
                <w:vertAlign w:val="baseline"/>
                <w:lang w:val="en-US" w:eastAsia="zh-CN" w:bidi="ar-SA"/>
              </w:rPr>
            </w:pPr>
            <w:r>
              <w:rPr>
                <w:rFonts w:hint="eastAsia" w:ascii="宋体" w:hAnsi="宋体" w:eastAsia="宋体" w:cs="宋体"/>
                <w:color w:val="auto"/>
                <w:sz w:val="21"/>
                <w:szCs w:val="21"/>
                <w:highlight w:val="none"/>
              </w:rPr>
              <w:t>量杯</w:t>
            </w:r>
          </w:p>
        </w:tc>
        <w:tc>
          <w:tcPr>
            <w:tcW w:w="1681" w:type="dxa"/>
            <w:noWrap w:val="0"/>
            <w:vAlign w:val="center"/>
          </w:tcPr>
          <w:p w14:paraId="4699D106">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w:t>
            </w:r>
          </w:p>
        </w:tc>
        <w:tc>
          <w:tcPr>
            <w:tcW w:w="765" w:type="dxa"/>
            <w:noWrap w:val="0"/>
            <w:vAlign w:val="center"/>
          </w:tcPr>
          <w:p w14:paraId="1C0D4189">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4</w:t>
            </w:r>
          </w:p>
        </w:tc>
        <w:tc>
          <w:tcPr>
            <w:tcW w:w="1320" w:type="dxa"/>
            <w:noWrap w:val="0"/>
            <w:vAlign w:val="center"/>
          </w:tcPr>
          <w:p w14:paraId="284550C8">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校准</w:t>
            </w:r>
          </w:p>
        </w:tc>
        <w:tc>
          <w:tcPr>
            <w:tcW w:w="2713" w:type="dxa"/>
            <w:noWrap w:val="0"/>
            <w:vAlign w:val="center"/>
          </w:tcPr>
          <w:p w14:paraId="0C423153">
            <w:pPr>
              <w:jc w:val="center"/>
              <w:rPr>
                <w:rFonts w:hint="eastAsia" w:ascii="宋体" w:hAnsi="宋体" w:eastAsia="宋体" w:cs="宋体"/>
                <w:color w:val="auto"/>
                <w:spacing w:val="7"/>
                <w:kern w:val="2"/>
                <w:sz w:val="21"/>
                <w:szCs w:val="21"/>
                <w:highlight w:val="none"/>
                <w:shd w:val="clear" w:color="auto" w:fill="FFFFFF"/>
                <w:vertAlign w:val="baseline"/>
                <w:lang w:val="en-US" w:eastAsia="zh-CN" w:bidi="ar-SA"/>
              </w:rPr>
            </w:pPr>
            <w:r>
              <w:rPr>
                <w:rFonts w:hint="eastAsia" w:ascii="宋体" w:hAnsi="宋体" w:eastAsia="宋体" w:cs="宋体"/>
                <w:color w:val="auto"/>
                <w:sz w:val="21"/>
                <w:szCs w:val="21"/>
                <w:highlight w:val="none"/>
              </w:rPr>
              <w:t>J</w:t>
            </w:r>
            <w:r>
              <w:rPr>
                <w:rFonts w:hint="eastAsia" w:ascii="宋体" w:hAnsi="宋体" w:cs="宋体"/>
                <w:sz w:val="21"/>
                <w:szCs w:val="21"/>
                <w:highlight w:val="none"/>
                <w:lang w:val="en-US" w:eastAsia="zh-CN"/>
              </w:rPr>
              <w:t>J</w:t>
            </w:r>
            <w:r>
              <w:rPr>
                <w:rFonts w:hint="eastAsia" w:ascii="宋体" w:hAnsi="宋体" w:eastAsia="宋体" w:cs="宋体"/>
                <w:color w:val="auto"/>
                <w:sz w:val="21"/>
                <w:szCs w:val="21"/>
                <w:highlight w:val="none"/>
              </w:rPr>
              <w:t>G 196-2006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常用玻璃量器检定规程》</w:t>
            </w:r>
          </w:p>
        </w:tc>
      </w:tr>
      <w:tr w14:paraId="097BC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9" w:type="dxa"/>
            <w:noWrap w:val="0"/>
            <w:vAlign w:val="center"/>
          </w:tcPr>
          <w:p w14:paraId="3407C639">
            <w:pPr>
              <w:pStyle w:val="20"/>
              <w:spacing w:before="266" w:line="184" w:lineRule="auto"/>
              <w:jc w:val="center"/>
              <w:rPr>
                <w:rFonts w:hint="default" w:ascii="宋体" w:hAnsi="宋体" w:eastAsia="宋体" w:cs="宋体"/>
                <w:color w:val="auto"/>
                <w:spacing w:val="7"/>
                <w:sz w:val="21"/>
                <w:szCs w:val="21"/>
                <w:highlight w:val="none"/>
                <w:shd w:val="clear" w:color="auto" w:fill="FFFFFF"/>
                <w:vertAlign w:val="baseline"/>
                <w:lang w:val="en-US" w:eastAsia="zh-CN"/>
              </w:rPr>
            </w:pPr>
            <w:r>
              <w:rPr>
                <w:rFonts w:hint="eastAsia" w:cs="宋体"/>
                <w:color w:val="auto"/>
                <w:spacing w:val="7"/>
                <w:sz w:val="21"/>
                <w:szCs w:val="21"/>
                <w:highlight w:val="none"/>
                <w:shd w:val="clear" w:color="auto" w:fill="FFFFFF"/>
                <w:vertAlign w:val="baseline"/>
                <w:lang w:val="en-US" w:eastAsia="zh-CN"/>
              </w:rPr>
              <w:t>29</w:t>
            </w:r>
          </w:p>
        </w:tc>
        <w:tc>
          <w:tcPr>
            <w:tcW w:w="1680" w:type="dxa"/>
            <w:noWrap w:val="0"/>
            <w:vAlign w:val="center"/>
          </w:tcPr>
          <w:p w14:paraId="3E27B337">
            <w:pPr>
              <w:jc w:val="center"/>
              <w:rPr>
                <w:rFonts w:hint="eastAsia" w:ascii="宋体" w:hAnsi="宋体" w:eastAsia="宋体" w:cs="宋体"/>
                <w:color w:val="auto"/>
                <w:spacing w:val="7"/>
                <w:kern w:val="2"/>
                <w:sz w:val="21"/>
                <w:szCs w:val="21"/>
                <w:highlight w:val="none"/>
                <w:shd w:val="clear" w:color="auto" w:fill="FFFFFF"/>
                <w:vertAlign w:val="baseline"/>
                <w:lang w:val="en-US" w:eastAsia="zh-CN" w:bidi="ar-SA"/>
              </w:rPr>
            </w:pPr>
            <w:r>
              <w:rPr>
                <w:rFonts w:hint="eastAsia" w:ascii="宋体" w:hAnsi="宋体" w:eastAsia="宋体" w:cs="宋体"/>
                <w:color w:val="auto"/>
                <w:spacing w:val="7"/>
                <w:sz w:val="21"/>
                <w:szCs w:val="21"/>
                <w:highlight w:val="none"/>
                <w:shd w:val="clear" w:color="auto" w:fill="FFFFFF"/>
                <w:vertAlign w:val="baseline"/>
                <w:lang w:val="en-US" w:eastAsia="zh-CN"/>
              </w:rPr>
              <w:t>比色管</w:t>
            </w:r>
          </w:p>
        </w:tc>
        <w:tc>
          <w:tcPr>
            <w:tcW w:w="1681" w:type="dxa"/>
            <w:noWrap w:val="0"/>
            <w:vAlign w:val="center"/>
          </w:tcPr>
          <w:p w14:paraId="68231424">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w:t>
            </w:r>
          </w:p>
        </w:tc>
        <w:tc>
          <w:tcPr>
            <w:tcW w:w="765" w:type="dxa"/>
            <w:noWrap w:val="0"/>
            <w:vAlign w:val="center"/>
          </w:tcPr>
          <w:p w14:paraId="3B96A810">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6</w:t>
            </w:r>
          </w:p>
        </w:tc>
        <w:tc>
          <w:tcPr>
            <w:tcW w:w="1320" w:type="dxa"/>
            <w:noWrap w:val="0"/>
            <w:vAlign w:val="center"/>
          </w:tcPr>
          <w:p w14:paraId="62DBCF6D">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校准</w:t>
            </w:r>
          </w:p>
        </w:tc>
        <w:tc>
          <w:tcPr>
            <w:tcW w:w="2713" w:type="dxa"/>
            <w:noWrap w:val="0"/>
            <w:vAlign w:val="center"/>
          </w:tcPr>
          <w:p w14:paraId="6FCE405F">
            <w:pPr>
              <w:jc w:val="center"/>
              <w:rPr>
                <w:rFonts w:hint="eastAsia" w:ascii="宋体" w:hAnsi="宋体" w:eastAsia="宋体" w:cs="宋体"/>
                <w:color w:val="auto"/>
                <w:spacing w:val="7"/>
                <w:kern w:val="2"/>
                <w:sz w:val="21"/>
                <w:szCs w:val="21"/>
                <w:highlight w:val="none"/>
                <w:shd w:val="clear" w:color="auto" w:fill="FFFFFF"/>
                <w:vertAlign w:val="baseline"/>
                <w:lang w:val="en-US" w:eastAsia="zh-CN" w:bidi="ar-SA"/>
              </w:rPr>
            </w:pPr>
            <w:r>
              <w:rPr>
                <w:rFonts w:hint="eastAsia" w:ascii="宋体" w:hAnsi="宋体" w:eastAsia="宋体" w:cs="宋体"/>
                <w:sz w:val="21"/>
                <w:szCs w:val="21"/>
                <w:highlight w:val="none"/>
              </w:rPr>
              <w:t>J</w:t>
            </w:r>
            <w:r>
              <w:rPr>
                <w:rFonts w:hint="eastAsia" w:ascii="宋体" w:hAnsi="宋体" w:cs="宋体"/>
                <w:sz w:val="21"/>
                <w:szCs w:val="21"/>
                <w:highlight w:val="none"/>
                <w:lang w:val="en-US" w:eastAsia="zh-CN"/>
              </w:rPr>
              <w:t>J</w:t>
            </w:r>
            <w:r>
              <w:rPr>
                <w:rFonts w:hint="eastAsia" w:ascii="宋体" w:hAnsi="宋体" w:eastAsia="宋体" w:cs="宋体"/>
                <w:sz w:val="21"/>
                <w:szCs w:val="21"/>
                <w:highlight w:val="none"/>
              </w:rPr>
              <w:t>G 1</w:t>
            </w:r>
            <w:r>
              <w:rPr>
                <w:rFonts w:hint="eastAsia" w:ascii="宋体" w:hAnsi="宋体" w:cs="宋体"/>
                <w:sz w:val="21"/>
                <w:szCs w:val="21"/>
                <w:highlight w:val="none"/>
                <w:lang w:val="en-US" w:eastAsia="zh-CN"/>
              </w:rPr>
              <w:t>0-2005</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专用玻璃量器检定规程》</w:t>
            </w:r>
          </w:p>
        </w:tc>
      </w:tr>
      <w:tr w14:paraId="2B77F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9" w:type="dxa"/>
            <w:noWrap w:val="0"/>
            <w:vAlign w:val="center"/>
          </w:tcPr>
          <w:p w14:paraId="114DECA3">
            <w:pPr>
              <w:pStyle w:val="20"/>
              <w:spacing w:before="266" w:line="184" w:lineRule="auto"/>
              <w:jc w:val="center"/>
              <w:rPr>
                <w:rFonts w:hint="eastAsia" w:ascii="宋体" w:hAnsi="宋体" w:eastAsia="宋体" w:cs="宋体"/>
                <w:color w:val="auto"/>
                <w:spacing w:val="7"/>
                <w:sz w:val="21"/>
                <w:szCs w:val="21"/>
                <w:highlight w:val="none"/>
                <w:shd w:val="clear" w:color="auto" w:fill="FFFFFF"/>
                <w:vertAlign w:val="baseline"/>
                <w:lang w:val="en-US" w:eastAsia="zh-CN"/>
              </w:rPr>
            </w:pPr>
            <w:r>
              <w:rPr>
                <w:rFonts w:hint="eastAsia" w:cs="宋体"/>
                <w:color w:val="auto"/>
                <w:spacing w:val="7"/>
                <w:sz w:val="21"/>
                <w:szCs w:val="21"/>
                <w:highlight w:val="none"/>
                <w:shd w:val="clear" w:color="auto" w:fill="FFFFFF"/>
                <w:vertAlign w:val="baseline"/>
                <w:lang w:val="en-US" w:eastAsia="zh-CN"/>
              </w:rPr>
              <w:t>30</w:t>
            </w:r>
          </w:p>
        </w:tc>
        <w:tc>
          <w:tcPr>
            <w:tcW w:w="1680" w:type="dxa"/>
            <w:noWrap w:val="0"/>
            <w:vAlign w:val="center"/>
          </w:tcPr>
          <w:p w14:paraId="62E29712">
            <w:pPr>
              <w:jc w:val="center"/>
              <w:rPr>
                <w:rFonts w:hint="eastAsia" w:ascii="宋体" w:hAnsi="宋体" w:eastAsia="宋体" w:cs="宋体"/>
                <w:color w:val="auto"/>
                <w:spacing w:val="7"/>
                <w:kern w:val="2"/>
                <w:sz w:val="21"/>
                <w:szCs w:val="21"/>
                <w:highlight w:val="none"/>
                <w:shd w:val="clear" w:color="auto" w:fill="FFFFFF"/>
                <w:vertAlign w:val="baseline"/>
                <w:lang w:val="en-US" w:eastAsia="zh-CN" w:bidi="ar-SA"/>
              </w:rPr>
            </w:pPr>
            <w:r>
              <w:rPr>
                <w:rFonts w:hint="eastAsia" w:ascii="宋体" w:hAnsi="宋体" w:eastAsia="宋体" w:cs="宋体"/>
                <w:color w:val="auto"/>
                <w:sz w:val="21"/>
                <w:szCs w:val="21"/>
                <w:highlight w:val="none"/>
              </w:rPr>
              <w:t>单标线容量瓶</w:t>
            </w:r>
          </w:p>
        </w:tc>
        <w:tc>
          <w:tcPr>
            <w:tcW w:w="1681" w:type="dxa"/>
            <w:noWrap w:val="0"/>
            <w:vAlign w:val="center"/>
          </w:tcPr>
          <w:p w14:paraId="2549E80E">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765" w:type="dxa"/>
            <w:noWrap w:val="0"/>
            <w:vAlign w:val="center"/>
          </w:tcPr>
          <w:p w14:paraId="50D33763">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w:t>
            </w:r>
          </w:p>
        </w:tc>
        <w:tc>
          <w:tcPr>
            <w:tcW w:w="1320" w:type="dxa"/>
            <w:noWrap w:val="0"/>
            <w:vAlign w:val="center"/>
          </w:tcPr>
          <w:p w14:paraId="25714514">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校准</w:t>
            </w:r>
          </w:p>
        </w:tc>
        <w:tc>
          <w:tcPr>
            <w:tcW w:w="2713" w:type="dxa"/>
            <w:noWrap w:val="0"/>
            <w:vAlign w:val="center"/>
          </w:tcPr>
          <w:p w14:paraId="1336C003">
            <w:pPr>
              <w:jc w:val="center"/>
              <w:rPr>
                <w:rFonts w:hint="eastAsia" w:ascii="宋体" w:hAnsi="宋体" w:eastAsia="宋体" w:cs="宋体"/>
                <w:color w:val="auto"/>
                <w:spacing w:val="7"/>
                <w:kern w:val="2"/>
                <w:sz w:val="21"/>
                <w:szCs w:val="21"/>
                <w:highlight w:val="none"/>
                <w:shd w:val="clear" w:color="auto" w:fill="FFFFFF"/>
                <w:vertAlign w:val="baseline"/>
                <w:lang w:val="en-US" w:eastAsia="zh-CN" w:bidi="ar-SA"/>
              </w:rPr>
            </w:pPr>
            <w:r>
              <w:rPr>
                <w:rFonts w:hint="eastAsia" w:ascii="宋体" w:hAnsi="宋体" w:eastAsia="宋体" w:cs="宋体"/>
                <w:color w:val="auto"/>
                <w:sz w:val="21"/>
                <w:szCs w:val="21"/>
                <w:highlight w:val="none"/>
              </w:rPr>
              <w:t>J</w:t>
            </w:r>
            <w:r>
              <w:rPr>
                <w:rFonts w:hint="eastAsia" w:ascii="宋体" w:hAnsi="宋体" w:cs="宋体"/>
                <w:sz w:val="21"/>
                <w:szCs w:val="21"/>
                <w:highlight w:val="none"/>
                <w:lang w:val="en-US" w:eastAsia="zh-CN"/>
              </w:rPr>
              <w:t>J</w:t>
            </w:r>
            <w:r>
              <w:rPr>
                <w:rFonts w:hint="eastAsia" w:ascii="宋体" w:hAnsi="宋体" w:eastAsia="宋体" w:cs="宋体"/>
                <w:color w:val="auto"/>
                <w:sz w:val="21"/>
                <w:szCs w:val="21"/>
                <w:highlight w:val="none"/>
              </w:rPr>
              <w:t>G 196-2006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常用玻璃量器检定规程》</w:t>
            </w:r>
          </w:p>
        </w:tc>
      </w:tr>
      <w:tr w14:paraId="11C5A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9" w:type="dxa"/>
            <w:noWrap w:val="0"/>
            <w:vAlign w:val="center"/>
          </w:tcPr>
          <w:p w14:paraId="4CF23D4E">
            <w:pPr>
              <w:pStyle w:val="20"/>
              <w:spacing w:before="262" w:line="183" w:lineRule="auto"/>
              <w:jc w:val="center"/>
              <w:rPr>
                <w:rFonts w:hint="eastAsia" w:ascii="宋体" w:hAnsi="宋体" w:eastAsia="宋体" w:cs="宋体"/>
                <w:color w:val="auto"/>
                <w:spacing w:val="7"/>
                <w:sz w:val="21"/>
                <w:szCs w:val="21"/>
                <w:highlight w:val="none"/>
                <w:shd w:val="clear" w:color="auto" w:fill="FFFFFF"/>
                <w:vertAlign w:val="baseline"/>
                <w:lang w:val="en-US" w:eastAsia="zh-CN"/>
              </w:rPr>
            </w:pPr>
            <w:r>
              <w:rPr>
                <w:rFonts w:hint="eastAsia" w:cs="宋体"/>
                <w:color w:val="auto"/>
                <w:spacing w:val="7"/>
                <w:sz w:val="21"/>
                <w:szCs w:val="21"/>
                <w:highlight w:val="none"/>
                <w:shd w:val="clear" w:color="auto" w:fill="FFFFFF"/>
                <w:vertAlign w:val="baseline"/>
                <w:lang w:val="en-US" w:eastAsia="zh-CN"/>
              </w:rPr>
              <w:t>31</w:t>
            </w:r>
          </w:p>
        </w:tc>
        <w:tc>
          <w:tcPr>
            <w:tcW w:w="1680" w:type="dxa"/>
            <w:noWrap w:val="0"/>
            <w:vAlign w:val="center"/>
          </w:tcPr>
          <w:p w14:paraId="786CDD0F">
            <w:pPr>
              <w:jc w:val="center"/>
              <w:rPr>
                <w:rFonts w:hint="eastAsia" w:ascii="宋体" w:hAnsi="宋体" w:eastAsia="宋体" w:cs="宋体"/>
                <w:color w:val="auto"/>
                <w:spacing w:val="7"/>
                <w:kern w:val="2"/>
                <w:sz w:val="21"/>
                <w:szCs w:val="21"/>
                <w:highlight w:val="none"/>
                <w:shd w:val="clear" w:color="auto" w:fill="FFFFFF"/>
                <w:vertAlign w:val="baseline"/>
                <w:lang w:val="en-US" w:eastAsia="zh-CN" w:bidi="ar-SA"/>
              </w:rPr>
            </w:pPr>
            <w:r>
              <w:rPr>
                <w:rFonts w:hint="eastAsia" w:ascii="宋体" w:hAnsi="宋体" w:eastAsia="宋体" w:cs="宋体"/>
                <w:color w:val="auto"/>
                <w:sz w:val="21"/>
                <w:szCs w:val="21"/>
                <w:highlight w:val="none"/>
              </w:rPr>
              <w:t>量筒</w:t>
            </w:r>
          </w:p>
        </w:tc>
        <w:tc>
          <w:tcPr>
            <w:tcW w:w="1681" w:type="dxa"/>
            <w:noWrap w:val="0"/>
            <w:vAlign w:val="center"/>
          </w:tcPr>
          <w:p w14:paraId="7EABA00D">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765" w:type="dxa"/>
            <w:noWrap w:val="0"/>
            <w:vAlign w:val="center"/>
          </w:tcPr>
          <w:p w14:paraId="2C060089">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1320" w:type="dxa"/>
            <w:noWrap w:val="0"/>
            <w:vAlign w:val="center"/>
          </w:tcPr>
          <w:p w14:paraId="7A5515D8">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校准</w:t>
            </w:r>
          </w:p>
        </w:tc>
        <w:tc>
          <w:tcPr>
            <w:tcW w:w="2713" w:type="dxa"/>
            <w:noWrap w:val="0"/>
            <w:vAlign w:val="center"/>
          </w:tcPr>
          <w:p w14:paraId="344506E4">
            <w:pPr>
              <w:jc w:val="center"/>
              <w:rPr>
                <w:rFonts w:hint="eastAsia" w:ascii="宋体" w:hAnsi="宋体" w:eastAsia="宋体" w:cs="宋体"/>
                <w:color w:val="auto"/>
                <w:spacing w:val="7"/>
                <w:kern w:val="2"/>
                <w:sz w:val="21"/>
                <w:szCs w:val="21"/>
                <w:highlight w:val="none"/>
                <w:shd w:val="clear" w:color="auto" w:fill="FFFFFF"/>
                <w:vertAlign w:val="baseline"/>
                <w:lang w:val="en-US" w:eastAsia="zh-CN" w:bidi="ar-SA"/>
              </w:rPr>
            </w:pPr>
            <w:r>
              <w:rPr>
                <w:rFonts w:hint="eastAsia" w:ascii="宋体" w:hAnsi="宋体" w:eastAsia="宋体" w:cs="宋体"/>
                <w:color w:val="auto"/>
                <w:sz w:val="21"/>
                <w:szCs w:val="21"/>
                <w:highlight w:val="none"/>
              </w:rPr>
              <w:t>J</w:t>
            </w:r>
            <w:r>
              <w:rPr>
                <w:rFonts w:hint="eastAsia" w:ascii="宋体" w:hAnsi="宋体" w:cs="宋体"/>
                <w:sz w:val="21"/>
                <w:szCs w:val="21"/>
                <w:highlight w:val="none"/>
                <w:lang w:val="en-US" w:eastAsia="zh-CN"/>
              </w:rPr>
              <w:t>J</w:t>
            </w:r>
            <w:r>
              <w:rPr>
                <w:rFonts w:hint="eastAsia" w:ascii="宋体" w:hAnsi="宋体" w:eastAsia="宋体" w:cs="宋体"/>
                <w:color w:val="auto"/>
                <w:sz w:val="21"/>
                <w:szCs w:val="21"/>
                <w:highlight w:val="none"/>
              </w:rPr>
              <w:t>G 196-2006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常用玻璃量器检定规程》</w:t>
            </w:r>
          </w:p>
        </w:tc>
      </w:tr>
      <w:tr w14:paraId="73C0A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9" w:type="dxa"/>
            <w:noWrap w:val="0"/>
            <w:vAlign w:val="center"/>
          </w:tcPr>
          <w:p w14:paraId="482801F9">
            <w:pPr>
              <w:pStyle w:val="20"/>
              <w:spacing w:before="62" w:line="183" w:lineRule="auto"/>
              <w:jc w:val="center"/>
              <w:rPr>
                <w:rFonts w:hint="eastAsia" w:ascii="宋体" w:hAnsi="宋体" w:eastAsia="宋体" w:cs="宋体"/>
                <w:color w:val="auto"/>
                <w:spacing w:val="7"/>
                <w:sz w:val="21"/>
                <w:szCs w:val="21"/>
                <w:highlight w:val="none"/>
                <w:shd w:val="clear" w:color="auto" w:fill="FFFFFF"/>
                <w:vertAlign w:val="baseline"/>
                <w:lang w:val="en-US" w:eastAsia="zh-CN"/>
              </w:rPr>
            </w:pPr>
            <w:r>
              <w:rPr>
                <w:rFonts w:hint="eastAsia" w:cs="宋体"/>
                <w:color w:val="auto"/>
                <w:spacing w:val="7"/>
                <w:sz w:val="21"/>
                <w:szCs w:val="21"/>
                <w:highlight w:val="none"/>
                <w:shd w:val="clear" w:color="auto" w:fill="FFFFFF"/>
                <w:vertAlign w:val="baseline"/>
                <w:lang w:val="en-US" w:eastAsia="zh-CN"/>
              </w:rPr>
              <w:t>32</w:t>
            </w:r>
          </w:p>
        </w:tc>
        <w:tc>
          <w:tcPr>
            <w:tcW w:w="1680" w:type="dxa"/>
            <w:noWrap w:val="0"/>
            <w:vAlign w:val="center"/>
          </w:tcPr>
          <w:p w14:paraId="65783AA1">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胖肚吸管</w:t>
            </w:r>
          </w:p>
        </w:tc>
        <w:tc>
          <w:tcPr>
            <w:tcW w:w="1681" w:type="dxa"/>
            <w:noWrap w:val="0"/>
            <w:vAlign w:val="center"/>
          </w:tcPr>
          <w:p w14:paraId="6565F13C">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765" w:type="dxa"/>
            <w:noWrap w:val="0"/>
            <w:vAlign w:val="center"/>
          </w:tcPr>
          <w:p w14:paraId="636435A4">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c>
          <w:tcPr>
            <w:tcW w:w="1320" w:type="dxa"/>
            <w:noWrap w:val="0"/>
            <w:vAlign w:val="center"/>
          </w:tcPr>
          <w:p w14:paraId="59F08F4F">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校准</w:t>
            </w:r>
          </w:p>
        </w:tc>
        <w:tc>
          <w:tcPr>
            <w:tcW w:w="2713" w:type="dxa"/>
            <w:noWrap w:val="0"/>
            <w:vAlign w:val="center"/>
          </w:tcPr>
          <w:p w14:paraId="3A2C3CF7">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J</w:t>
            </w:r>
            <w:r>
              <w:rPr>
                <w:rFonts w:hint="eastAsia" w:ascii="宋体" w:hAnsi="宋体" w:cs="宋体"/>
                <w:sz w:val="21"/>
                <w:szCs w:val="21"/>
                <w:highlight w:val="none"/>
                <w:lang w:val="en-US" w:eastAsia="zh-CN"/>
              </w:rPr>
              <w:t>J</w:t>
            </w:r>
            <w:r>
              <w:rPr>
                <w:rFonts w:hint="eastAsia" w:ascii="宋体" w:hAnsi="宋体" w:eastAsia="宋体" w:cs="宋体"/>
                <w:color w:val="auto"/>
                <w:sz w:val="21"/>
                <w:szCs w:val="21"/>
                <w:highlight w:val="none"/>
              </w:rPr>
              <w:t>G 196-2006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常用玻璃量器检定规程</w:t>
            </w:r>
          </w:p>
        </w:tc>
      </w:tr>
      <w:tr w14:paraId="7C343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9" w:type="dxa"/>
            <w:noWrap w:val="0"/>
            <w:vAlign w:val="center"/>
          </w:tcPr>
          <w:p w14:paraId="2387A546">
            <w:pPr>
              <w:pStyle w:val="20"/>
              <w:spacing w:before="264" w:line="183" w:lineRule="auto"/>
              <w:jc w:val="center"/>
              <w:rPr>
                <w:rFonts w:hint="eastAsia" w:ascii="宋体" w:hAnsi="宋体" w:eastAsia="宋体" w:cs="宋体"/>
                <w:color w:val="auto"/>
                <w:spacing w:val="7"/>
                <w:sz w:val="21"/>
                <w:szCs w:val="21"/>
                <w:highlight w:val="none"/>
                <w:shd w:val="clear" w:color="auto" w:fill="FFFFFF"/>
                <w:vertAlign w:val="baseline"/>
                <w:lang w:val="en-US" w:eastAsia="zh-CN"/>
              </w:rPr>
            </w:pPr>
            <w:r>
              <w:rPr>
                <w:rFonts w:hint="eastAsia" w:cs="宋体"/>
                <w:color w:val="auto"/>
                <w:spacing w:val="7"/>
                <w:sz w:val="21"/>
                <w:szCs w:val="21"/>
                <w:highlight w:val="none"/>
                <w:shd w:val="clear" w:color="auto" w:fill="FFFFFF"/>
                <w:vertAlign w:val="baseline"/>
                <w:lang w:val="en-US" w:eastAsia="zh-CN"/>
              </w:rPr>
              <w:t>33</w:t>
            </w:r>
          </w:p>
        </w:tc>
        <w:tc>
          <w:tcPr>
            <w:tcW w:w="1680" w:type="dxa"/>
            <w:noWrap w:val="0"/>
            <w:vAlign w:val="center"/>
          </w:tcPr>
          <w:p w14:paraId="364830C5">
            <w:pPr>
              <w:jc w:val="center"/>
              <w:rPr>
                <w:rFonts w:hint="eastAsia" w:ascii="宋体" w:hAnsi="宋体" w:eastAsia="宋体" w:cs="宋体"/>
                <w:color w:val="auto"/>
                <w:spacing w:val="7"/>
                <w:kern w:val="2"/>
                <w:sz w:val="21"/>
                <w:szCs w:val="21"/>
                <w:highlight w:val="none"/>
                <w:shd w:val="clear" w:color="auto" w:fill="FFFFFF"/>
                <w:vertAlign w:val="baseline"/>
                <w:lang w:val="en-US" w:eastAsia="zh-CN" w:bidi="ar-SA"/>
              </w:rPr>
            </w:pPr>
            <w:r>
              <w:rPr>
                <w:rFonts w:hint="eastAsia" w:ascii="宋体" w:hAnsi="宋体" w:eastAsia="宋体" w:cs="宋体"/>
                <w:color w:val="auto"/>
                <w:spacing w:val="7"/>
                <w:sz w:val="21"/>
                <w:szCs w:val="21"/>
                <w:highlight w:val="none"/>
                <w:shd w:val="clear" w:color="auto" w:fill="FFFFFF"/>
                <w:vertAlign w:val="baseline"/>
                <w:lang w:val="en-US" w:eastAsia="zh-CN"/>
              </w:rPr>
              <w:t>刻度吸管</w:t>
            </w:r>
          </w:p>
        </w:tc>
        <w:tc>
          <w:tcPr>
            <w:tcW w:w="1681" w:type="dxa"/>
            <w:noWrap w:val="0"/>
            <w:vAlign w:val="center"/>
          </w:tcPr>
          <w:p w14:paraId="45E17164">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765" w:type="dxa"/>
            <w:noWrap w:val="0"/>
            <w:vAlign w:val="center"/>
          </w:tcPr>
          <w:p w14:paraId="221616A7">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320" w:type="dxa"/>
            <w:noWrap w:val="0"/>
            <w:vAlign w:val="center"/>
          </w:tcPr>
          <w:p w14:paraId="02A63A58">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校准</w:t>
            </w:r>
          </w:p>
        </w:tc>
        <w:tc>
          <w:tcPr>
            <w:tcW w:w="2713" w:type="dxa"/>
            <w:noWrap w:val="0"/>
            <w:vAlign w:val="center"/>
          </w:tcPr>
          <w:p w14:paraId="45573809">
            <w:pPr>
              <w:jc w:val="center"/>
              <w:rPr>
                <w:rFonts w:hint="eastAsia" w:ascii="宋体" w:hAnsi="宋体" w:eastAsia="宋体" w:cs="宋体"/>
                <w:color w:val="auto"/>
                <w:spacing w:val="7"/>
                <w:kern w:val="2"/>
                <w:sz w:val="21"/>
                <w:szCs w:val="21"/>
                <w:highlight w:val="none"/>
                <w:shd w:val="clear" w:color="auto" w:fill="FFFFFF"/>
                <w:vertAlign w:val="baseline"/>
                <w:lang w:val="en-US" w:eastAsia="zh-CN" w:bidi="ar-SA"/>
              </w:rPr>
            </w:pPr>
            <w:r>
              <w:rPr>
                <w:rFonts w:hint="eastAsia" w:ascii="宋体" w:hAnsi="宋体" w:eastAsia="宋体" w:cs="宋体"/>
                <w:color w:val="auto"/>
                <w:sz w:val="21"/>
                <w:szCs w:val="21"/>
                <w:highlight w:val="none"/>
              </w:rPr>
              <w:t>J</w:t>
            </w:r>
            <w:r>
              <w:rPr>
                <w:rFonts w:hint="eastAsia" w:ascii="宋体" w:hAnsi="宋体" w:cs="宋体"/>
                <w:sz w:val="21"/>
                <w:szCs w:val="21"/>
                <w:highlight w:val="none"/>
                <w:lang w:val="en-US" w:eastAsia="zh-CN"/>
              </w:rPr>
              <w:t>J</w:t>
            </w:r>
            <w:r>
              <w:rPr>
                <w:rFonts w:hint="eastAsia" w:ascii="宋体" w:hAnsi="宋体" w:eastAsia="宋体" w:cs="宋体"/>
                <w:color w:val="auto"/>
                <w:sz w:val="21"/>
                <w:szCs w:val="21"/>
                <w:highlight w:val="none"/>
              </w:rPr>
              <w:t>G 196-2006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常用玻璃量器检定规程》</w:t>
            </w:r>
          </w:p>
        </w:tc>
      </w:tr>
      <w:tr w14:paraId="46D45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9" w:type="dxa"/>
            <w:noWrap w:val="0"/>
            <w:vAlign w:val="center"/>
          </w:tcPr>
          <w:p w14:paraId="47F411CD">
            <w:pPr>
              <w:pStyle w:val="20"/>
              <w:spacing w:before="264" w:line="183" w:lineRule="auto"/>
              <w:jc w:val="center"/>
              <w:rPr>
                <w:rFonts w:hint="default" w:ascii="宋体" w:hAnsi="宋体" w:eastAsia="宋体" w:cs="宋体"/>
                <w:color w:val="auto"/>
                <w:spacing w:val="7"/>
                <w:sz w:val="21"/>
                <w:szCs w:val="21"/>
                <w:highlight w:val="none"/>
                <w:shd w:val="clear" w:color="auto" w:fill="FFFFFF"/>
                <w:vertAlign w:val="baseline"/>
                <w:lang w:val="en-US" w:eastAsia="zh-CN"/>
              </w:rPr>
            </w:pPr>
            <w:r>
              <w:rPr>
                <w:rFonts w:hint="eastAsia" w:cs="宋体"/>
                <w:color w:val="auto"/>
                <w:spacing w:val="7"/>
                <w:sz w:val="21"/>
                <w:szCs w:val="21"/>
                <w:highlight w:val="none"/>
                <w:shd w:val="clear" w:color="auto" w:fill="FFFFFF"/>
                <w:vertAlign w:val="baseline"/>
                <w:lang w:val="en-US" w:eastAsia="zh-CN"/>
              </w:rPr>
              <w:t>34</w:t>
            </w:r>
          </w:p>
        </w:tc>
        <w:tc>
          <w:tcPr>
            <w:tcW w:w="1680" w:type="dxa"/>
            <w:noWrap w:val="0"/>
            <w:vAlign w:val="center"/>
          </w:tcPr>
          <w:p w14:paraId="34659E8A">
            <w:pPr>
              <w:jc w:val="center"/>
              <w:rPr>
                <w:rFonts w:hint="eastAsia" w:ascii="宋体" w:hAnsi="宋体" w:eastAsia="宋体" w:cs="宋体"/>
                <w:color w:val="auto"/>
                <w:spacing w:val="7"/>
                <w:kern w:val="2"/>
                <w:sz w:val="21"/>
                <w:szCs w:val="21"/>
                <w:highlight w:val="none"/>
                <w:shd w:val="clear" w:color="auto" w:fill="FFFFFF"/>
                <w:vertAlign w:val="baseline"/>
                <w:lang w:val="en-US" w:eastAsia="zh-CN" w:bidi="ar-SA"/>
              </w:rPr>
            </w:pPr>
            <w:r>
              <w:rPr>
                <w:rFonts w:hint="eastAsia" w:ascii="宋体" w:hAnsi="宋体" w:eastAsia="宋体" w:cs="宋体"/>
                <w:color w:val="auto"/>
                <w:sz w:val="21"/>
                <w:szCs w:val="21"/>
                <w:highlight w:val="none"/>
              </w:rPr>
              <w:t>滴定管</w:t>
            </w:r>
          </w:p>
        </w:tc>
        <w:tc>
          <w:tcPr>
            <w:tcW w:w="1681" w:type="dxa"/>
            <w:noWrap w:val="0"/>
            <w:vAlign w:val="center"/>
          </w:tcPr>
          <w:p w14:paraId="78A12406">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765" w:type="dxa"/>
            <w:noWrap w:val="0"/>
            <w:vAlign w:val="center"/>
          </w:tcPr>
          <w:p w14:paraId="7B09318B">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1320" w:type="dxa"/>
            <w:noWrap w:val="0"/>
            <w:vAlign w:val="center"/>
          </w:tcPr>
          <w:p w14:paraId="3913A156">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校准</w:t>
            </w:r>
          </w:p>
        </w:tc>
        <w:tc>
          <w:tcPr>
            <w:tcW w:w="2713" w:type="dxa"/>
            <w:noWrap w:val="0"/>
            <w:vAlign w:val="center"/>
          </w:tcPr>
          <w:p w14:paraId="00B3523D">
            <w:pPr>
              <w:jc w:val="center"/>
              <w:rPr>
                <w:rFonts w:hint="eastAsia" w:ascii="宋体" w:hAnsi="宋体" w:eastAsia="宋体" w:cs="宋体"/>
                <w:color w:val="auto"/>
                <w:spacing w:val="7"/>
                <w:kern w:val="2"/>
                <w:sz w:val="21"/>
                <w:szCs w:val="21"/>
                <w:highlight w:val="none"/>
                <w:shd w:val="clear" w:color="auto" w:fill="FFFFFF"/>
                <w:vertAlign w:val="baseline"/>
                <w:lang w:val="en-US" w:eastAsia="zh-CN" w:bidi="ar-SA"/>
              </w:rPr>
            </w:pPr>
            <w:r>
              <w:rPr>
                <w:rFonts w:hint="eastAsia" w:ascii="宋体" w:hAnsi="宋体" w:eastAsia="宋体" w:cs="宋体"/>
                <w:color w:val="auto"/>
                <w:sz w:val="21"/>
                <w:szCs w:val="21"/>
                <w:highlight w:val="none"/>
              </w:rPr>
              <w:t>JJG 196-2006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常用玻璃量器检定规程》</w:t>
            </w:r>
          </w:p>
        </w:tc>
      </w:tr>
      <w:tr w14:paraId="496B8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9" w:type="dxa"/>
            <w:noWrap w:val="0"/>
            <w:vAlign w:val="center"/>
          </w:tcPr>
          <w:p w14:paraId="0CC76220">
            <w:pPr>
              <w:pStyle w:val="20"/>
              <w:spacing w:before="264" w:line="183" w:lineRule="auto"/>
              <w:jc w:val="center"/>
              <w:rPr>
                <w:rFonts w:hint="default" w:ascii="宋体" w:hAnsi="宋体" w:eastAsia="宋体" w:cs="宋体"/>
                <w:color w:val="auto"/>
                <w:spacing w:val="7"/>
                <w:sz w:val="21"/>
                <w:szCs w:val="21"/>
                <w:highlight w:val="none"/>
                <w:shd w:val="clear" w:color="auto" w:fill="FFFFFF"/>
                <w:vertAlign w:val="baseline"/>
                <w:lang w:val="en-US" w:eastAsia="zh-CN"/>
              </w:rPr>
            </w:pPr>
            <w:r>
              <w:rPr>
                <w:rFonts w:hint="eastAsia" w:cs="宋体"/>
                <w:color w:val="auto"/>
                <w:spacing w:val="7"/>
                <w:sz w:val="21"/>
                <w:szCs w:val="21"/>
                <w:highlight w:val="none"/>
                <w:shd w:val="clear" w:color="auto" w:fill="FFFFFF"/>
                <w:vertAlign w:val="baseline"/>
                <w:lang w:val="en-US" w:eastAsia="zh-CN"/>
              </w:rPr>
              <w:t>35</w:t>
            </w:r>
          </w:p>
        </w:tc>
        <w:tc>
          <w:tcPr>
            <w:tcW w:w="1680" w:type="dxa"/>
            <w:noWrap w:val="0"/>
            <w:vAlign w:val="center"/>
          </w:tcPr>
          <w:p w14:paraId="06135081">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温度计</w:t>
            </w:r>
          </w:p>
        </w:tc>
        <w:tc>
          <w:tcPr>
            <w:tcW w:w="1681" w:type="dxa"/>
            <w:noWrap w:val="0"/>
            <w:vAlign w:val="center"/>
          </w:tcPr>
          <w:p w14:paraId="1B71DC62">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765" w:type="dxa"/>
            <w:noWrap w:val="0"/>
            <w:vAlign w:val="center"/>
          </w:tcPr>
          <w:p w14:paraId="6A7B9D3E">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320" w:type="dxa"/>
            <w:noWrap w:val="0"/>
            <w:vAlign w:val="center"/>
          </w:tcPr>
          <w:p w14:paraId="0DFDBFF9">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校准</w:t>
            </w:r>
          </w:p>
        </w:tc>
        <w:tc>
          <w:tcPr>
            <w:tcW w:w="2713" w:type="dxa"/>
            <w:noWrap w:val="0"/>
            <w:vAlign w:val="center"/>
          </w:tcPr>
          <w:p w14:paraId="14BFA3ED">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JJG 130-2011《工作用玻璃液体温度计检定规程》</w:t>
            </w:r>
          </w:p>
        </w:tc>
      </w:tr>
      <w:tr w14:paraId="3FD65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9" w:type="dxa"/>
            <w:noWrap w:val="0"/>
            <w:vAlign w:val="center"/>
          </w:tcPr>
          <w:p w14:paraId="5120F416">
            <w:pPr>
              <w:pStyle w:val="20"/>
              <w:spacing w:before="265" w:line="183" w:lineRule="auto"/>
              <w:jc w:val="center"/>
              <w:rPr>
                <w:rFonts w:hint="default" w:ascii="宋体" w:hAnsi="宋体" w:eastAsia="宋体" w:cs="宋体"/>
                <w:color w:val="auto"/>
                <w:spacing w:val="7"/>
                <w:sz w:val="21"/>
                <w:szCs w:val="21"/>
                <w:highlight w:val="none"/>
                <w:shd w:val="clear" w:color="auto" w:fill="FFFFFF"/>
                <w:vertAlign w:val="baseline"/>
                <w:lang w:val="en-US" w:eastAsia="zh-CN"/>
              </w:rPr>
            </w:pPr>
            <w:r>
              <w:rPr>
                <w:rFonts w:hint="eastAsia" w:cs="宋体"/>
                <w:color w:val="auto"/>
                <w:spacing w:val="7"/>
                <w:sz w:val="21"/>
                <w:szCs w:val="21"/>
                <w:highlight w:val="none"/>
                <w:shd w:val="clear" w:color="auto" w:fill="FFFFFF"/>
                <w:vertAlign w:val="baseline"/>
                <w:lang w:val="en-US" w:eastAsia="zh-CN"/>
              </w:rPr>
              <w:t>36</w:t>
            </w:r>
          </w:p>
        </w:tc>
        <w:tc>
          <w:tcPr>
            <w:tcW w:w="1680" w:type="dxa"/>
            <w:noWrap w:val="0"/>
            <w:vAlign w:val="center"/>
          </w:tcPr>
          <w:p w14:paraId="6B22598C">
            <w:pPr>
              <w:jc w:val="center"/>
              <w:rPr>
                <w:rFonts w:hint="eastAsia" w:ascii="宋体" w:hAnsi="宋体" w:eastAsia="宋体" w:cs="宋体"/>
                <w:color w:val="auto"/>
                <w:spacing w:val="7"/>
                <w:sz w:val="21"/>
                <w:szCs w:val="21"/>
                <w:highlight w:val="none"/>
                <w:shd w:val="clear" w:color="auto" w:fill="FFFFFF"/>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COD氨氮总磷总氮测定仪</w:t>
            </w:r>
          </w:p>
        </w:tc>
        <w:tc>
          <w:tcPr>
            <w:tcW w:w="1681" w:type="dxa"/>
            <w:noWrap w:val="0"/>
            <w:vAlign w:val="center"/>
          </w:tcPr>
          <w:p w14:paraId="64702FB6">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CNPN-401C</w:t>
            </w:r>
          </w:p>
        </w:tc>
        <w:tc>
          <w:tcPr>
            <w:tcW w:w="765" w:type="dxa"/>
            <w:noWrap w:val="0"/>
            <w:vAlign w:val="center"/>
          </w:tcPr>
          <w:p w14:paraId="7EE87FC3">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320" w:type="dxa"/>
            <w:noWrap w:val="0"/>
            <w:vAlign w:val="center"/>
          </w:tcPr>
          <w:p w14:paraId="493719A1">
            <w:pPr>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校准</w:t>
            </w:r>
          </w:p>
        </w:tc>
        <w:tc>
          <w:tcPr>
            <w:tcW w:w="2713" w:type="dxa"/>
            <w:noWrap w:val="0"/>
            <w:vAlign w:val="center"/>
          </w:tcPr>
          <w:p w14:paraId="6E42284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JJG</w:t>
            </w:r>
            <w:r>
              <w:rPr>
                <w:rFonts w:hint="eastAsia" w:ascii="宋体" w:hAnsi="宋体" w:eastAsia="宋体" w:cs="宋体"/>
                <w:color w:val="auto"/>
                <w:sz w:val="21"/>
                <w:szCs w:val="21"/>
                <w:highlight w:val="none"/>
                <w:lang w:val="en-US" w:eastAsia="zh-CN"/>
              </w:rPr>
              <w:t xml:space="preserve"> 975-2002 </w:t>
            </w:r>
            <w:r>
              <w:rPr>
                <w:rFonts w:hint="eastAsia" w:ascii="宋体" w:hAnsi="宋体" w:eastAsia="宋体" w:cs="宋体"/>
                <w:color w:val="auto"/>
                <w:sz w:val="21"/>
                <w:szCs w:val="21"/>
                <w:highlight w:val="none"/>
              </w:rPr>
              <w:t>《化学需氧量(COD)测</w:t>
            </w:r>
            <w:r>
              <w:rPr>
                <w:rFonts w:hint="eastAsia" w:ascii="宋体" w:hAnsi="宋体" w:eastAsia="宋体" w:cs="宋体"/>
                <w:color w:val="auto"/>
                <w:sz w:val="21"/>
                <w:szCs w:val="21"/>
                <w:highlight w:val="none"/>
                <w:lang w:val="en-US" w:eastAsia="zh-CN"/>
              </w:rPr>
              <w:t>定</w:t>
            </w:r>
            <w:r>
              <w:rPr>
                <w:rFonts w:hint="eastAsia" w:ascii="宋体" w:hAnsi="宋体" w:eastAsia="宋体" w:cs="宋体"/>
                <w:color w:val="auto"/>
                <w:sz w:val="21"/>
                <w:szCs w:val="21"/>
                <w:highlight w:val="none"/>
              </w:rPr>
              <w:t>仪检定规程》</w:t>
            </w:r>
          </w:p>
          <w:p w14:paraId="6B4368FE">
            <w:pPr>
              <w:pStyle w:val="3"/>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JJG 1094-2013《总磷总氮水质在线分析仪检定规程》</w:t>
            </w:r>
          </w:p>
          <w:p w14:paraId="274268C1">
            <w:pPr>
              <w:pStyle w:val="3"/>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JJG 631-2013《氨氮自动监测仪检定规程》</w:t>
            </w:r>
          </w:p>
        </w:tc>
      </w:tr>
      <w:tr w14:paraId="20936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9" w:type="dxa"/>
            <w:noWrap w:val="0"/>
            <w:vAlign w:val="center"/>
          </w:tcPr>
          <w:p w14:paraId="526414E2">
            <w:pPr>
              <w:pStyle w:val="20"/>
              <w:spacing w:before="265" w:line="183" w:lineRule="auto"/>
              <w:jc w:val="center"/>
              <w:rPr>
                <w:rFonts w:hint="default" w:ascii="宋体" w:hAnsi="宋体" w:eastAsia="宋体" w:cs="宋体"/>
                <w:color w:val="auto"/>
                <w:spacing w:val="7"/>
                <w:sz w:val="21"/>
                <w:szCs w:val="21"/>
                <w:highlight w:val="none"/>
                <w:shd w:val="clear" w:color="auto" w:fill="FFFFFF"/>
                <w:vertAlign w:val="baseline"/>
                <w:lang w:val="en-US" w:eastAsia="zh-CN"/>
              </w:rPr>
            </w:pPr>
            <w:r>
              <w:rPr>
                <w:rFonts w:hint="eastAsia" w:cs="宋体"/>
                <w:color w:val="auto"/>
                <w:spacing w:val="7"/>
                <w:sz w:val="21"/>
                <w:szCs w:val="21"/>
                <w:highlight w:val="none"/>
                <w:shd w:val="clear" w:color="auto" w:fill="FFFFFF"/>
                <w:vertAlign w:val="baseline"/>
                <w:lang w:val="en-US" w:eastAsia="zh-CN"/>
              </w:rPr>
              <w:t>37</w:t>
            </w:r>
          </w:p>
        </w:tc>
        <w:tc>
          <w:tcPr>
            <w:tcW w:w="1680" w:type="dxa"/>
            <w:noWrap w:val="0"/>
            <w:vAlign w:val="center"/>
          </w:tcPr>
          <w:p w14:paraId="7409E519">
            <w:pPr>
              <w:jc w:val="center"/>
              <w:rPr>
                <w:rFonts w:hint="eastAsia" w:ascii="宋体" w:hAnsi="宋体" w:eastAsia="宋体" w:cs="宋体"/>
                <w:color w:val="auto"/>
                <w:spacing w:val="7"/>
                <w:kern w:val="2"/>
                <w:sz w:val="21"/>
                <w:szCs w:val="21"/>
                <w:highlight w:val="none"/>
                <w:shd w:val="clear" w:color="auto" w:fill="FFFFFF"/>
                <w:vertAlign w:val="baseline"/>
                <w:lang w:val="en-US" w:eastAsia="zh-CN" w:bidi="ar-SA"/>
              </w:rPr>
            </w:pPr>
            <w:r>
              <w:rPr>
                <w:rFonts w:hint="eastAsia" w:ascii="宋体" w:hAnsi="宋体" w:eastAsia="宋体" w:cs="宋体"/>
                <w:color w:val="auto"/>
                <w:sz w:val="21"/>
                <w:szCs w:val="21"/>
                <w:highlight w:val="none"/>
              </w:rPr>
              <w:t>压力表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禁油）</w:t>
            </w:r>
          </w:p>
        </w:tc>
        <w:tc>
          <w:tcPr>
            <w:tcW w:w="1681" w:type="dxa"/>
            <w:noWrap w:val="0"/>
            <w:vAlign w:val="center"/>
          </w:tcPr>
          <w:p w14:paraId="41774F87">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765" w:type="dxa"/>
            <w:noWrap w:val="0"/>
            <w:vAlign w:val="center"/>
          </w:tcPr>
          <w:p w14:paraId="76E097BC">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31×2</w:t>
            </w:r>
          </w:p>
        </w:tc>
        <w:tc>
          <w:tcPr>
            <w:tcW w:w="1320" w:type="dxa"/>
            <w:noWrap w:val="0"/>
            <w:vAlign w:val="center"/>
          </w:tcPr>
          <w:p w14:paraId="15368532">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校准</w:t>
            </w:r>
          </w:p>
        </w:tc>
        <w:tc>
          <w:tcPr>
            <w:tcW w:w="2713" w:type="dxa"/>
            <w:noWrap w:val="0"/>
            <w:vAlign w:val="center"/>
          </w:tcPr>
          <w:p w14:paraId="4D7B43EC">
            <w:pPr>
              <w:jc w:val="center"/>
              <w:rPr>
                <w:rFonts w:hint="eastAsia" w:ascii="宋体" w:hAnsi="宋体" w:eastAsia="宋体" w:cs="宋体"/>
                <w:color w:val="auto"/>
                <w:spacing w:val="7"/>
                <w:kern w:val="2"/>
                <w:sz w:val="21"/>
                <w:szCs w:val="21"/>
                <w:highlight w:val="none"/>
                <w:shd w:val="clear" w:color="auto" w:fill="FFFFFF"/>
                <w:vertAlign w:val="baseline"/>
                <w:lang w:val="en-US" w:eastAsia="zh-CN" w:bidi="ar-SA"/>
              </w:rPr>
            </w:pPr>
            <w:r>
              <w:rPr>
                <w:rFonts w:hint="eastAsia" w:ascii="宋体" w:hAnsi="宋体" w:eastAsia="宋体" w:cs="宋体"/>
                <w:color w:val="auto"/>
                <w:sz w:val="21"/>
                <w:szCs w:val="21"/>
                <w:highlight w:val="none"/>
              </w:rPr>
              <w:t>JJG 52-2013《弹性元件式一般压力表、压力真空表和真空表检定规程》</w:t>
            </w:r>
          </w:p>
        </w:tc>
      </w:tr>
      <w:tr w14:paraId="0FF1C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9" w:type="dxa"/>
            <w:noWrap w:val="0"/>
            <w:vAlign w:val="center"/>
          </w:tcPr>
          <w:p w14:paraId="7BCF3645">
            <w:pPr>
              <w:pStyle w:val="20"/>
              <w:spacing w:before="265" w:line="183" w:lineRule="auto"/>
              <w:jc w:val="center"/>
              <w:rPr>
                <w:rFonts w:hint="default" w:ascii="宋体" w:hAnsi="宋体" w:eastAsia="宋体" w:cs="宋体"/>
                <w:color w:val="auto"/>
                <w:spacing w:val="7"/>
                <w:sz w:val="21"/>
                <w:szCs w:val="21"/>
                <w:highlight w:val="none"/>
                <w:shd w:val="clear" w:color="auto" w:fill="FFFFFF"/>
                <w:vertAlign w:val="baseline"/>
                <w:lang w:val="en-US" w:eastAsia="zh-CN"/>
              </w:rPr>
            </w:pPr>
            <w:r>
              <w:rPr>
                <w:rFonts w:hint="eastAsia" w:cs="宋体"/>
                <w:color w:val="auto"/>
                <w:spacing w:val="7"/>
                <w:sz w:val="21"/>
                <w:szCs w:val="21"/>
                <w:highlight w:val="none"/>
                <w:shd w:val="clear" w:color="auto" w:fill="FFFFFF"/>
                <w:vertAlign w:val="baseline"/>
                <w:lang w:val="en-US" w:eastAsia="zh-CN"/>
              </w:rPr>
              <w:t>38</w:t>
            </w:r>
          </w:p>
        </w:tc>
        <w:tc>
          <w:tcPr>
            <w:tcW w:w="1680" w:type="dxa"/>
            <w:noWrap w:val="0"/>
            <w:vAlign w:val="center"/>
          </w:tcPr>
          <w:p w14:paraId="43BB9B49">
            <w:pPr>
              <w:jc w:val="center"/>
              <w:rPr>
                <w:rFonts w:hint="eastAsia" w:ascii="宋体" w:hAnsi="宋体" w:eastAsia="宋体" w:cs="宋体"/>
                <w:color w:val="auto"/>
                <w:sz w:val="21"/>
                <w:szCs w:val="21"/>
                <w:highlight w:val="none"/>
              </w:rPr>
            </w:pPr>
          </w:p>
          <w:p w14:paraId="6756C287">
            <w:pPr>
              <w:jc w:val="center"/>
              <w:rPr>
                <w:rFonts w:hint="eastAsia" w:ascii="宋体" w:hAnsi="宋体" w:eastAsia="宋体" w:cs="宋体"/>
                <w:color w:val="auto"/>
                <w:spacing w:val="7"/>
                <w:kern w:val="2"/>
                <w:sz w:val="21"/>
                <w:szCs w:val="21"/>
                <w:highlight w:val="none"/>
                <w:shd w:val="clear" w:color="auto" w:fill="FFFFFF"/>
                <w:vertAlign w:val="baseline"/>
                <w:lang w:val="en-US" w:eastAsia="zh-CN" w:bidi="ar-SA"/>
              </w:rPr>
            </w:pPr>
            <w:r>
              <w:rPr>
                <w:rFonts w:hint="eastAsia" w:ascii="宋体" w:hAnsi="宋体" w:eastAsia="宋体" w:cs="宋体"/>
                <w:color w:val="auto"/>
                <w:sz w:val="21"/>
                <w:szCs w:val="21"/>
                <w:highlight w:val="none"/>
                <w:lang w:val="en-US" w:eastAsia="zh-CN"/>
              </w:rPr>
              <w:t>压力表</w:t>
            </w:r>
          </w:p>
        </w:tc>
        <w:tc>
          <w:tcPr>
            <w:tcW w:w="1681" w:type="dxa"/>
            <w:noWrap w:val="0"/>
            <w:vAlign w:val="center"/>
          </w:tcPr>
          <w:p w14:paraId="0A9B4646">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765" w:type="dxa"/>
            <w:noWrap w:val="0"/>
            <w:vAlign w:val="center"/>
          </w:tcPr>
          <w:p w14:paraId="4E94CF25">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3×2</w:t>
            </w:r>
          </w:p>
        </w:tc>
        <w:tc>
          <w:tcPr>
            <w:tcW w:w="1320" w:type="dxa"/>
            <w:noWrap w:val="0"/>
            <w:vAlign w:val="center"/>
          </w:tcPr>
          <w:p w14:paraId="1C8A4A71">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检定</w:t>
            </w:r>
          </w:p>
        </w:tc>
        <w:tc>
          <w:tcPr>
            <w:tcW w:w="2713" w:type="dxa"/>
            <w:noWrap w:val="0"/>
            <w:vAlign w:val="center"/>
          </w:tcPr>
          <w:p w14:paraId="369AA3D4">
            <w:pPr>
              <w:jc w:val="center"/>
              <w:rPr>
                <w:rFonts w:hint="eastAsia" w:ascii="宋体" w:hAnsi="宋体" w:eastAsia="宋体" w:cs="宋体"/>
                <w:color w:val="auto"/>
                <w:spacing w:val="7"/>
                <w:kern w:val="2"/>
                <w:sz w:val="21"/>
                <w:szCs w:val="21"/>
                <w:highlight w:val="none"/>
                <w:shd w:val="clear" w:color="auto" w:fill="FFFFFF"/>
                <w:vertAlign w:val="baseline"/>
                <w:lang w:val="en-US" w:eastAsia="zh-CN" w:bidi="ar-SA"/>
              </w:rPr>
            </w:pPr>
            <w:r>
              <w:rPr>
                <w:rFonts w:hint="eastAsia" w:ascii="宋体" w:hAnsi="宋体" w:eastAsia="宋体" w:cs="宋体"/>
                <w:color w:val="auto"/>
                <w:sz w:val="21"/>
                <w:szCs w:val="21"/>
                <w:highlight w:val="none"/>
              </w:rPr>
              <w:t>JJG 52-2013《弹性元件式一般压力表、压力真空表和真空表检定规程》</w:t>
            </w:r>
          </w:p>
        </w:tc>
      </w:tr>
      <w:tr w14:paraId="1830A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9" w:type="dxa"/>
            <w:noWrap w:val="0"/>
            <w:vAlign w:val="center"/>
          </w:tcPr>
          <w:p w14:paraId="621A06AF">
            <w:pPr>
              <w:pStyle w:val="20"/>
              <w:spacing w:before="265" w:line="183" w:lineRule="auto"/>
              <w:jc w:val="center"/>
              <w:rPr>
                <w:rFonts w:hint="default" w:ascii="宋体" w:hAnsi="宋体" w:eastAsia="宋体" w:cs="宋体"/>
                <w:color w:val="auto"/>
                <w:spacing w:val="7"/>
                <w:sz w:val="21"/>
                <w:szCs w:val="21"/>
                <w:highlight w:val="none"/>
                <w:shd w:val="clear" w:color="auto" w:fill="FFFFFF"/>
                <w:vertAlign w:val="baseline"/>
                <w:lang w:val="en-US" w:eastAsia="zh-CN"/>
              </w:rPr>
            </w:pPr>
            <w:r>
              <w:rPr>
                <w:rFonts w:hint="eastAsia" w:cs="宋体"/>
                <w:color w:val="auto"/>
                <w:spacing w:val="7"/>
                <w:sz w:val="21"/>
                <w:szCs w:val="21"/>
                <w:highlight w:val="none"/>
                <w:shd w:val="clear" w:color="auto" w:fill="FFFFFF"/>
                <w:vertAlign w:val="baseline"/>
                <w:lang w:val="en-US" w:eastAsia="zh-CN"/>
              </w:rPr>
              <w:t>39</w:t>
            </w:r>
          </w:p>
        </w:tc>
        <w:tc>
          <w:tcPr>
            <w:tcW w:w="1680" w:type="dxa"/>
            <w:noWrap w:val="0"/>
            <w:vAlign w:val="center"/>
          </w:tcPr>
          <w:p w14:paraId="05A1211C">
            <w:pPr>
              <w:jc w:val="center"/>
              <w:rPr>
                <w:rFonts w:hint="eastAsia" w:ascii="宋体" w:hAnsi="宋体" w:eastAsia="宋体" w:cs="宋体"/>
                <w:color w:val="auto"/>
                <w:spacing w:val="7"/>
                <w:kern w:val="2"/>
                <w:sz w:val="21"/>
                <w:szCs w:val="21"/>
                <w:highlight w:val="none"/>
                <w:shd w:val="clear" w:color="auto" w:fill="FFFFFF"/>
                <w:vertAlign w:val="baseline"/>
                <w:lang w:val="en-US" w:eastAsia="zh-CN" w:bidi="ar-SA"/>
              </w:rPr>
            </w:pPr>
            <w:r>
              <w:rPr>
                <w:rFonts w:hint="eastAsia" w:ascii="宋体" w:hAnsi="宋体" w:eastAsia="宋体" w:cs="宋体"/>
                <w:color w:val="auto"/>
                <w:sz w:val="21"/>
                <w:szCs w:val="21"/>
                <w:highlight w:val="none"/>
              </w:rPr>
              <w:t>电子</w:t>
            </w:r>
            <w:r>
              <w:rPr>
                <w:rFonts w:hint="eastAsia" w:ascii="宋体" w:hAnsi="宋体" w:eastAsia="宋体" w:cs="宋体"/>
                <w:color w:val="auto"/>
                <w:sz w:val="21"/>
                <w:szCs w:val="21"/>
                <w:highlight w:val="none"/>
                <w:lang w:val="en-US" w:eastAsia="zh-CN"/>
              </w:rPr>
              <w:t>分析</w:t>
            </w:r>
            <w:r>
              <w:rPr>
                <w:rFonts w:hint="eastAsia" w:ascii="宋体" w:hAnsi="宋体" w:eastAsia="宋体" w:cs="宋体"/>
                <w:color w:val="auto"/>
                <w:sz w:val="21"/>
                <w:szCs w:val="21"/>
                <w:highlight w:val="none"/>
              </w:rPr>
              <w:t>天平</w:t>
            </w:r>
          </w:p>
        </w:tc>
        <w:tc>
          <w:tcPr>
            <w:tcW w:w="1681" w:type="dxa"/>
            <w:noWrap w:val="0"/>
            <w:vAlign w:val="center"/>
          </w:tcPr>
          <w:p w14:paraId="7C87F76F">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szCs w:val="21"/>
              </w:rPr>
              <w:t>XB220A</w:t>
            </w:r>
          </w:p>
        </w:tc>
        <w:tc>
          <w:tcPr>
            <w:tcW w:w="765" w:type="dxa"/>
            <w:noWrap w:val="0"/>
            <w:vAlign w:val="center"/>
          </w:tcPr>
          <w:p w14:paraId="68834221">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320" w:type="dxa"/>
            <w:noWrap w:val="0"/>
            <w:vAlign w:val="center"/>
          </w:tcPr>
          <w:p w14:paraId="0BFE36C1">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检定</w:t>
            </w:r>
          </w:p>
        </w:tc>
        <w:tc>
          <w:tcPr>
            <w:tcW w:w="2713" w:type="dxa"/>
            <w:noWrap w:val="0"/>
            <w:vAlign w:val="center"/>
          </w:tcPr>
          <w:p w14:paraId="52CEA310">
            <w:pPr>
              <w:jc w:val="center"/>
              <w:rPr>
                <w:rFonts w:hint="eastAsia" w:ascii="宋体" w:hAnsi="宋体" w:eastAsia="宋体" w:cs="宋体"/>
                <w:color w:val="auto"/>
                <w:spacing w:val="7"/>
                <w:kern w:val="2"/>
                <w:sz w:val="21"/>
                <w:szCs w:val="21"/>
                <w:highlight w:val="none"/>
                <w:shd w:val="clear" w:color="auto" w:fill="FFFFFF"/>
                <w:vertAlign w:val="baseline"/>
                <w:lang w:val="en-US" w:eastAsia="zh-CN" w:bidi="ar-SA"/>
              </w:rPr>
            </w:pPr>
            <w:r>
              <w:rPr>
                <w:rFonts w:hint="eastAsia" w:ascii="宋体" w:hAnsi="宋体" w:eastAsia="宋体" w:cs="宋体"/>
                <w:color w:val="auto"/>
                <w:sz w:val="21"/>
                <w:szCs w:val="21"/>
                <w:highlight w:val="none"/>
              </w:rPr>
              <w:t>JJG 1036-20</w:t>
            </w: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《电子天平检定</w:t>
            </w:r>
            <w:r>
              <w:rPr>
                <w:rFonts w:hint="eastAsia" w:ascii="宋体" w:hAnsi="宋体" w:eastAsia="宋体" w:cs="宋体"/>
                <w:color w:val="auto"/>
                <w:sz w:val="21"/>
                <w:szCs w:val="21"/>
                <w:highlight w:val="none"/>
                <w:lang w:val="en-US" w:eastAsia="zh-CN"/>
              </w:rPr>
              <w:t>程</w:t>
            </w:r>
            <w:r>
              <w:rPr>
                <w:rFonts w:hint="eastAsia" w:ascii="宋体" w:hAnsi="宋体" w:eastAsia="宋体" w:cs="宋体"/>
                <w:color w:val="auto"/>
                <w:sz w:val="21"/>
                <w:szCs w:val="21"/>
                <w:highlight w:val="none"/>
              </w:rPr>
              <w:t>》</w:t>
            </w:r>
          </w:p>
        </w:tc>
      </w:tr>
      <w:tr w14:paraId="23F43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9" w:type="dxa"/>
            <w:noWrap w:val="0"/>
            <w:vAlign w:val="center"/>
          </w:tcPr>
          <w:p w14:paraId="79CB6A1B">
            <w:pPr>
              <w:pStyle w:val="20"/>
              <w:spacing w:before="265" w:line="183" w:lineRule="auto"/>
              <w:jc w:val="center"/>
              <w:rPr>
                <w:rFonts w:hint="default" w:ascii="宋体" w:hAnsi="宋体" w:eastAsia="宋体" w:cs="宋体"/>
                <w:color w:val="auto"/>
                <w:spacing w:val="7"/>
                <w:sz w:val="21"/>
                <w:szCs w:val="21"/>
                <w:highlight w:val="none"/>
                <w:shd w:val="clear" w:color="auto" w:fill="FFFFFF"/>
                <w:vertAlign w:val="baseline"/>
                <w:lang w:val="en-US" w:eastAsia="zh-CN"/>
              </w:rPr>
            </w:pPr>
            <w:r>
              <w:rPr>
                <w:rFonts w:hint="eastAsia" w:cs="宋体"/>
                <w:color w:val="auto"/>
                <w:spacing w:val="7"/>
                <w:sz w:val="21"/>
                <w:szCs w:val="21"/>
                <w:highlight w:val="none"/>
                <w:shd w:val="clear" w:color="auto" w:fill="FFFFFF"/>
                <w:vertAlign w:val="baseline"/>
                <w:lang w:val="en-US" w:eastAsia="zh-CN"/>
              </w:rPr>
              <w:t>40</w:t>
            </w:r>
          </w:p>
        </w:tc>
        <w:tc>
          <w:tcPr>
            <w:tcW w:w="1680" w:type="dxa"/>
            <w:noWrap w:val="0"/>
            <w:vAlign w:val="center"/>
          </w:tcPr>
          <w:p w14:paraId="69F9A57C">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电子</w:t>
            </w:r>
            <w:r>
              <w:rPr>
                <w:rFonts w:hint="eastAsia" w:ascii="宋体" w:hAnsi="宋体" w:eastAsia="宋体" w:cs="宋体"/>
                <w:color w:val="auto"/>
                <w:sz w:val="21"/>
                <w:szCs w:val="21"/>
                <w:highlight w:val="none"/>
                <w:lang w:val="en-US" w:eastAsia="zh-CN"/>
              </w:rPr>
              <w:t>分析</w:t>
            </w:r>
            <w:r>
              <w:rPr>
                <w:rFonts w:hint="eastAsia" w:ascii="宋体" w:hAnsi="宋体" w:eastAsia="宋体" w:cs="宋体"/>
                <w:color w:val="auto"/>
                <w:sz w:val="21"/>
                <w:szCs w:val="21"/>
                <w:highlight w:val="none"/>
              </w:rPr>
              <w:t>天平</w:t>
            </w:r>
          </w:p>
        </w:tc>
        <w:tc>
          <w:tcPr>
            <w:tcW w:w="1681" w:type="dxa"/>
            <w:noWrap w:val="0"/>
            <w:vAlign w:val="center"/>
          </w:tcPr>
          <w:p w14:paraId="403E72CB">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szCs w:val="21"/>
              </w:rPr>
              <w:t>AL204</w:t>
            </w:r>
          </w:p>
        </w:tc>
        <w:tc>
          <w:tcPr>
            <w:tcW w:w="765" w:type="dxa"/>
            <w:noWrap w:val="0"/>
            <w:vAlign w:val="center"/>
          </w:tcPr>
          <w:p w14:paraId="57CA6F17">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320" w:type="dxa"/>
            <w:noWrap w:val="0"/>
            <w:vAlign w:val="center"/>
          </w:tcPr>
          <w:p w14:paraId="03CE8829">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检定</w:t>
            </w:r>
          </w:p>
        </w:tc>
        <w:tc>
          <w:tcPr>
            <w:tcW w:w="2713" w:type="dxa"/>
            <w:noWrap w:val="0"/>
            <w:vAlign w:val="center"/>
          </w:tcPr>
          <w:p w14:paraId="2490A573">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JJG 1036-20</w:t>
            </w: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《电子天平检定</w:t>
            </w:r>
            <w:r>
              <w:rPr>
                <w:rFonts w:hint="eastAsia" w:ascii="宋体" w:hAnsi="宋体" w:eastAsia="宋体" w:cs="宋体"/>
                <w:color w:val="auto"/>
                <w:sz w:val="21"/>
                <w:szCs w:val="21"/>
                <w:highlight w:val="none"/>
                <w:lang w:val="en-US" w:eastAsia="zh-CN"/>
              </w:rPr>
              <w:t>程</w:t>
            </w:r>
            <w:r>
              <w:rPr>
                <w:rFonts w:hint="eastAsia" w:ascii="宋体" w:hAnsi="宋体" w:eastAsia="宋体" w:cs="宋体"/>
                <w:color w:val="auto"/>
                <w:sz w:val="21"/>
                <w:szCs w:val="21"/>
                <w:highlight w:val="none"/>
              </w:rPr>
              <w:t>》</w:t>
            </w:r>
          </w:p>
        </w:tc>
      </w:tr>
      <w:tr w14:paraId="77C09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9" w:type="dxa"/>
            <w:noWrap w:val="0"/>
            <w:vAlign w:val="center"/>
          </w:tcPr>
          <w:p w14:paraId="554D3756">
            <w:pPr>
              <w:pStyle w:val="20"/>
              <w:spacing w:before="265" w:line="183" w:lineRule="auto"/>
              <w:jc w:val="center"/>
              <w:rPr>
                <w:rFonts w:hint="default" w:ascii="宋体" w:hAnsi="宋体" w:eastAsia="宋体" w:cs="宋体"/>
                <w:color w:val="auto"/>
                <w:spacing w:val="7"/>
                <w:sz w:val="21"/>
                <w:szCs w:val="21"/>
                <w:highlight w:val="none"/>
                <w:shd w:val="clear" w:color="auto" w:fill="FFFFFF"/>
                <w:vertAlign w:val="baseline"/>
                <w:lang w:val="en-US" w:eastAsia="zh-CN"/>
              </w:rPr>
            </w:pPr>
            <w:r>
              <w:rPr>
                <w:rFonts w:hint="eastAsia" w:cs="宋体"/>
                <w:color w:val="auto"/>
                <w:spacing w:val="7"/>
                <w:sz w:val="21"/>
                <w:szCs w:val="21"/>
                <w:highlight w:val="none"/>
                <w:shd w:val="clear" w:color="auto" w:fill="FFFFFF"/>
                <w:vertAlign w:val="baseline"/>
                <w:lang w:val="en-US" w:eastAsia="zh-CN"/>
              </w:rPr>
              <w:t>41</w:t>
            </w:r>
          </w:p>
        </w:tc>
        <w:tc>
          <w:tcPr>
            <w:tcW w:w="1680" w:type="dxa"/>
            <w:noWrap w:val="0"/>
            <w:vAlign w:val="center"/>
          </w:tcPr>
          <w:p w14:paraId="4B4C8A29">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电子</w:t>
            </w:r>
            <w:r>
              <w:rPr>
                <w:rFonts w:hint="eastAsia" w:ascii="宋体" w:hAnsi="宋体" w:eastAsia="宋体" w:cs="宋体"/>
                <w:color w:val="auto"/>
                <w:sz w:val="21"/>
                <w:szCs w:val="21"/>
                <w:highlight w:val="none"/>
                <w:lang w:val="en-US" w:eastAsia="zh-CN"/>
              </w:rPr>
              <w:t>分析</w:t>
            </w:r>
            <w:r>
              <w:rPr>
                <w:rFonts w:hint="eastAsia" w:ascii="宋体" w:hAnsi="宋体" w:eastAsia="宋体" w:cs="宋体"/>
                <w:color w:val="auto"/>
                <w:sz w:val="21"/>
                <w:szCs w:val="21"/>
                <w:highlight w:val="none"/>
              </w:rPr>
              <w:t>天平</w:t>
            </w:r>
          </w:p>
        </w:tc>
        <w:tc>
          <w:tcPr>
            <w:tcW w:w="1681" w:type="dxa"/>
            <w:noWrap w:val="0"/>
            <w:vAlign w:val="center"/>
          </w:tcPr>
          <w:p w14:paraId="03EE3DD9">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szCs w:val="21"/>
              </w:rPr>
              <w:t>AL204-IC</w:t>
            </w:r>
          </w:p>
        </w:tc>
        <w:tc>
          <w:tcPr>
            <w:tcW w:w="765" w:type="dxa"/>
            <w:noWrap w:val="0"/>
            <w:vAlign w:val="center"/>
          </w:tcPr>
          <w:p w14:paraId="2D87091A">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320" w:type="dxa"/>
            <w:noWrap w:val="0"/>
            <w:vAlign w:val="center"/>
          </w:tcPr>
          <w:p w14:paraId="478CD4FC">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检定</w:t>
            </w:r>
          </w:p>
        </w:tc>
        <w:tc>
          <w:tcPr>
            <w:tcW w:w="2713" w:type="dxa"/>
            <w:noWrap w:val="0"/>
            <w:vAlign w:val="center"/>
          </w:tcPr>
          <w:p w14:paraId="629F1E06">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JJG 1036-20</w:t>
            </w: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《电子天平检定</w:t>
            </w:r>
            <w:r>
              <w:rPr>
                <w:rFonts w:hint="eastAsia" w:ascii="宋体" w:hAnsi="宋体" w:eastAsia="宋体" w:cs="宋体"/>
                <w:color w:val="auto"/>
                <w:sz w:val="21"/>
                <w:szCs w:val="21"/>
                <w:highlight w:val="none"/>
                <w:lang w:val="en-US" w:eastAsia="zh-CN"/>
              </w:rPr>
              <w:t>程</w:t>
            </w:r>
            <w:r>
              <w:rPr>
                <w:rFonts w:hint="eastAsia" w:ascii="宋体" w:hAnsi="宋体" w:eastAsia="宋体" w:cs="宋体"/>
                <w:color w:val="auto"/>
                <w:sz w:val="21"/>
                <w:szCs w:val="21"/>
                <w:highlight w:val="none"/>
              </w:rPr>
              <w:t>》</w:t>
            </w:r>
          </w:p>
        </w:tc>
      </w:tr>
      <w:tr w14:paraId="2CF7C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9" w:type="dxa"/>
            <w:noWrap w:val="0"/>
            <w:vAlign w:val="center"/>
          </w:tcPr>
          <w:p w14:paraId="2421062D">
            <w:pPr>
              <w:pStyle w:val="20"/>
              <w:spacing w:before="265" w:line="183" w:lineRule="auto"/>
              <w:jc w:val="center"/>
              <w:rPr>
                <w:rFonts w:hint="default" w:ascii="宋体" w:hAnsi="宋体" w:eastAsia="宋体" w:cs="宋体"/>
                <w:color w:val="auto"/>
                <w:spacing w:val="7"/>
                <w:sz w:val="21"/>
                <w:szCs w:val="21"/>
                <w:highlight w:val="none"/>
                <w:shd w:val="clear" w:color="auto" w:fill="FFFFFF"/>
                <w:vertAlign w:val="baseline"/>
                <w:lang w:val="en-US" w:eastAsia="zh-CN"/>
              </w:rPr>
            </w:pPr>
            <w:r>
              <w:rPr>
                <w:rFonts w:hint="eastAsia" w:cs="宋体"/>
                <w:color w:val="auto"/>
                <w:spacing w:val="7"/>
                <w:sz w:val="21"/>
                <w:szCs w:val="21"/>
                <w:highlight w:val="none"/>
                <w:shd w:val="clear" w:color="auto" w:fill="FFFFFF"/>
                <w:vertAlign w:val="baseline"/>
                <w:lang w:val="en-US" w:eastAsia="zh-CN"/>
              </w:rPr>
              <w:t>42</w:t>
            </w:r>
          </w:p>
        </w:tc>
        <w:tc>
          <w:tcPr>
            <w:tcW w:w="1680" w:type="dxa"/>
            <w:noWrap w:val="0"/>
            <w:vAlign w:val="center"/>
          </w:tcPr>
          <w:p w14:paraId="2A599BE7">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电子</w:t>
            </w:r>
            <w:r>
              <w:rPr>
                <w:rFonts w:hint="eastAsia" w:ascii="宋体" w:hAnsi="宋体" w:eastAsia="宋体" w:cs="宋体"/>
                <w:color w:val="auto"/>
                <w:sz w:val="21"/>
                <w:szCs w:val="21"/>
                <w:highlight w:val="none"/>
                <w:lang w:val="en-US" w:eastAsia="zh-CN"/>
              </w:rPr>
              <w:t>分析</w:t>
            </w:r>
            <w:r>
              <w:rPr>
                <w:rFonts w:hint="eastAsia" w:ascii="宋体" w:hAnsi="宋体" w:eastAsia="宋体" w:cs="宋体"/>
                <w:color w:val="auto"/>
                <w:sz w:val="21"/>
                <w:szCs w:val="21"/>
                <w:highlight w:val="none"/>
              </w:rPr>
              <w:t>天平</w:t>
            </w:r>
          </w:p>
        </w:tc>
        <w:tc>
          <w:tcPr>
            <w:tcW w:w="1681" w:type="dxa"/>
            <w:noWrap w:val="0"/>
            <w:vAlign w:val="center"/>
          </w:tcPr>
          <w:p w14:paraId="6C0FE205">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szCs w:val="21"/>
              </w:rPr>
              <w:t>ATX224R</w:t>
            </w:r>
          </w:p>
        </w:tc>
        <w:tc>
          <w:tcPr>
            <w:tcW w:w="765" w:type="dxa"/>
            <w:noWrap w:val="0"/>
            <w:vAlign w:val="center"/>
          </w:tcPr>
          <w:p w14:paraId="57089839">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320" w:type="dxa"/>
            <w:noWrap w:val="0"/>
            <w:vAlign w:val="center"/>
          </w:tcPr>
          <w:p w14:paraId="6AF1312A">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检定</w:t>
            </w:r>
          </w:p>
        </w:tc>
        <w:tc>
          <w:tcPr>
            <w:tcW w:w="2713" w:type="dxa"/>
            <w:noWrap w:val="0"/>
            <w:vAlign w:val="center"/>
          </w:tcPr>
          <w:p w14:paraId="20CCB08E">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JJG 1036-20</w:t>
            </w: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《电子天平检定</w:t>
            </w:r>
            <w:r>
              <w:rPr>
                <w:rFonts w:hint="eastAsia" w:ascii="宋体" w:hAnsi="宋体" w:eastAsia="宋体" w:cs="宋体"/>
                <w:color w:val="auto"/>
                <w:sz w:val="21"/>
                <w:szCs w:val="21"/>
                <w:highlight w:val="none"/>
                <w:lang w:val="en-US" w:eastAsia="zh-CN"/>
              </w:rPr>
              <w:t>程</w:t>
            </w:r>
            <w:r>
              <w:rPr>
                <w:rFonts w:hint="eastAsia" w:ascii="宋体" w:hAnsi="宋体" w:eastAsia="宋体" w:cs="宋体"/>
                <w:color w:val="auto"/>
                <w:sz w:val="21"/>
                <w:szCs w:val="21"/>
                <w:highlight w:val="none"/>
              </w:rPr>
              <w:t>》</w:t>
            </w:r>
          </w:p>
        </w:tc>
      </w:tr>
      <w:tr w14:paraId="5E98C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9" w:type="dxa"/>
            <w:noWrap w:val="0"/>
            <w:vAlign w:val="center"/>
          </w:tcPr>
          <w:p w14:paraId="5B86FC11">
            <w:pPr>
              <w:pStyle w:val="20"/>
              <w:spacing w:before="265" w:line="183" w:lineRule="auto"/>
              <w:jc w:val="center"/>
              <w:rPr>
                <w:rFonts w:hint="default" w:ascii="宋体" w:hAnsi="宋体" w:eastAsia="宋体" w:cs="宋体"/>
                <w:color w:val="auto"/>
                <w:spacing w:val="7"/>
                <w:sz w:val="21"/>
                <w:szCs w:val="21"/>
                <w:highlight w:val="none"/>
                <w:shd w:val="clear" w:color="auto" w:fill="FFFFFF"/>
                <w:vertAlign w:val="baseline"/>
                <w:lang w:val="en-US" w:eastAsia="zh-CN"/>
              </w:rPr>
            </w:pPr>
            <w:r>
              <w:rPr>
                <w:rFonts w:hint="eastAsia" w:cs="宋体"/>
                <w:color w:val="auto"/>
                <w:spacing w:val="7"/>
                <w:sz w:val="21"/>
                <w:szCs w:val="21"/>
                <w:highlight w:val="none"/>
                <w:shd w:val="clear" w:color="auto" w:fill="FFFFFF"/>
                <w:vertAlign w:val="baseline"/>
                <w:lang w:val="en-US" w:eastAsia="zh-CN"/>
              </w:rPr>
              <w:t>43</w:t>
            </w:r>
          </w:p>
        </w:tc>
        <w:tc>
          <w:tcPr>
            <w:tcW w:w="1680" w:type="dxa"/>
            <w:noWrap w:val="0"/>
            <w:vAlign w:val="center"/>
          </w:tcPr>
          <w:p w14:paraId="0F912239">
            <w:pPr>
              <w:jc w:val="center"/>
              <w:rPr>
                <w:rFonts w:hint="eastAsia" w:ascii="宋体" w:hAnsi="宋体" w:eastAsia="宋体" w:cs="宋体"/>
                <w:color w:val="auto"/>
                <w:spacing w:val="7"/>
                <w:kern w:val="2"/>
                <w:sz w:val="21"/>
                <w:szCs w:val="21"/>
                <w:highlight w:val="none"/>
                <w:shd w:val="clear" w:color="auto" w:fill="FFFFFF"/>
                <w:vertAlign w:val="baseline"/>
                <w:lang w:val="en-US" w:eastAsia="zh-CN" w:bidi="ar-SA"/>
              </w:rPr>
            </w:pPr>
            <w:r>
              <w:rPr>
                <w:rFonts w:hint="eastAsia" w:ascii="宋体" w:hAnsi="宋体" w:eastAsia="宋体" w:cs="宋体"/>
                <w:color w:val="auto"/>
                <w:sz w:val="21"/>
                <w:szCs w:val="21"/>
                <w:highlight w:val="none"/>
                <w:lang w:val="en-US" w:eastAsia="zh-CN"/>
              </w:rPr>
              <w:t>FL点型气体探测器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氢气）</w:t>
            </w:r>
          </w:p>
        </w:tc>
        <w:tc>
          <w:tcPr>
            <w:tcW w:w="1681" w:type="dxa"/>
            <w:noWrap w:val="0"/>
            <w:vAlign w:val="center"/>
          </w:tcPr>
          <w:p w14:paraId="4FB744D9">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765" w:type="dxa"/>
            <w:noWrap w:val="0"/>
            <w:vAlign w:val="center"/>
          </w:tcPr>
          <w:p w14:paraId="0F2EEE8A">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1320" w:type="dxa"/>
            <w:noWrap w:val="0"/>
            <w:vAlign w:val="center"/>
          </w:tcPr>
          <w:p w14:paraId="1DF565AF">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检定</w:t>
            </w:r>
          </w:p>
        </w:tc>
        <w:tc>
          <w:tcPr>
            <w:tcW w:w="2713" w:type="dxa"/>
            <w:noWrap w:val="0"/>
            <w:vAlign w:val="center"/>
          </w:tcPr>
          <w:p w14:paraId="2325E32E">
            <w:pPr>
              <w:jc w:val="center"/>
              <w:rPr>
                <w:rFonts w:hint="eastAsia" w:ascii="宋体" w:hAnsi="宋体" w:eastAsia="宋体" w:cs="宋体"/>
                <w:color w:val="auto"/>
                <w:spacing w:val="7"/>
                <w:kern w:val="2"/>
                <w:sz w:val="21"/>
                <w:szCs w:val="21"/>
                <w:highlight w:val="none"/>
                <w:shd w:val="clear" w:color="auto" w:fill="FFFFFF"/>
                <w:vertAlign w:val="baseline"/>
                <w:lang w:val="en-US" w:eastAsia="zh-CN" w:bidi="ar-SA"/>
              </w:rPr>
            </w:pPr>
            <w:r>
              <w:rPr>
                <w:rFonts w:hint="eastAsia" w:ascii="宋体" w:hAnsi="宋体" w:eastAsia="宋体" w:cs="宋体"/>
                <w:color w:val="auto"/>
                <w:sz w:val="21"/>
                <w:szCs w:val="21"/>
                <w:highlight w:val="none"/>
              </w:rPr>
              <w:t>JJG</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693-2011《可燃气体检测报警器 检定规程》</w:t>
            </w:r>
          </w:p>
        </w:tc>
      </w:tr>
      <w:tr w14:paraId="533F3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9" w:type="dxa"/>
            <w:noWrap w:val="0"/>
            <w:vAlign w:val="center"/>
          </w:tcPr>
          <w:p w14:paraId="060DF239">
            <w:pPr>
              <w:pStyle w:val="20"/>
              <w:spacing w:before="265" w:line="183" w:lineRule="auto"/>
              <w:jc w:val="center"/>
              <w:rPr>
                <w:rFonts w:hint="default" w:ascii="宋体" w:hAnsi="宋体" w:eastAsia="宋体" w:cs="宋体"/>
                <w:color w:val="auto"/>
                <w:spacing w:val="7"/>
                <w:sz w:val="21"/>
                <w:szCs w:val="21"/>
                <w:highlight w:val="none"/>
                <w:shd w:val="clear" w:color="auto" w:fill="FFFFFF"/>
                <w:vertAlign w:val="baseline"/>
                <w:lang w:val="en-US" w:eastAsia="zh-CN"/>
              </w:rPr>
            </w:pPr>
            <w:r>
              <w:rPr>
                <w:rFonts w:hint="eastAsia" w:cs="宋体"/>
                <w:color w:val="auto"/>
                <w:spacing w:val="7"/>
                <w:sz w:val="21"/>
                <w:szCs w:val="21"/>
                <w:highlight w:val="none"/>
                <w:shd w:val="clear" w:color="auto" w:fill="FFFFFF"/>
                <w:vertAlign w:val="baseline"/>
                <w:lang w:val="en-US" w:eastAsia="zh-CN"/>
              </w:rPr>
              <w:t>44</w:t>
            </w:r>
          </w:p>
        </w:tc>
        <w:tc>
          <w:tcPr>
            <w:tcW w:w="1680" w:type="dxa"/>
            <w:noWrap w:val="0"/>
            <w:vAlign w:val="center"/>
          </w:tcPr>
          <w:p w14:paraId="1AD8F069">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FL点型气体探测器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乙炔）</w:t>
            </w:r>
          </w:p>
        </w:tc>
        <w:tc>
          <w:tcPr>
            <w:tcW w:w="1681" w:type="dxa"/>
            <w:noWrap w:val="0"/>
            <w:vAlign w:val="center"/>
          </w:tcPr>
          <w:p w14:paraId="141DC0FB">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765" w:type="dxa"/>
            <w:noWrap w:val="0"/>
            <w:vAlign w:val="center"/>
          </w:tcPr>
          <w:p w14:paraId="540F9726">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1320" w:type="dxa"/>
            <w:noWrap w:val="0"/>
            <w:vAlign w:val="center"/>
          </w:tcPr>
          <w:p w14:paraId="22EF3DEE">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2"/>
                <w:sz w:val="21"/>
                <w:szCs w:val="21"/>
                <w:highlight w:val="none"/>
                <w:u w:val="none"/>
                <w:lang w:val="en-US" w:eastAsia="zh-CN" w:bidi="ar-SA"/>
              </w:rPr>
              <w:t>检定</w:t>
            </w:r>
          </w:p>
        </w:tc>
        <w:tc>
          <w:tcPr>
            <w:tcW w:w="2713" w:type="dxa"/>
            <w:noWrap w:val="0"/>
            <w:vAlign w:val="center"/>
          </w:tcPr>
          <w:p w14:paraId="682F1EED">
            <w:pPr>
              <w:jc w:val="center"/>
              <w:rPr>
                <w:rFonts w:hint="eastAsia" w:ascii="宋体" w:hAnsi="宋体" w:eastAsia="宋体" w:cs="宋体"/>
                <w:color w:val="auto"/>
                <w:spacing w:val="7"/>
                <w:kern w:val="2"/>
                <w:sz w:val="21"/>
                <w:szCs w:val="21"/>
                <w:highlight w:val="none"/>
                <w:shd w:val="clear" w:color="auto" w:fill="FFFFFF"/>
                <w:vertAlign w:val="baseline"/>
                <w:lang w:val="en-US" w:eastAsia="zh-CN" w:bidi="ar-SA"/>
              </w:rPr>
            </w:pPr>
            <w:r>
              <w:rPr>
                <w:rFonts w:hint="eastAsia" w:ascii="宋体" w:hAnsi="宋体" w:eastAsia="宋体" w:cs="宋体"/>
                <w:color w:val="auto"/>
                <w:sz w:val="21"/>
                <w:szCs w:val="21"/>
                <w:highlight w:val="none"/>
              </w:rPr>
              <w:t>JJG</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693-2011《可燃气体检测报警器 检定规程》</w:t>
            </w:r>
          </w:p>
        </w:tc>
      </w:tr>
    </w:tbl>
    <w:p w14:paraId="5E95B3B7">
      <w:pPr>
        <w:widowControl/>
        <w:spacing w:before="100" w:after="100" w:line="360" w:lineRule="auto"/>
        <w:ind w:firstLine="0" w:firstLineChars="0"/>
        <w:jc w:val="left"/>
        <w:rPr>
          <w:rFonts w:ascii="宋体" w:hAnsi="宋体" w:cs="宋体"/>
          <w:spacing w:val="7"/>
          <w:kern w:val="0"/>
          <w:sz w:val="24"/>
          <w:shd w:val="clear" w:color="auto" w:fill="FFFFFF"/>
        </w:rPr>
      </w:pPr>
    </w:p>
    <w:p w14:paraId="1E554549">
      <w:pPr>
        <w:spacing w:line="520" w:lineRule="exact"/>
        <w:ind w:firstLine="482" w:firstLineChars="200"/>
        <w:rPr>
          <w:rFonts w:hint="eastAsia" w:ascii="宋体" w:hAnsi="宋体" w:cs="宋体"/>
          <w:b/>
          <w:sz w:val="24"/>
        </w:rPr>
      </w:pPr>
      <w:r>
        <w:rPr>
          <w:rFonts w:hint="eastAsia" w:ascii="宋体" w:hAnsi="宋体" w:cs="宋体"/>
          <w:b/>
          <w:sz w:val="24"/>
        </w:rPr>
        <w:t>（二）采购标的需满足的质量、安全、技术规格、物理特性等要求</w:t>
      </w:r>
    </w:p>
    <w:p w14:paraId="38C02900">
      <w:pPr>
        <w:spacing w:line="520" w:lineRule="exact"/>
        <w:ind w:firstLine="480" w:firstLineChars="200"/>
        <w:rPr>
          <w:rFonts w:hint="eastAsia" w:ascii="宋体" w:hAnsi="宋体" w:cs="宋体"/>
          <w:b/>
          <w:sz w:val="24"/>
        </w:rPr>
      </w:pPr>
      <w:r>
        <w:rPr>
          <w:rFonts w:hint="eastAsia" w:ascii="宋体" w:eastAsia="宋体" w:cs="宋体"/>
          <w:color w:val="000000"/>
          <w:sz w:val="24"/>
          <w:szCs w:val="24"/>
          <w:lang w:val="en-US" w:eastAsia="zh-CN"/>
        </w:rPr>
        <w:t>服务</w:t>
      </w:r>
      <w:r>
        <w:rPr>
          <w:rFonts w:hint="eastAsia" w:ascii="宋体" w:hAnsi="宋体" w:eastAsia="宋体" w:cs="宋体"/>
          <w:color w:val="000000"/>
          <w:sz w:val="24"/>
          <w:szCs w:val="24"/>
          <w:lang w:val="zh-CN"/>
        </w:rPr>
        <w:t>商应</w:t>
      </w:r>
      <w:r>
        <w:rPr>
          <w:rFonts w:hint="eastAsia" w:ascii="宋体" w:eastAsia="宋体" w:cs="宋体"/>
          <w:color w:val="000000"/>
          <w:sz w:val="24"/>
          <w:szCs w:val="24"/>
          <w:lang w:val="en-US" w:eastAsia="zh-CN"/>
        </w:rPr>
        <w:t>确保</w:t>
      </w:r>
      <w:r>
        <w:rPr>
          <w:rFonts w:hint="eastAsia" w:ascii="宋体" w:eastAsia="宋体" w:cs="宋体"/>
          <w:color w:val="000000"/>
          <w:sz w:val="24"/>
          <w:szCs w:val="24"/>
          <w:lang w:val="zh-CN"/>
        </w:rPr>
        <w:t>方法有效性，必须严格依据国家/国际现行有效的计量检定规程（JJG）、计量校准规范（JJF）、国家标准（GB）</w:t>
      </w:r>
      <w:r>
        <w:rPr>
          <w:rFonts w:hint="eastAsia" w:ascii="宋体" w:eastAsia="宋体" w:cs="宋体"/>
          <w:color w:val="000000"/>
          <w:sz w:val="24"/>
          <w:szCs w:val="24"/>
          <w:lang w:val="en-US" w:eastAsia="zh-CN"/>
        </w:rPr>
        <w:t>等</w:t>
      </w:r>
      <w:r>
        <w:rPr>
          <w:rFonts w:hint="eastAsia" w:ascii="宋体" w:eastAsia="宋体" w:cs="宋体"/>
          <w:color w:val="000000"/>
          <w:sz w:val="24"/>
          <w:szCs w:val="24"/>
          <w:lang w:val="zh-CN"/>
        </w:rPr>
        <w:t>执行。服务商所使用的计量标准器必须经过有效溯源，其测量不确定度或准确度等级须满足被校/测仪器量值溯源的要求。</w:t>
      </w:r>
      <w:r>
        <w:rPr>
          <w:rFonts w:hint="eastAsia" w:ascii="宋体" w:hAnsi="宋体" w:eastAsia="宋体" w:cs="宋体"/>
          <w:color w:val="auto"/>
          <w:sz w:val="24"/>
          <w:szCs w:val="24"/>
          <w:lang w:val="en-US" w:eastAsia="zh-CN"/>
        </w:rPr>
        <w:t>应承诺在本合同有效期内，保持其相关资质、认可范围的持续有效。如发生可能影响服务能力与质量的重大变更，须立即书面通知我方。</w:t>
      </w:r>
    </w:p>
    <w:p w14:paraId="50D49562">
      <w:pPr>
        <w:spacing w:line="520" w:lineRule="exact"/>
        <w:ind w:firstLine="482" w:firstLineChars="200"/>
        <w:rPr>
          <w:rFonts w:hint="eastAsia" w:ascii="宋体" w:hAnsi="宋体" w:cs="宋体"/>
          <w:b/>
          <w:sz w:val="24"/>
        </w:rPr>
      </w:pPr>
      <w:r>
        <w:rPr>
          <w:rFonts w:hint="eastAsia" w:ascii="宋体" w:hAnsi="宋体" w:cs="宋体"/>
          <w:b/>
          <w:sz w:val="24"/>
        </w:rPr>
        <w:t>（三）</w:t>
      </w:r>
      <w:r>
        <w:rPr>
          <w:rFonts w:hint="eastAsia" w:ascii="宋体" w:hAnsi="宋体" w:cs="宋体"/>
          <w:b/>
          <w:bCs/>
          <w:sz w:val="24"/>
        </w:rPr>
        <w:t>采购项目交付或者实施的时间和地点</w:t>
      </w:r>
    </w:p>
    <w:p w14:paraId="3EF6B8EE">
      <w:pPr>
        <w:pStyle w:val="12"/>
        <w:keepNext w:val="0"/>
        <w:keepLines w:val="0"/>
        <w:pageBreakBefore w:val="0"/>
        <w:widowControl/>
        <w:numPr>
          <w:ilvl w:val="0"/>
          <w:numId w:val="0"/>
        </w:numPr>
        <w:kinsoku/>
        <w:wordWrap/>
        <w:overflowPunct/>
        <w:topLinePunct w:val="0"/>
        <w:autoSpaceDE/>
        <w:autoSpaceDN/>
        <w:bidi w:val="0"/>
        <w:adjustRightInd/>
        <w:spacing w:before="0" w:beforeAutospacing="0" w:afterAutospacing="0" w:line="360" w:lineRule="auto"/>
        <w:ind w:firstLine="480" w:firstLineChars="200"/>
        <w:rPr>
          <w:rFonts w:hint="eastAsia" w:ascii="宋体" w:hAnsi="宋体" w:eastAsia="宋体" w:cs="宋体"/>
          <w:b w:val="0"/>
          <w:bCs w:val="0"/>
          <w:kern w:val="2"/>
          <w:sz w:val="24"/>
          <w:szCs w:val="24"/>
          <w:lang w:val="en-US" w:eastAsia="zh-CN"/>
        </w:rPr>
      </w:pPr>
      <w:r>
        <w:rPr>
          <w:rFonts w:hint="eastAsia" w:ascii="宋体" w:hAnsi="宋体" w:eastAsia="宋体" w:cs="宋体"/>
          <w:b w:val="0"/>
          <w:bCs w:val="0"/>
          <w:kern w:val="2"/>
          <w:sz w:val="24"/>
          <w:szCs w:val="24"/>
          <w:lang w:val="en-US" w:eastAsia="zh-CN"/>
        </w:rPr>
        <w:t>1、交付（实施）时间：</w:t>
      </w:r>
    </w:p>
    <w:p w14:paraId="68815378">
      <w:pPr>
        <w:pStyle w:val="12"/>
        <w:keepNext w:val="0"/>
        <w:keepLines w:val="0"/>
        <w:pageBreakBefore w:val="0"/>
        <w:widowControl/>
        <w:numPr>
          <w:ilvl w:val="0"/>
          <w:numId w:val="0"/>
        </w:numPr>
        <w:kinsoku/>
        <w:wordWrap/>
        <w:overflowPunct/>
        <w:topLinePunct w:val="0"/>
        <w:autoSpaceDE/>
        <w:autoSpaceDN/>
        <w:bidi w:val="0"/>
        <w:adjustRightInd/>
        <w:spacing w:before="0" w:beforeAutospacing="0" w:afterAutospacing="0" w:line="360" w:lineRule="auto"/>
        <w:ind w:firstLine="480" w:firstLineChars="200"/>
        <w:rPr>
          <w:rFonts w:hint="eastAsia" w:ascii="宋体" w:hAnsi="宋体" w:eastAsia="宋体" w:cs="宋体"/>
          <w:b w:val="0"/>
          <w:bCs w:val="0"/>
          <w:kern w:val="2"/>
          <w:sz w:val="24"/>
          <w:szCs w:val="24"/>
          <w:lang w:val="en-US" w:eastAsia="zh-CN"/>
        </w:rPr>
      </w:pPr>
      <w:r>
        <w:rPr>
          <w:rFonts w:hint="eastAsia" w:ascii="宋体" w:hAnsi="宋体" w:eastAsia="宋体" w:cs="宋体"/>
          <w:b w:val="0"/>
          <w:bCs w:val="0"/>
          <w:kern w:val="2"/>
          <w:sz w:val="24"/>
          <w:szCs w:val="24"/>
          <w:lang w:val="en-US" w:eastAsia="zh-CN"/>
        </w:rPr>
        <w:t>1.1现场服务：在接到实验室现场服务预约确认后，服务商应在10个工作日内派遣有资质的技术人员到达指定现场。现场工作完成后，应在10个工作日内交付证书报告；</w:t>
      </w:r>
    </w:p>
    <w:p w14:paraId="35AC220D">
      <w:pPr>
        <w:pStyle w:val="12"/>
        <w:keepNext w:val="0"/>
        <w:keepLines w:val="0"/>
        <w:pageBreakBefore w:val="0"/>
        <w:widowControl/>
        <w:numPr>
          <w:ilvl w:val="0"/>
          <w:numId w:val="0"/>
        </w:numPr>
        <w:kinsoku/>
        <w:wordWrap/>
        <w:overflowPunct/>
        <w:topLinePunct w:val="0"/>
        <w:autoSpaceDE/>
        <w:autoSpaceDN/>
        <w:bidi w:val="0"/>
        <w:adjustRightInd/>
        <w:spacing w:before="0" w:beforeAutospacing="0" w:afterAutospacing="0" w:line="360" w:lineRule="auto"/>
        <w:ind w:firstLine="480" w:firstLineChars="200"/>
        <w:rPr>
          <w:rFonts w:hint="eastAsia" w:ascii="宋体" w:hAnsi="宋体" w:eastAsia="宋体" w:cs="宋体"/>
          <w:b w:val="0"/>
          <w:bCs w:val="0"/>
          <w:kern w:val="2"/>
          <w:sz w:val="24"/>
          <w:szCs w:val="24"/>
          <w:lang w:val="en-US" w:eastAsia="zh-CN"/>
        </w:rPr>
      </w:pPr>
      <w:r>
        <w:rPr>
          <w:rFonts w:hint="eastAsia" w:ascii="宋体" w:hAnsi="宋体" w:eastAsia="宋体" w:cs="宋体"/>
          <w:b w:val="0"/>
          <w:bCs w:val="0"/>
          <w:kern w:val="2"/>
          <w:sz w:val="24"/>
          <w:szCs w:val="24"/>
          <w:lang w:val="en-US" w:eastAsia="zh-CN"/>
        </w:rPr>
        <w:t>1.2送样服务：实验室将仪器送达服务商指定地点后，服务商应在5个工作日内完成检定/校准，并出具证书报告。</w:t>
      </w:r>
    </w:p>
    <w:p w14:paraId="765DB6B2">
      <w:pPr>
        <w:pStyle w:val="12"/>
        <w:keepNext w:val="0"/>
        <w:keepLines w:val="0"/>
        <w:pageBreakBefore w:val="0"/>
        <w:widowControl/>
        <w:numPr>
          <w:ilvl w:val="0"/>
          <w:numId w:val="0"/>
        </w:numPr>
        <w:kinsoku/>
        <w:wordWrap/>
        <w:overflowPunct/>
        <w:topLinePunct w:val="0"/>
        <w:autoSpaceDE/>
        <w:autoSpaceDN/>
        <w:bidi w:val="0"/>
        <w:adjustRightInd/>
        <w:spacing w:before="0" w:beforeAutospacing="0" w:afterAutospacing="0" w:line="360" w:lineRule="auto"/>
        <w:ind w:firstLine="480" w:firstLineChars="200"/>
        <w:rPr>
          <w:rFonts w:hint="default" w:ascii="宋体" w:hAnsi="宋体" w:eastAsia="宋体" w:cs="宋体"/>
          <w:b w:val="0"/>
          <w:bCs w:val="0"/>
          <w:kern w:val="2"/>
          <w:sz w:val="24"/>
          <w:szCs w:val="24"/>
          <w:lang w:val="en-US" w:eastAsia="zh-CN"/>
        </w:rPr>
      </w:pPr>
      <w:r>
        <w:rPr>
          <w:rFonts w:hint="eastAsia" w:ascii="宋体" w:hAnsi="宋体" w:eastAsia="宋体" w:cs="宋体"/>
          <w:b w:val="0"/>
          <w:bCs w:val="0"/>
          <w:kern w:val="2"/>
          <w:sz w:val="24"/>
          <w:szCs w:val="24"/>
          <w:lang w:val="en-US" w:eastAsia="zh-CN"/>
        </w:rPr>
        <w:t>1.3加急服务：如遇到需加急检定/校准的计量器具，服务商应在3个工作日内完成检定/校准，并出具证书报告。</w:t>
      </w:r>
    </w:p>
    <w:p w14:paraId="57176B8D">
      <w:pPr>
        <w:pStyle w:val="12"/>
        <w:keepNext w:val="0"/>
        <w:keepLines w:val="0"/>
        <w:pageBreakBefore w:val="0"/>
        <w:widowControl/>
        <w:numPr>
          <w:ilvl w:val="0"/>
          <w:numId w:val="0"/>
        </w:numPr>
        <w:kinsoku/>
        <w:wordWrap/>
        <w:overflowPunct/>
        <w:topLinePunct w:val="0"/>
        <w:autoSpaceDE/>
        <w:autoSpaceDN/>
        <w:bidi w:val="0"/>
        <w:adjustRightInd/>
        <w:spacing w:before="0" w:beforeAutospacing="0" w:afterAutospacing="0" w:line="360" w:lineRule="auto"/>
        <w:ind w:firstLine="480" w:firstLineChars="200"/>
        <w:rPr>
          <w:rFonts w:hint="default" w:ascii="宋体" w:hAnsi="宋体" w:eastAsia="宋体" w:cs="宋体"/>
          <w:b w:val="0"/>
          <w:bCs w:val="0"/>
          <w:kern w:val="2"/>
          <w:sz w:val="24"/>
          <w:szCs w:val="24"/>
          <w:lang w:val="en-US" w:eastAsia="zh-CN"/>
        </w:rPr>
      </w:pPr>
      <w:r>
        <w:rPr>
          <w:rFonts w:hint="eastAsia" w:ascii="宋体" w:hAnsi="宋体" w:eastAsia="宋体" w:cs="宋体"/>
          <w:b w:val="0"/>
          <w:bCs w:val="0"/>
          <w:kern w:val="2"/>
          <w:sz w:val="24"/>
          <w:szCs w:val="24"/>
          <w:lang w:val="en-US" w:eastAsia="zh-CN"/>
        </w:rPr>
        <w:t>2、检测地点：</w:t>
      </w:r>
      <w:r>
        <w:rPr>
          <w:rFonts w:hint="eastAsia" w:ascii="宋体" w:hAnsi="宋体" w:eastAsia="宋体" w:cs="宋体"/>
          <w:b w:val="0"/>
          <w:bCs w:val="0"/>
          <w:kern w:val="2"/>
          <w:sz w:val="24"/>
          <w:szCs w:val="24"/>
        </w:rPr>
        <w:t>南通市市政设施管理处水质监测科</w:t>
      </w:r>
      <w:r>
        <w:rPr>
          <w:rFonts w:hint="eastAsia" w:ascii="宋体" w:hAnsi="宋体" w:eastAsia="宋体" w:cs="宋体"/>
          <w:b w:val="0"/>
          <w:bCs w:val="0"/>
          <w:kern w:val="2"/>
          <w:sz w:val="24"/>
          <w:szCs w:val="24"/>
          <w:lang w:val="en-US" w:eastAsia="zh-CN"/>
        </w:rPr>
        <w:t>(</w:t>
      </w:r>
      <w:r>
        <w:rPr>
          <w:rFonts w:hint="eastAsia" w:ascii="宋体" w:hAnsi="宋体" w:eastAsia="宋体" w:cs="宋体"/>
          <w:b w:val="0"/>
          <w:bCs w:val="0"/>
          <w:kern w:val="2"/>
          <w:sz w:val="24"/>
          <w:szCs w:val="24"/>
        </w:rPr>
        <w:t>南通市崇川区人民西路428号</w:t>
      </w:r>
      <w:r>
        <w:rPr>
          <w:rFonts w:hint="eastAsia" w:ascii="宋体" w:hAnsi="宋体" w:eastAsia="宋体" w:cs="宋体"/>
          <w:b w:val="0"/>
          <w:bCs w:val="0"/>
          <w:kern w:val="2"/>
          <w:sz w:val="24"/>
          <w:szCs w:val="24"/>
          <w:lang w:val="en-US" w:eastAsia="zh-CN"/>
        </w:rPr>
        <w:t>)，送检除外。</w:t>
      </w:r>
    </w:p>
    <w:p w14:paraId="7DAB2517">
      <w:pPr>
        <w:spacing w:line="520" w:lineRule="exact"/>
        <w:ind w:firstLine="482" w:firstLineChars="200"/>
        <w:rPr>
          <w:rFonts w:hint="eastAsia" w:ascii="宋体" w:hAnsi="宋体" w:cs="宋体"/>
          <w:b/>
          <w:sz w:val="24"/>
        </w:rPr>
      </w:pPr>
      <w:r>
        <w:rPr>
          <w:rFonts w:hint="eastAsia" w:ascii="宋体" w:hAnsi="宋体" w:cs="宋体"/>
          <w:b/>
          <w:sz w:val="24"/>
        </w:rPr>
        <w:t>（四）采购标的需满足的服务标准、期限、效率等要求</w:t>
      </w:r>
    </w:p>
    <w:p w14:paraId="671AA22E">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before="120" w:after="12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1、服务效率</w:t>
      </w:r>
    </w:p>
    <w:p w14:paraId="5639E291">
      <w:pPr>
        <w:pStyle w:val="2"/>
        <w:rPr>
          <w:rFonts w:hint="eastAsia" w:ascii="宋体" w:hAnsi="宋体" w:eastAsia="宋体" w:cs="宋体"/>
          <w:b w:val="0"/>
          <w:bCs/>
          <w:lang w:val="en-US" w:eastAsia="zh-CN"/>
        </w:rPr>
      </w:pPr>
      <w:r>
        <w:rPr>
          <w:rFonts w:hint="eastAsia" w:ascii="宋体" w:hAnsi="宋体" w:eastAsia="宋体" w:cs="宋体"/>
          <w:b w:val="0"/>
          <w:bCs/>
          <w:lang w:val="en-US" w:eastAsia="zh-CN"/>
        </w:rPr>
        <w:t>在接到实验室关于服务安排、进度查询或问题咨询后，应在2个小时内予以实质性响应。对于检定不合格或校准结果不符合预期使用要求的设备，服务商应在2小时内正式通知实验室指定联系人，并提供专业的技术分析及后续处理建议。</w:t>
      </w:r>
    </w:p>
    <w:p w14:paraId="0BEA311C">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before="120" w:after="12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2、服务期限</w:t>
      </w:r>
    </w:p>
    <w:p w14:paraId="08B9D5C3">
      <w:pPr>
        <w:pStyle w:val="21"/>
        <w:keepNext w:val="0"/>
        <w:keepLines w:val="0"/>
        <w:pageBreakBefore w:val="0"/>
        <w:kinsoku/>
        <w:wordWrap/>
        <w:overflowPunct/>
        <w:topLinePunct w:val="0"/>
        <w:autoSpaceDE/>
        <w:autoSpaceDN/>
        <w:bidi w:val="0"/>
        <w:adjustRightInd/>
        <w:snapToGrid w:val="0"/>
        <w:spacing w:line="360" w:lineRule="auto"/>
        <w:ind w:firstLine="480" w:firstLineChars="200"/>
        <w:contextualSpacing/>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（1）自合同签订之日起至2026年12月31日止。（2）服务期内合同结算总金额达到3.5万元。以上两项条款任意一条达到期限则本项目终止。服务商应在此期限内完成所有批次的检定/校准工作及证书交付。</w:t>
      </w:r>
    </w:p>
    <w:p w14:paraId="6EE8656E">
      <w:pPr>
        <w:spacing w:line="520" w:lineRule="exact"/>
        <w:ind w:firstLine="482" w:firstLineChars="200"/>
        <w:rPr>
          <w:rFonts w:hint="eastAsia" w:ascii="宋体" w:hAnsi="宋体" w:cs="宋体"/>
          <w:b/>
          <w:sz w:val="24"/>
        </w:rPr>
      </w:pPr>
      <w:r>
        <w:rPr>
          <w:rFonts w:hint="eastAsia" w:ascii="宋体" w:hAnsi="宋体" w:cs="宋体"/>
          <w:b/>
          <w:sz w:val="24"/>
        </w:rPr>
        <w:t>（五）</w:t>
      </w:r>
      <w:r>
        <w:rPr>
          <w:rFonts w:hint="eastAsia" w:ascii="宋体" w:hAnsi="宋体" w:cs="宋体"/>
          <w:b/>
          <w:bCs/>
          <w:sz w:val="24"/>
        </w:rPr>
        <w:t>采购标的验收标准</w:t>
      </w:r>
    </w:p>
    <w:p w14:paraId="405DE99C">
      <w:pPr>
        <w:widowControl/>
        <w:shd w:val="clear" w:color="auto" w:fill="FFFFFF"/>
        <w:spacing w:line="360" w:lineRule="auto"/>
        <w:ind w:firstLine="496" w:firstLineChars="200"/>
        <w:jc w:val="left"/>
        <w:rPr>
          <w:rFonts w:hint="eastAsia" w:ascii="宋体" w:hAnsi="宋体" w:cs="宋体"/>
          <w:color w:val="000000"/>
          <w:spacing w:val="4"/>
          <w:kern w:val="0"/>
          <w:sz w:val="24"/>
          <w:highlight w:val="yellow"/>
          <w:shd w:val="clear" w:color="auto" w:fill="FFFFFF"/>
        </w:rPr>
      </w:pPr>
      <w:r>
        <w:rPr>
          <w:rFonts w:hint="eastAsia" w:ascii="宋体" w:hAnsi="宋体" w:cs="宋体"/>
          <w:color w:val="000000"/>
          <w:spacing w:val="4"/>
          <w:kern w:val="0"/>
          <w:sz w:val="24"/>
          <w:highlight w:val="none"/>
          <w:shd w:val="clear" w:color="auto" w:fill="FFFFFF"/>
        </w:rPr>
        <w:t>1、</w:t>
      </w:r>
      <w:r>
        <w:rPr>
          <w:rFonts w:hint="eastAsia" w:ascii="宋体" w:hAnsi="宋体" w:cs="宋体"/>
          <w:color w:val="000000"/>
          <w:spacing w:val="4"/>
          <w:kern w:val="0"/>
          <w:sz w:val="24"/>
          <w:highlight w:val="none"/>
          <w:shd w:val="clear" w:color="auto" w:fill="FFFFFF"/>
          <w:lang w:val="en-US" w:eastAsia="zh-CN"/>
        </w:rPr>
        <w:t>供应</w:t>
      </w:r>
      <w:r>
        <w:rPr>
          <w:rFonts w:hint="eastAsia" w:ascii="宋体" w:hAnsi="宋体" w:cs="宋体"/>
          <w:color w:val="000000"/>
          <w:spacing w:val="4"/>
          <w:kern w:val="0"/>
          <w:sz w:val="24"/>
          <w:highlight w:val="none"/>
          <w:shd w:val="clear" w:color="auto" w:fill="FFFFFF"/>
        </w:rPr>
        <w:t>商应在</w:t>
      </w:r>
      <w:r>
        <w:rPr>
          <w:rFonts w:hint="eastAsia" w:ascii="宋体" w:hAnsi="宋体" w:cs="宋体"/>
          <w:color w:val="000000"/>
          <w:spacing w:val="4"/>
          <w:kern w:val="0"/>
          <w:sz w:val="24"/>
          <w:highlight w:val="none"/>
          <w:shd w:val="clear" w:color="auto" w:fill="FFFFFF"/>
          <w:lang w:val="en-US" w:eastAsia="zh-CN"/>
        </w:rPr>
        <w:t>服务</w:t>
      </w:r>
      <w:r>
        <w:rPr>
          <w:rFonts w:hint="eastAsia" w:ascii="宋体" w:hAnsi="宋体" w:cs="宋体"/>
          <w:color w:val="000000"/>
          <w:spacing w:val="4"/>
          <w:kern w:val="0"/>
          <w:sz w:val="24"/>
          <w:highlight w:val="none"/>
          <w:shd w:val="clear" w:color="auto" w:fill="FFFFFF"/>
        </w:rPr>
        <w:t>期限内完成所有批次的检定/校准工作及证书交付。</w:t>
      </w:r>
    </w:p>
    <w:p w14:paraId="1E78D773">
      <w:pPr>
        <w:widowControl/>
        <w:shd w:val="clear" w:color="auto" w:fill="FFFFFF"/>
        <w:spacing w:line="360" w:lineRule="auto"/>
        <w:ind w:firstLine="496" w:firstLineChars="200"/>
        <w:jc w:val="left"/>
        <w:rPr>
          <w:rFonts w:hint="eastAsia" w:ascii="宋体" w:hAnsi="宋体" w:cs="宋体"/>
          <w:color w:val="000000"/>
          <w:spacing w:val="4"/>
          <w:kern w:val="0"/>
          <w:sz w:val="24"/>
          <w:highlight w:val="yellow"/>
        </w:rPr>
      </w:pPr>
      <w:r>
        <w:rPr>
          <w:rFonts w:hint="eastAsia" w:ascii="宋体" w:hAnsi="宋体" w:cs="宋体"/>
          <w:color w:val="000000"/>
          <w:spacing w:val="4"/>
          <w:kern w:val="0"/>
          <w:sz w:val="24"/>
          <w:shd w:val="clear" w:color="auto" w:fill="FFFFFF"/>
          <w:lang w:val="en-US" w:eastAsia="zh-CN"/>
        </w:rPr>
        <w:t>2、</w:t>
      </w:r>
      <w:r>
        <w:rPr>
          <w:rFonts w:hint="eastAsia" w:ascii="宋体" w:hAnsi="宋体" w:cs="宋体"/>
          <w:color w:val="000000"/>
          <w:spacing w:val="4"/>
          <w:kern w:val="0"/>
          <w:sz w:val="24"/>
          <w:shd w:val="clear" w:color="auto" w:fill="FFFFFF"/>
        </w:rPr>
        <w:t>出具的计量检定证书符合计量国家检定规程（JJG）</w:t>
      </w:r>
      <w:r>
        <w:rPr>
          <w:rFonts w:hint="eastAsia" w:ascii="宋体" w:hAnsi="宋体" w:cs="宋体"/>
          <w:color w:val="000000"/>
          <w:spacing w:val="4"/>
          <w:kern w:val="0"/>
          <w:sz w:val="24"/>
          <w:shd w:val="clear" w:color="auto" w:fill="FFFFFF"/>
          <w:lang w:eastAsia="zh-CN"/>
        </w:rPr>
        <w:t>。</w:t>
      </w:r>
    </w:p>
    <w:p w14:paraId="776283E2">
      <w:pPr>
        <w:widowControl/>
        <w:shd w:val="clear" w:color="auto" w:fill="FFFFFF"/>
        <w:spacing w:line="360" w:lineRule="auto"/>
        <w:jc w:val="left"/>
        <w:rPr>
          <w:rFonts w:ascii="宋体" w:hAnsi="宋体" w:cs="宋体"/>
          <w:color w:val="000000"/>
          <w:spacing w:val="4"/>
          <w:kern w:val="0"/>
          <w:sz w:val="24"/>
        </w:rPr>
      </w:pPr>
      <w:r>
        <w:rPr>
          <w:rFonts w:hint="eastAsia" w:ascii="宋体" w:hAnsi="宋体" w:cs="宋体"/>
          <w:color w:val="000000"/>
          <w:spacing w:val="4"/>
          <w:kern w:val="0"/>
          <w:sz w:val="24"/>
          <w:shd w:val="clear" w:color="auto" w:fill="FFFFFF"/>
        </w:rPr>
        <w:t>　　</w:t>
      </w:r>
      <w:r>
        <w:rPr>
          <w:rFonts w:hint="eastAsia" w:ascii="宋体" w:hAnsi="宋体" w:cs="宋体"/>
          <w:color w:val="000000"/>
          <w:spacing w:val="4"/>
          <w:kern w:val="0"/>
          <w:sz w:val="24"/>
          <w:shd w:val="clear" w:color="auto" w:fill="FFFFFF"/>
          <w:lang w:val="en-US" w:eastAsia="zh-CN"/>
        </w:rPr>
        <w:t>3</w:t>
      </w:r>
      <w:r>
        <w:rPr>
          <w:rFonts w:hint="eastAsia" w:ascii="宋体" w:hAnsi="宋体" w:cs="宋体"/>
          <w:color w:val="000000"/>
          <w:spacing w:val="4"/>
          <w:kern w:val="0"/>
          <w:sz w:val="24"/>
          <w:shd w:val="clear" w:color="auto" w:fill="FFFFFF"/>
        </w:rPr>
        <w:t>、出具的计量校准证书符合国家校准规范（JJF）。</w:t>
      </w:r>
    </w:p>
    <w:p w14:paraId="4B03FADE">
      <w:pPr>
        <w:widowControl/>
        <w:shd w:val="clear" w:color="auto" w:fill="FFFFFF"/>
        <w:spacing w:line="360" w:lineRule="auto"/>
        <w:jc w:val="left"/>
        <w:rPr>
          <w:rFonts w:ascii="宋体" w:hAnsi="宋体" w:cs="宋体"/>
          <w:color w:val="000000"/>
          <w:spacing w:val="4"/>
          <w:kern w:val="0"/>
          <w:sz w:val="24"/>
        </w:rPr>
      </w:pPr>
      <w:r>
        <w:rPr>
          <w:rFonts w:hint="eastAsia" w:ascii="宋体" w:hAnsi="宋体" w:cs="宋体"/>
          <w:color w:val="000000"/>
          <w:spacing w:val="4"/>
          <w:kern w:val="0"/>
          <w:sz w:val="24"/>
          <w:shd w:val="clear" w:color="auto" w:fill="FFFFFF"/>
        </w:rPr>
        <w:t>　　</w:t>
      </w:r>
      <w:r>
        <w:rPr>
          <w:rFonts w:hint="eastAsia" w:ascii="宋体" w:hAnsi="宋体" w:cs="宋体"/>
          <w:color w:val="000000"/>
          <w:spacing w:val="4"/>
          <w:kern w:val="0"/>
          <w:sz w:val="24"/>
          <w:shd w:val="clear" w:color="auto" w:fill="FFFFFF"/>
          <w:lang w:val="en-US" w:eastAsia="zh-CN"/>
        </w:rPr>
        <w:t>4</w:t>
      </w:r>
      <w:r>
        <w:rPr>
          <w:rFonts w:hint="eastAsia" w:ascii="宋体" w:hAnsi="宋体" w:cs="宋体"/>
          <w:color w:val="000000"/>
          <w:spacing w:val="4"/>
          <w:kern w:val="0"/>
          <w:sz w:val="24"/>
          <w:shd w:val="clear" w:color="auto" w:fill="FFFFFF"/>
        </w:rPr>
        <w:t>、检定/校准报告具备溯源标准、检定/校准依据文件、示值误差范围、修正值/修正因子。</w:t>
      </w:r>
    </w:p>
    <w:p w14:paraId="6A93C236">
      <w:pPr>
        <w:widowControl/>
        <w:shd w:val="clear" w:color="auto" w:fill="FFFFFF"/>
        <w:spacing w:line="360" w:lineRule="auto"/>
        <w:ind w:firstLine="496"/>
        <w:jc w:val="left"/>
        <w:rPr>
          <w:rFonts w:hint="eastAsia" w:ascii="宋体" w:hAnsi="宋体" w:cs="宋体"/>
          <w:color w:val="000000"/>
          <w:spacing w:val="4"/>
          <w:kern w:val="0"/>
          <w:sz w:val="24"/>
          <w:shd w:val="clear" w:color="auto" w:fill="FFFFFF"/>
        </w:rPr>
      </w:pPr>
      <w:r>
        <w:rPr>
          <w:rFonts w:hint="eastAsia" w:ascii="宋体" w:hAnsi="宋体" w:cs="宋体"/>
          <w:color w:val="000000"/>
          <w:spacing w:val="4"/>
          <w:kern w:val="0"/>
          <w:sz w:val="24"/>
          <w:shd w:val="clear" w:color="auto" w:fill="FFFFFF"/>
          <w:lang w:val="en-US" w:eastAsia="zh-CN"/>
        </w:rPr>
        <w:t>5</w:t>
      </w:r>
      <w:r>
        <w:rPr>
          <w:rFonts w:hint="eastAsia" w:ascii="宋体" w:hAnsi="宋体" w:cs="宋体"/>
          <w:color w:val="000000"/>
          <w:spacing w:val="4"/>
          <w:kern w:val="0"/>
          <w:sz w:val="24"/>
          <w:shd w:val="clear" w:color="auto" w:fill="FFFFFF"/>
        </w:rPr>
        <w:t>、计量器具检定/校准完毕后确保将检定/校准证书和合格标签完整交付实验室</w:t>
      </w:r>
      <w:r>
        <w:rPr>
          <w:rFonts w:hint="eastAsia" w:ascii="宋体" w:hAnsi="宋体" w:cs="宋体"/>
          <w:bCs/>
          <w:kern w:val="0"/>
          <w:sz w:val="24"/>
          <w:szCs w:val="22"/>
        </w:rPr>
        <w:t>仪器设备管理员</w:t>
      </w:r>
      <w:r>
        <w:rPr>
          <w:rFonts w:hint="eastAsia" w:ascii="宋体" w:hAnsi="宋体" w:cs="宋体"/>
          <w:color w:val="000000"/>
          <w:spacing w:val="4"/>
          <w:kern w:val="0"/>
          <w:sz w:val="24"/>
          <w:shd w:val="clear" w:color="auto" w:fill="FFFFFF"/>
        </w:rPr>
        <w:t>。</w:t>
      </w:r>
    </w:p>
    <w:p w14:paraId="12476670">
      <w:pPr>
        <w:spacing w:line="520" w:lineRule="exact"/>
        <w:ind w:firstLine="482" w:firstLineChars="200"/>
        <w:rPr>
          <w:rFonts w:hint="default" w:ascii="宋体" w:hAnsi="宋体" w:eastAsia="宋体" w:cs="宋体"/>
          <w:b/>
          <w:bCs/>
          <w:sz w:val="24"/>
          <w:lang w:val="en-US" w:eastAsia="zh-CN"/>
        </w:rPr>
      </w:pPr>
      <w:r>
        <w:rPr>
          <w:rFonts w:hint="eastAsia" w:ascii="宋体" w:hAnsi="宋体" w:cs="宋体"/>
          <w:b/>
          <w:sz w:val="24"/>
        </w:rPr>
        <w:t>（</w:t>
      </w:r>
      <w:r>
        <w:rPr>
          <w:rFonts w:hint="eastAsia" w:ascii="宋体" w:hAnsi="宋体" w:cs="宋体"/>
          <w:b/>
          <w:sz w:val="24"/>
          <w:lang w:val="en-US" w:eastAsia="zh-CN"/>
        </w:rPr>
        <w:t>六</w:t>
      </w:r>
      <w:r>
        <w:rPr>
          <w:rFonts w:hint="eastAsia" w:ascii="宋体" w:hAnsi="宋体" w:cs="宋体"/>
          <w:b/>
          <w:sz w:val="24"/>
        </w:rPr>
        <w:t>）</w:t>
      </w:r>
      <w:r>
        <w:rPr>
          <w:rFonts w:hint="eastAsia" w:ascii="宋体" w:hAnsi="宋体" w:cs="宋体"/>
          <w:b/>
          <w:bCs/>
          <w:sz w:val="24"/>
        </w:rPr>
        <w:t>采购标的</w:t>
      </w:r>
      <w:r>
        <w:rPr>
          <w:rFonts w:hint="eastAsia" w:ascii="宋体" w:hAnsi="宋体" w:cs="宋体"/>
          <w:b/>
          <w:bCs/>
          <w:sz w:val="24"/>
          <w:lang w:val="en-US" w:eastAsia="zh-CN"/>
        </w:rPr>
        <w:t>数量及限价</w:t>
      </w:r>
    </w:p>
    <w:tbl>
      <w:tblPr>
        <w:tblStyle w:val="15"/>
        <w:tblpPr w:leftFromText="180" w:rightFromText="180" w:vertAnchor="text" w:horzAnchor="page" w:tblpX="1615" w:tblpY="548"/>
        <w:tblOverlap w:val="never"/>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488"/>
        <w:gridCol w:w="1489"/>
        <w:gridCol w:w="693"/>
        <w:gridCol w:w="1175"/>
        <w:gridCol w:w="1950"/>
        <w:gridCol w:w="1350"/>
      </w:tblGrid>
      <w:tr w14:paraId="753EB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48" w:hRule="atLeast"/>
        </w:trPr>
        <w:tc>
          <w:tcPr>
            <w:tcW w:w="783" w:type="dxa"/>
            <w:noWrap w:val="0"/>
            <w:vAlign w:val="center"/>
          </w:tcPr>
          <w:p w14:paraId="21920DB6">
            <w:pPr>
              <w:pStyle w:val="20"/>
              <w:spacing w:before="61" w:line="184" w:lineRule="auto"/>
              <w:jc w:val="center"/>
              <w:rPr>
                <w:rFonts w:hint="eastAsia" w:ascii="宋体" w:hAnsi="宋体" w:eastAsia="宋体" w:cs="宋体"/>
                <w:spacing w:val="7"/>
                <w:sz w:val="24"/>
                <w:szCs w:val="24"/>
                <w:highlight w:val="none"/>
                <w:shd w:val="clear" w:color="auto" w:fill="FFFFFF"/>
                <w:vertAlign w:val="baseline"/>
                <w:lang w:val="en-US" w:eastAsia="zh-CN"/>
              </w:rPr>
            </w:pPr>
            <w:r>
              <w:rPr>
                <w:rFonts w:hint="eastAsia" w:ascii="宋体" w:hAnsi="宋体" w:eastAsia="宋体" w:cs="宋体"/>
                <w:b/>
                <w:bCs/>
                <w:sz w:val="24"/>
                <w:szCs w:val="24"/>
                <w:highlight w:val="none"/>
                <w:lang w:val="en-US" w:eastAsia="zh-CN"/>
              </w:rPr>
              <w:t>序号</w:t>
            </w:r>
          </w:p>
        </w:tc>
        <w:tc>
          <w:tcPr>
            <w:tcW w:w="1488" w:type="dxa"/>
            <w:noWrap w:val="0"/>
            <w:vAlign w:val="center"/>
          </w:tcPr>
          <w:p w14:paraId="2FDDE6DD">
            <w:pPr>
              <w:jc w:val="center"/>
              <w:rPr>
                <w:rFonts w:hint="eastAsia" w:ascii="宋体" w:hAnsi="宋体" w:eastAsia="宋体" w:cs="宋体"/>
                <w:spacing w:val="7"/>
                <w:sz w:val="24"/>
                <w:szCs w:val="24"/>
                <w:highlight w:val="none"/>
                <w:shd w:val="clear" w:color="auto" w:fill="FFFFFF"/>
                <w:vertAlign w:val="baseline"/>
                <w:lang w:val="en-US" w:eastAsia="zh-CN"/>
              </w:rPr>
            </w:pPr>
            <w:r>
              <w:rPr>
                <w:rFonts w:hint="eastAsia" w:ascii="宋体" w:hAnsi="宋体" w:eastAsia="宋体" w:cs="宋体"/>
                <w:b/>
                <w:bCs/>
                <w:sz w:val="24"/>
                <w:szCs w:val="24"/>
                <w:highlight w:val="none"/>
                <w:lang w:val="en-US" w:eastAsia="zh-CN"/>
              </w:rPr>
              <w:t>仪器</w:t>
            </w:r>
            <w:r>
              <w:rPr>
                <w:rFonts w:hint="eastAsia" w:ascii="宋体" w:hAnsi="宋体" w:eastAsia="宋体" w:cs="宋体"/>
                <w:b/>
                <w:bCs/>
                <w:sz w:val="24"/>
                <w:szCs w:val="24"/>
                <w:highlight w:val="none"/>
              </w:rPr>
              <w:t>名称</w:t>
            </w:r>
          </w:p>
        </w:tc>
        <w:tc>
          <w:tcPr>
            <w:tcW w:w="1489" w:type="dxa"/>
            <w:noWrap w:val="0"/>
            <w:vAlign w:val="center"/>
          </w:tcPr>
          <w:p w14:paraId="45B35E79">
            <w:pPr>
              <w:jc w:val="center"/>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仪器型号</w:t>
            </w:r>
          </w:p>
        </w:tc>
        <w:tc>
          <w:tcPr>
            <w:tcW w:w="693" w:type="dxa"/>
            <w:noWrap w:val="0"/>
            <w:vAlign w:val="center"/>
          </w:tcPr>
          <w:p w14:paraId="0E62F75A">
            <w:pPr>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套数</w:t>
            </w:r>
          </w:p>
        </w:tc>
        <w:tc>
          <w:tcPr>
            <w:tcW w:w="1175" w:type="dxa"/>
            <w:noWrap w:val="0"/>
            <w:vAlign w:val="center"/>
          </w:tcPr>
          <w:p w14:paraId="3DC03842">
            <w:pPr>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证书形式</w:t>
            </w:r>
          </w:p>
        </w:tc>
        <w:tc>
          <w:tcPr>
            <w:tcW w:w="1950" w:type="dxa"/>
            <w:noWrap w:val="0"/>
            <w:vAlign w:val="center"/>
          </w:tcPr>
          <w:p w14:paraId="1BF723B4">
            <w:pPr>
              <w:jc w:val="center"/>
              <w:rPr>
                <w:rFonts w:hint="eastAsia" w:ascii="宋体" w:hAnsi="宋体" w:eastAsia="宋体" w:cs="宋体"/>
                <w:spacing w:val="7"/>
                <w:sz w:val="24"/>
                <w:szCs w:val="24"/>
                <w:highlight w:val="none"/>
                <w:shd w:val="clear" w:color="auto" w:fill="FFFFFF"/>
                <w:vertAlign w:val="baseline"/>
                <w:lang w:val="en-US" w:eastAsia="zh-CN"/>
              </w:rPr>
            </w:pPr>
            <w:r>
              <w:rPr>
                <w:rFonts w:hint="eastAsia" w:ascii="宋体" w:hAnsi="宋体" w:eastAsia="宋体" w:cs="宋体"/>
                <w:b/>
                <w:bCs/>
                <w:sz w:val="24"/>
                <w:szCs w:val="24"/>
                <w:highlight w:val="none"/>
              </w:rPr>
              <w:t>依据检定规程编号</w:t>
            </w:r>
          </w:p>
        </w:tc>
        <w:tc>
          <w:tcPr>
            <w:tcW w:w="1350" w:type="dxa"/>
            <w:noWrap w:val="0"/>
            <w:vAlign w:val="center"/>
          </w:tcPr>
          <w:p w14:paraId="1F473CC9">
            <w:pPr>
              <w:jc w:val="center"/>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单价最高限价（元/套次）</w:t>
            </w:r>
          </w:p>
        </w:tc>
      </w:tr>
      <w:tr w14:paraId="26F33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3" w:type="dxa"/>
            <w:noWrap w:val="0"/>
            <w:vAlign w:val="center"/>
          </w:tcPr>
          <w:p w14:paraId="7E0355EB">
            <w:pPr>
              <w:pStyle w:val="20"/>
              <w:spacing w:before="61" w:line="184" w:lineRule="auto"/>
              <w:jc w:val="center"/>
              <w:rPr>
                <w:rFonts w:hint="eastAsia" w:ascii="宋体" w:hAnsi="宋体" w:eastAsia="宋体" w:cs="宋体"/>
                <w:spacing w:val="7"/>
                <w:sz w:val="21"/>
                <w:szCs w:val="21"/>
                <w:highlight w:val="none"/>
                <w:shd w:val="clear" w:color="auto" w:fill="FFFFFF"/>
                <w:vertAlign w:val="baseline"/>
                <w:lang w:val="en-US" w:eastAsia="zh-CN"/>
              </w:rPr>
            </w:pPr>
            <w:r>
              <w:rPr>
                <w:rFonts w:hint="eastAsia" w:ascii="宋体" w:hAnsi="宋体" w:eastAsia="宋体" w:cs="宋体"/>
                <w:sz w:val="21"/>
                <w:szCs w:val="21"/>
                <w:highlight w:val="none"/>
                <w:lang w:val="en-US" w:eastAsia="zh-CN"/>
              </w:rPr>
              <w:t>1</w:t>
            </w:r>
          </w:p>
        </w:tc>
        <w:tc>
          <w:tcPr>
            <w:tcW w:w="1488" w:type="dxa"/>
            <w:noWrap w:val="0"/>
            <w:vAlign w:val="center"/>
          </w:tcPr>
          <w:p w14:paraId="5D4D9D09">
            <w:pPr>
              <w:jc w:val="center"/>
              <w:rPr>
                <w:rFonts w:hint="eastAsia" w:ascii="宋体" w:hAnsi="宋体" w:eastAsia="宋体" w:cs="宋体"/>
                <w:spacing w:val="7"/>
                <w:sz w:val="21"/>
                <w:szCs w:val="21"/>
                <w:highlight w:val="none"/>
                <w:shd w:val="clear" w:color="auto" w:fill="FFFFFF"/>
                <w:vertAlign w:val="baseline"/>
                <w:lang w:val="en-US" w:eastAsia="zh-CN"/>
              </w:rPr>
            </w:pPr>
            <w:r>
              <w:rPr>
                <w:rFonts w:hint="eastAsia" w:ascii="宋体" w:hAnsi="宋体" w:eastAsia="宋体" w:cs="宋体"/>
                <w:sz w:val="21"/>
                <w:szCs w:val="21"/>
                <w:highlight w:val="none"/>
              </w:rPr>
              <w:t>气相色谱仪</w:t>
            </w:r>
          </w:p>
        </w:tc>
        <w:tc>
          <w:tcPr>
            <w:tcW w:w="1489" w:type="dxa"/>
            <w:noWrap w:val="0"/>
            <w:vAlign w:val="center"/>
          </w:tcPr>
          <w:p w14:paraId="72B5CF46">
            <w:pPr>
              <w:keepNext w:val="0"/>
              <w:keepLines w:val="0"/>
              <w:pageBreakBefore w:val="0"/>
              <w:widowControl/>
              <w:suppressLineNumbers w:val="0"/>
              <w:kinsoku/>
              <w:wordWrap/>
              <w:overflowPunct/>
              <w:topLinePunct w:val="0"/>
              <w:autoSpaceDE/>
              <w:autoSpaceDN/>
              <w:bidi w:val="0"/>
              <w:adjustRightInd/>
              <w:spacing w:line="240" w:lineRule="auto"/>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szCs w:val="21"/>
                <w:lang w:val="en-US" w:eastAsia="zh-CN"/>
              </w:rPr>
              <w:t>岛津</w:t>
            </w:r>
            <w:r>
              <w:rPr>
                <w:rFonts w:hint="eastAsia" w:ascii="宋体" w:hAnsi="宋体" w:eastAsia="宋体" w:cs="宋体"/>
                <w:szCs w:val="21"/>
              </w:rPr>
              <w:t>GC-2010</w:t>
            </w:r>
          </w:p>
        </w:tc>
        <w:tc>
          <w:tcPr>
            <w:tcW w:w="693" w:type="dxa"/>
            <w:noWrap w:val="0"/>
            <w:vAlign w:val="center"/>
          </w:tcPr>
          <w:p w14:paraId="6F01E28D">
            <w:pPr>
              <w:keepNext w:val="0"/>
              <w:keepLines w:val="0"/>
              <w:pageBreakBefore w:val="0"/>
              <w:widowControl/>
              <w:suppressLineNumbers w:val="0"/>
              <w:kinsoku/>
              <w:wordWrap/>
              <w:overflowPunct/>
              <w:topLinePunct w:val="0"/>
              <w:autoSpaceDE/>
              <w:autoSpaceDN/>
              <w:bidi w:val="0"/>
              <w:adjustRightInd/>
              <w:spacing w:line="240" w:lineRule="auto"/>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1175" w:type="dxa"/>
            <w:noWrap w:val="0"/>
            <w:vAlign w:val="center"/>
          </w:tcPr>
          <w:p w14:paraId="6CFA2A4A">
            <w:pPr>
              <w:keepNext w:val="0"/>
              <w:keepLines w:val="0"/>
              <w:pageBreakBefore w:val="0"/>
              <w:widowControl/>
              <w:suppressLineNumbers w:val="0"/>
              <w:kinsoku/>
              <w:wordWrap/>
              <w:overflowPunct/>
              <w:topLinePunct w:val="0"/>
              <w:autoSpaceDE/>
              <w:autoSpaceDN/>
              <w:bidi w:val="0"/>
              <w:adjustRightInd/>
              <w:spacing w:line="240" w:lineRule="auto"/>
              <w:jc w:val="center"/>
              <w:textAlignment w:val="bottom"/>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校准</w:t>
            </w:r>
          </w:p>
        </w:tc>
        <w:tc>
          <w:tcPr>
            <w:tcW w:w="1950" w:type="dxa"/>
            <w:noWrap w:val="0"/>
            <w:vAlign w:val="center"/>
          </w:tcPr>
          <w:p w14:paraId="002ECFB7">
            <w:pPr>
              <w:jc w:val="center"/>
              <w:rPr>
                <w:rFonts w:hint="eastAsia" w:ascii="宋体" w:hAnsi="宋体" w:eastAsia="宋体" w:cs="宋体"/>
                <w:spacing w:val="7"/>
                <w:sz w:val="21"/>
                <w:szCs w:val="21"/>
                <w:highlight w:val="none"/>
                <w:shd w:val="clear" w:color="auto" w:fill="FFFFFF"/>
                <w:vertAlign w:val="baseline"/>
                <w:lang w:val="en-US" w:eastAsia="zh-CN"/>
              </w:rPr>
            </w:pPr>
            <w:r>
              <w:rPr>
                <w:rFonts w:hint="eastAsia" w:ascii="宋体" w:hAnsi="宋体" w:eastAsia="宋体" w:cs="宋体"/>
                <w:sz w:val="21"/>
                <w:szCs w:val="21"/>
                <w:highlight w:val="none"/>
              </w:rPr>
              <w:t>JJG 700-2016《气相色谱仪检定规程》</w:t>
            </w:r>
          </w:p>
        </w:tc>
        <w:tc>
          <w:tcPr>
            <w:tcW w:w="1350" w:type="dxa"/>
            <w:noWrap w:val="0"/>
            <w:vAlign w:val="center"/>
          </w:tcPr>
          <w:p w14:paraId="3C5B683D">
            <w:pPr>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1000</w:t>
            </w:r>
          </w:p>
        </w:tc>
      </w:tr>
      <w:tr w14:paraId="6BA79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3" w:type="dxa"/>
            <w:noWrap w:val="0"/>
            <w:vAlign w:val="center"/>
          </w:tcPr>
          <w:p w14:paraId="507B49C1">
            <w:pPr>
              <w:pStyle w:val="20"/>
              <w:spacing w:before="61" w:line="184" w:lineRule="auto"/>
              <w:jc w:val="center"/>
              <w:rPr>
                <w:rFonts w:hint="default" w:ascii="宋体" w:hAnsi="宋体" w:eastAsia="宋体" w:cs="宋体"/>
                <w:sz w:val="21"/>
                <w:szCs w:val="21"/>
                <w:highlight w:val="none"/>
                <w:lang w:val="en-US" w:eastAsia="zh-CN"/>
              </w:rPr>
            </w:pPr>
            <w:r>
              <w:rPr>
                <w:rFonts w:hint="eastAsia" w:cs="宋体"/>
                <w:sz w:val="21"/>
                <w:szCs w:val="21"/>
                <w:highlight w:val="none"/>
                <w:lang w:val="en-US" w:eastAsia="zh-CN"/>
              </w:rPr>
              <w:t>2</w:t>
            </w:r>
          </w:p>
        </w:tc>
        <w:tc>
          <w:tcPr>
            <w:tcW w:w="1488" w:type="dxa"/>
            <w:noWrap w:val="0"/>
            <w:vAlign w:val="center"/>
          </w:tcPr>
          <w:p w14:paraId="7C36833E">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气相色谱仪</w:t>
            </w:r>
          </w:p>
        </w:tc>
        <w:tc>
          <w:tcPr>
            <w:tcW w:w="1489" w:type="dxa"/>
            <w:noWrap w:val="0"/>
            <w:vAlign w:val="center"/>
          </w:tcPr>
          <w:p w14:paraId="3B8B73E3">
            <w:pPr>
              <w:keepNext w:val="0"/>
              <w:keepLines w:val="0"/>
              <w:pageBreakBefore w:val="0"/>
              <w:widowControl/>
              <w:suppressLineNumbers w:val="0"/>
              <w:kinsoku/>
              <w:wordWrap/>
              <w:overflowPunct/>
              <w:topLinePunct w:val="0"/>
              <w:autoSpaceDE/>
              <w:autoSpaceDN/>
              <w:bidi w:val="0"/>
              <w:adjustRightInd/>
              <w:spacing w:line="240" w:lineRule="auto"/>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szCs w:val="21"/>
                <w:lang w:val="en-US" w:eastAsia="zh-CN"/>
              </w:rPr>
              <w:t>安捷伦</w:t>
            </w:r>
            <w:r>
              <w:rPr>
                <w:rFonts w:hint="eastAsia" w:ascii="宋体" w:hAnsi="宋体" w:eastAsia="宋体" w:cs="宋体"/>
                <w:szCs w:val="21"/>
              </w:rPr>
              <w:t>8890</w:t>
            </w:r>
          </w:p>
        </w:tc>
        <w:tc>
          <w:tcPr>
            <w:tcW w:w="693" w:type="dxa"/>
            <w:noWrap w:val="0"/>
            <w:vAlign w:val="center"/>
          </w:tcPr>
          <w:p w14:paraId="48195355">
            <w:pPr>
              <w:keepNext w:val="0"/>
              <w:keepLines w:val="0"/>
              <w:pageBreakBefore w:val="0"/>
              <w:widowControl/>
              <w:suppressLineNumbers w:val="0"/>
              <w:kinsoku/>
              <w:wordWrap/>
              <w:overflowPunct/>
              <w:topLinePunct w:val="0"/>
              <w:autoSpaceDE/>
              <w:autoSpaceDN/>
              <w:bidi w:val="0"/>
              <w:adjustRightInd/>
              <w:spacing w:line="240" w:lineRule="auto"/>
              <w:jc w:val="center"/>
              <w:textAlignment w:val="bottom"/>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1175" w:type="dxa"/>
            <w:noWrap w:val="0"/>
            <w:vAlign w:val="center"/>
          </w:tcPr>
          <w:p w14:paraId="1271AE29">
            <w:pPr>
              <w:keepNext w:val="0"/>
              <w:keepLines w:val="0"/>
              <w:pageBreakBefore w:val="0"/>
              <w:widowControl/>
              <w:suppressLineNumbers w:val="0"/>
              <w:kinsoku/>
              <w:wordWrap/>
              <w:overflowPunct/>
              <w:topLinePunct w:val="0"/>
              <w:autoSpaceDE/>
              <w:autoSpaceDN/>
              <w:bidi w:val="0"/>
              <w:adjustRightInd/>
              <w:spacing w:line="240" w:lineRule="auto"/>
              <w:jc w:val="center"/>
              <w:textAlignment w:val="bottom"/>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校准</w:t>
            </w:r>
          </w:p>
        </w:tc>
        <w:tc>
          <w:tcPr>
            <w:tcW w:w="1950" w:type="dxa"/>
            <w:noWrap w:val="0"/>
            <w:vAlign w:val="center"/>
          </w:tcPr>
          <w:p w14:paraId="115E1443">
            <w:pPr>
              <w:jc w:val="center"/>
              <w:rPr>
                <w:rFonts w:hint="eastAsia" w:ascii="宋体" w:hAnsi="宋体" w:eastAsia="宋体" w:cs="宋体"/>
                <w:spacing w:val="7"/>
                <w:kern w:val="2"/>
                <w:sz w:val="21"/>
                <w:szCs w:val="21"/>
                <w:highlight w:val="none"/>
                <w:shd w:val="clear" w:color="auto" w:fill="FFFFFF"/>
                <w:vertAlign w:val="baseline"/>
                <w:lang w:val="en-US" w:eastAsia="zh-CN" w:bidi="ar-SA"/>
              </w:rPr>
            </w:pPr>
            <w:r>
              <w:rPr>
                <w:rFonts w:hint="eastAsia" w:ascii="宋体" w:hAnsi="宋体" w:eastAsia="宋体" w:cs="宋体"/>
                <w:sz w:val="21"/>
                <w:szCs w:val="21"/>
                <w:highlight w:val="none"/>
              </w:rPr>
              <w:t>JJG 700-2016《气相色谱仪检定规程》</w:t>
            </w:r>
          </w:p>
        </w:tc>
        <w:tc>
          <w:tcPr>
            <w:tcW w:w="1350" w:type="dxa"/>
            <w:noWrap w:val="0"/>
            <w:vAlign w:val="center"/>
          </w:tcPr>
          <w:p w14:paraId="41C760E4">
            <w:pPr>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1000</w:t>
            </w:r>
          </w:p>
        </w:tc>
      </w:tr>
      <w:tr w14:paraId="73A37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83" w:type="dxa"/>
            <w:noWrap w:val="0"/>
            <w:vAlign w:val="center"/>
          </w:tcPr>
          <w:p w14:paraId="13EC9FC5">
            <w:pPr>
              <w:pStyle w:val="20"/>
              <w:spacing w:before="61" w:line="183" w:lineRule="auto"/>
              <w:jc w:val="center"/>
              <w:rPr>
                <w:rFonts w:hint="eastAsia" w:ascii="宋体" w:hAnsi="宋体" w:eastAsia="宋体" w:cs="宋体"/>
                <w:spacing w:val="7"/>
                <w:sz w:val="21"/>
                <w:szCs w:val="21"/>
                <w:highlight w:val="none"/>
                <w:shd w:val="clear" w:color="auto" w:fill="FFFFFF"/>
                <w:vertAlign w:val="baseline"/>
                <w:lang w:val="en-US" w:eastAsia="zh-CN"/>
              </w:rPr>
            </w:pPr>
            <w:r>
              <w:rPr>
                <w:rFonts w:hint="eastAsia" w:cs="宋体"/>
                <w:sz w:val="21"/>
                <w:szCs w:val="21"/>
                <w:highlight w:val="none"/>
                <w:lang w:val="en-US" w:eastAsia="zh-CN"/>
              </w:rPr>
              <w:t>3</w:t>
            </w:r>
          </w:p>
        </w:tc>
        <w:tc>
          <w:tcPr>
            <w:tcW w:w="1488" w:type="dxa"/>
            <w:noWrap w:val="0"/>
            <w:vAlign w:val="center"/>
          </w:tcPr>
          <w:p w14:paraId="6203375B">
            <w:pPr>
              <w:jc w:val="center"/>
              <w:rPr>
                <w:rFonts w:hint="eastAsia" w:ascii="宋体" w:hAnsi="宋体" w:eastAsia="宋体" w:cs="宋体"/>
                <w:spacing w:val="7"/>
                <w:sz w:val="21"/>
                <w:szCs w:val="21"/>
                <w:highlight w:val="none"/>
                <w:shd w:val="clear" w:color="auto" w:fill="FFFFFF"/>
                <w:vertAlign w:val="baseline"/>
                <w:lang w:val="en-US" w:eastAsia="zh-CN"/>
              </w:rPr>
            </w:pPr>
            <w:r>
              <w:rPr>
                <w:rFonts w:hint="eastAsia" w:ascii="宋体" w:hAnsi="宋体" w:eastAsia="宋体" w:cs="宋体"/>
                <w:sz w:val="21"/>
                <w:szCs w:val="21"/>
                <w:highlight w:val="none"/>
              </w:rPr>
              <w:t>原子荧光光度计</w:t>
            </w:r>
          </w:p>
        </w:tc>
        <w:tc>
          <w:tcPr>
            <w:tcW w:w="1489" w:type="dxa"/>
            <w:noWrap w:val="0"/>
            <w:vAlign w:val="center"/>
          </w:tcPr>
          <w:p w14:paraId="5D03E8F9">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szCs w:val="21"/>
                <w:lang w:val="en-US" w:eastAsia="zh-CN"/>
              </w:rPr>
              <w:t>吉天</w:t>
            </w:r>
            <w:r>
              <w:rPr>
                <w:rFonts w:hint="eastAsia" w:ascii="宋体" w:hAnsi="宋体" w:eastAsia="宋体" w:cs="宋体"/>
                <w:szCs w:val="21"/>
              </w:rPr>
              <w:t>AFS-933</w:t>
            </w:r>
          </w:p>
        </w:tc>
        <w:tc>
          <w:tcPr>
            <w:tcW w:w="693" w:type="dxa"/>
            <w:noWrap w:val="0"/>
            <w:vAlign w:val="center"/>
          </w:tcPr>
          <w:p w14:paraId="7CFAE628">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1175" w:type="dxa"/>
            <w:noWrap w:val="0"/>
            <w:vAlign w:val="center"/>
          </w:tcPr>
          <w:p w14:paraId="2802DB52">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校准</w:t>
            </w:r>
          </w:p>
        </w:tc>
        <w:tc>
          <w:tcPr>
            <w:tcW w:w="1950" w:type="dxa"/>
            <w:noWrap w:val="0"/>
            <w:vAlign w:val="center"/>
          </w:tcPr>
          <w:p w14:paraId="305690EE">
            <w:pPr>
              <w:jc w:val="center"/>
              <w:rPr>
                <w:rFonts w:hint="eastAsia" w:ascii="宋体" w:hAnsi="宋体" w:eastAsia="宋体" w:cs="宋体"/>
                <w:spacing w:val="7"/>
                <w:sz w:val="21"/>
                <w:szCs w:val="21"/>
                <w:highlight w:val="none"/>
                <w:shd w:val="clear" w:color="auto" w:fill="FFFFFF"/>
                <w:vertAlign w:val="baseline"/>
                <w:lang w:val="en-US" w:eastAsia="zh-CN"/>
              </w:rPr>
            </w:pPr>
            <w:r>
              <w:rPr>
                <w:rFonts w:hint="eastAsia" w:ascii="宋体" w:hAnsi="宋体" w:eastAsia="宋体" w:cs="宋体"/>
                <w:sz w:val="21"/>
                <w:szCs w:val="21"/>
                <w:highlight w:val="none"/>
              </w:rPr>
              <w:t>JJG 939-2009《原子荧光光度计检定规程》</w:t>
            </w:r>
          </w:p>
        </w:tc>
        <w:tc>
          <w:tcPr>
            <w:tcW w:w="1350" w:type="dxa"/>
            <w:noWrap w:val="0"/>
            <w:vAlign w:val="center"/>
          </w:tcPr>
          <w:p w14:paraId="60DF16F0">
            <w:pPr>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900</w:t>
            </w:r>
          </w:p>
        </w:tc>
      </w:tr>
      <w:tr w14:paraId="3B8A2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83" w:type="dxa"/>
            <w:noWrap w:val="0"/>
            <w:vAlign w:val="center"/>
          </w:tcPr>
          <w:p w14:paraId="5ED76186">
            <w:pPr>
              <w:pStyle w:val="20"/>
              <w:spacing w:before="61" w:line="183" w:lineRule="auto"/>
              <w:jc w:val="center"/>
              <w:rPr>
                <w:rFonts w:hint="default" w:ascii="宋体" w:hAnsi="宋体" w:eastAsia="宋体" w:cs="宋体"/>
                <w:sz w:val="21"/>
                <w:szCs w:val="21"/>
                <w:highlight w:val="none"/>
                <w:lang w:val="en-US" w:eastAsia="zh-CN"/>
              </w:rPr>
            </w:pPr>
            <w:r>
              <w:rPr>
                <w:rFonts w:hint="eastAsia" w:cs="宋体"/>
                <w:sz w:val="21"/>
                <w:szCs w:val="21"/>
                <w:highlight w:val="none"/>
                <w:lang w:val="en-US" w:eastAsia="zh-CN"/>
              </w:rPr>
              <w:t>4</w:t>
            </w:r>
          </w:p>
        </w:tc>
        <w:tc>
          <w:tcPr>
            <w:tcW w:w="1488" w:type="dxa"/>
            <w:noWrap w:val="0"/>
            <w:vAlign w:val="center"/>
          </w:tcPr>
          <w:p w14:paraId="6BBAF51E">
            <w:pPr>
              <w:jc w:val="center"/>
              <w:rPr>
                <w:rFonts w:hint="eastAsia" w:ascii="宋体" w:hAnsi="宋体" w:eastAsia="宋体" w:cs="宋体"/>
                <w:spacing w:val="7"/>
                <w:kern w:val="2"/>
                <w:sz w:val="21"/>
                <w:szCs w:val="21"/>
                <w:highlight w:val="none"/>
                <w:shd w:val="clear" w:color="auto" w:fill="FFFFFF"/>
                <w:vertAlign w:val="baseline"/>
                <w:lang w:val="en-US" w:eastAsia="zh-CN" w:bidi="ar-SA"/>
              </w:rPr>
            </w:pPr>
            <w:r>
              <w:rPr>
                <w:rFonts w:hint="eastAsia" w:ascii="宋体" w:hAnsi="宋体" w:eastAsia="宋体" w:cs="宋体"/>
                <w:sz w:val="21"/>
                <w:szCs w:val="21"/>
                <w:highlight w:val="none"/>
              </w:rPr>
              <w:t>原子荧光光度计</w:t>
            </w:r>
          </w:p>
        </w:tc>
        <w:tc>
          <w:tcPr>
            <w:tcW w:w="1489" w:type="dxa"/>
            <w:noWrap w:val="0"/>
            <w:vAlign w:val="center"/>
          </w:tcPr>
          <w:p w14:paraId="3675690C">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szCs w:val="21"/>
                <w:lang w:val="en-US" w:eastAsia="zh-CN"/>
              </w:rPr>
              <w:t>吉天</w:t>
            </w:r>
            <w:r>
              <w:rPr>
                <w:rFonts w:hint="eastAsia" w:ascii="宋体" w:hAnsi="宋体" w:eastAsia="宋体" w:cs="宋体"/>
                <w:szCs w:val="21"/>
              </w:rPr>
              <w:t>AFS-11B</w:t>
            </w:r>
          </w:p>
        </w:tc>
        <w:tc>
          <w:tcPr>
            <w:tcW w:w="693" w:type="dxa"/>
            <w:noWrap w:val="0"/>
            <w:vAlign w:val="center"/>
          </w:tcPr>
          <w:p w14:paraId="2AA0327F">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1175" w:type="dxa"/>
            <w:noWrap w:val="0"/>
            <w:vAlign w:val="center"/>
          </w:tcPr>
          <w:p w14:paraId="4B479502">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校准</w:t>
            </w:r>
          </w:p>
        </w:tc>
        <w:tc>
          <w:tcPr>
            <w:tcW w:w="1950" w:type="dxa"/>
            <w:noWrap w:val="0"/>
            <w:vAlign w:val="center"/>
          </w:tcPr>
          <w:p w14:paraId="09EEB405">
            <w:pPr>
              <w:jc w:val="center"/>
              <w:rPr>
                <w:rFonts w:hint="eastAsia" w:ascii="宋体" w:hAnsi="宋体" w:eastAsia="宋体" w:cs="宋体"/>
                <w:spacing w:val="7"/>
                <w:kern w:val="2"/>
                <w:sz w:val="21"/>
                <w:szCs w:val="21"/>
                <w:highlight w:val="none"/>
                <w:shd w:val="clear" w:color="auto" w:fill="FFFFFF"/>
                <w:vertAlign w:val="baseline"/>
                <w:lang w:val="en-US" w:eastAsia="zh-CN" w:bidi="ar-SA"/>
              </w:rPr>
            </w:pPr>
            <w:r>
              <w:rPr>
                <w:rFonts w:hint="eastAsia" w:ascii="宋体" w:hAnsi="宋体" w:eastAsia="宋体" w:cs="宋体"/>
                <w:sz w:val="21"/>
                <w:szCs w:val="21"/>
                <w:highlight w:val="none"/>
              </w:rPr>
              <w:t>JJG 939-2009《原子荧光光度计检定规程》</w:t>
            </w:r>
          </w:p>
        </w:tc>
        <w:tc>
          <w:tcPr>
            <w:tcW w:w="1350" w:type="dxa"/>
            <w:noWrap w:val="0"/>
            <w:vAlign w:val="center"/>
          </w:tcPr>
          <w:p w14:paraId="28174B84">
            <w:pPr>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900</w:t>
            </w:r>
          </w:p>
        </w:tc>
      </w:tr>
      <w:tr w14:paraId="2CD88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3" w:type="dxa"/>
            <w:noWrap w:val="0"/>
            <w:vAlign w:val="center"/>
          </w:tcPr>
          <w:p w14:paraId="6BD18CFA">
            <w:pPr>
              <w:pStyle w:val="20"/>
              <w:spacing w:before="263" w:line="184" w:lineRule="auto"/>
              <w:jc w:val="center"/>
              <w:rPr>
                <w:rFonts w:hint="eastAsia" w:ascii="宋体" w:hAnsi="宋体" w:eastAsia="宋体" w:cs="宋体"/>
                <w:spacing w:val="7"/>
                <w:sz w:val="21"/>
                <w:szCs w:val="21"/>
                <w:highlight w:val="none"/>
                <w:shd w:val="clear" w:color="auto" w:fill="FFFFFF"/>
                <w:vertAlign w:val="baseline"/>
                <w:lang w:val="en-US" w:eastAsia="zh-CN"/>
              </w:rPr>
            </w:pPr>
            <w:r>
              <w:rPr>
                <w:rFonts w:hint="eastAsia" w:cs="宋体"/>
                <w:sz w:val="21"/>
                <w:szCs w:val="21"/>
                <w:highlight w:val="none"/>
                <w:lang w:val="en-US" w:eastAsia="zh-CN"/>
              </w:rPr>
              <w:t>5</w:t>
            </w:r>
          </w:p>
        </w:tc>
        <w:tc>
          <w:tcPr>
            <w:tcW w:w="1488" w:type="dxa"/>
            <w:noWrap w:val="0"/>
            <w:vAlign w:val="center"/>
          </w:tcPr>
          <w:p w14:paraId="36BB6D02">
            <w:pPr>
              <w:jc w:val="center"/>
              <w:rPr>
                <w:rFonts w:hint="eastAsia" w:ascii="宋体" w:hAnsi="宋体" w:eastAsia="宋体" w:cs="宋体"/>
                <w:spacing w:val="7"/>
                <w:sz w:val="21"/>
                <w:szCs w:val="21"/>
                <w:highlight w:val="none"/>
                <w:shd w:val="clear" w:color="auto" w:fill="FFFFFF"/>
                <w:vertAlign w:val="baseline"/>
                <w:lang w:val="en-US" w:eastAsia="zh-CN"/>
              </w:rPr>
            </w:pPr>
            <w:r>
              <w:rPr>
                <w:rFonts w:hint="eastAsia" w:ascii="宋体" w:hAnsi="宋体" w:eastAsia="宋体" w:cs="宋体"/>
                <w:sz w:val="21"/>
                <w:szCs w:val="21"/>
                <w:highlight w:val="none"/>
              </w:rPr>
              <w:t>原子吸收分光光度计</w:t>
            </w:r>
          </w:p>
        </w:tc>
        <w:tc>
          <w:tcPr>
            <w:tcW w:w="1489" w:type="dxa"/>
            <w:noWrap w:val="0"/>
            <w:vAlign w:val="center"/>
          </w:tcPr>
          <w:p w14:paraId="4B3D8939">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szCs w:val="21"/>
                <w:lang w:val="en-US" w:eastAsia="zh-CN"/>
              </w:rPr>
              <w:t>瓦里安</w:t>
            </w:r>
            <w:r>
              <w:rPr>
                <w:rFonts w:hint="eastAsia" w:ascii="宋体" w:hAnsi="宋体" w:eastAsia="宋体" w:cs="宋体"/>
                <w:szCs w:val="21"/>
              </w:rPr>
              <w:t>AA-240</w:t>
            </w:r>
          </w:p>
        </w:tc>
        <w:tc>
          <w:tcPr>
            <w:tcW w:w="693" w:type="dxa"/>
            <w:noWrap w:val="0"/>
            <w:vAlign w:val="center"/>
          </w:tcPr>
          <w:p w14:paraId="2B25B40B">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1175" w:type="dxa"/>
            <w:noWrap w:val="0"/>
            <w:vAlign w:val="center"/>
          </w:tcPr>
          <w:p w14:paraId="699DEDCB">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校准</w:t>
            </w:r>
          </w:p>
        </w:tc>
        <w:tc>
          <w:tcPr>
            <w:tcW w:w="1950" w:type="dxa"/>
            <w:noWrap w:val="0"/>
            <w:vAlign w:val="center"/>
          </w:tcPr>
          <w:p w14:paraId="58031327">
            <w:pPr>
              <w:jc w:val="center"/>
              <w:rPr>
                <w:rFonts w:hint="eastAsia" w:ascii="宋体" w:hAnsi="宋体" w:eastAsia="宋体" w:cs="宋体"/>
                <w:spacing w:val="7"/>
                <w:sz w:val="21"/>
                <w:szCs w:val="21"/>
                <w:highlight w:val="none"/>
                <w:shd w:val="clear" w:color="auto" w:fill="FFFFFF"/>
                <w:vertAlign w:val="baseline"/>
                <w:lang w:val="en-US" w:eastAsia="zh-CN"/>
              </w:rPr>
            </w:pPr>
            <w:r>
              <w:rPr>
                <w:rFonts w:hint="eastAsia" w:ascii="宋体" w:hAnsi="宋体" w:eastAsia="宋体" w:cs="宋体"/>
                <w:sz w:val="21"/>
                <w:szCs w:val="21"/>
                <w:highlight w:val="none"/>
              </w:rPr>
              <w:t>J</w:t>
            </w:r>
            <w:r>
              <w:rPr>
                <w:rFonts w:hint="eastAsia" w:ascii="宋体" w:hAnsi="宋体" w:cs="宋体"/>
                <w:sz w:val="21"/>
                <w:szCs w:val="21"/>
                <w:highlight w:val="none"/>
                <w:lang w:val="en-US" w:eastAsia="zh-CN"/>
              </w:rPr>
              <w:t>J</w:t>
            </w:r>
            <w:r>
              <w:rPr>
                <w:rFonts w:hint="eastAsia" w:ascii="宋体" w:hAnsi="宋体" w:eastAsia="宋体" w:cs="宋体"/>
                <w:sz w:val="21"/>
                <w:szCs w:val="21"/>
                <w:highlight w:val="none"/>
              </w:rPr>
              <w:t>G 694-2009《原子吸收分光光度计  检定规程》</w:t>
            </w:r>
          </w:p>
        </w:tc>
        <w:tc>
          <w:tcPr>
            <w:tcW w:w="1350" w:type="dxa"/>
            <w:noWrap w:val="0"/>
            <w:vAlign w:val="center"/>
          </w:tcPr>
          <w:p w14:paraId="4FADEF60">
            <w:pPr>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1050</w:t>
            </w:r>
          </w:p>
        </w:tc>
      </w:tr>
      <w:tr w14:paraId="0CD95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3" w:type="dxa"/>
            <w:noWrap w:val="0"/>
            <w:vAlign w:val="center"/>
          </w:tcPr>
          <w:p w14:paraId="6D2FE9C4">
            <w:pPr>
              <w:pStyle w:val="20"/>
              <w:spacing w:before="263" w:line="184" w:lineRule="auto"/>
              <w:jc w:val="center"/>
              <w:rPr>
                <w:rFonts w:hint="default" w:ascii="宋体" w:hAnsi="宋体" w:eastAsia="宋体" w:cs="宋体"/>
                <w:sz w:val="21"/>
                <w:szCs w:val="21"/>
                <w:highlight w:val="none"/>
                <w:lang w:val="en-US" w:eastAsia="zh-CN"/>
              </w:rPr>
            </w:pPr>
            <w:r>
              <w:rPr>
                <w:rFonts w:hint="eastAsia" w:cs="宋体"/>
                <w:sz w:val="21"/>
                <w:szCs w:val="21"/>
                <w:highlight w:val="none"/>
                <w:lang w:val="en-US" w:eastAsia="zh-CN"/>
              </w:rPr>
              <w:t>6</w:t>
            </w:r>
          </w:p>
        </w:tc>
        <w:tc>
          <w:tcPr>
            <w:tcW w:w="1488" w:type="dxa"/>
            <w:noWrap w:val="0"/>
            <w:vAlign w:val="center"/>
          </w:tcPr>
          <w:p w14:paraId="43E998EE">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原子吸收分光光度计</w:t>
            </w:r>
          </w:p>
        </w:tc>
        <w:tc>
          <w:tcPr>
            <w:tcW w:w="1489" w:type="dxa"/>
            <w:noWrap w:val="0"/>
            <w:vAlign w:val="center"/>
          </w:tcPr>
          <w:p w14:paraId="5E3FFF4D">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szCs w:val="21"/>
                <w:lang w:val="en-US" w:eastAsia="zh-CN"/>
              </w:rPr>
            </w:pPr>
            <w:r>
              <w:rPr>
                <w:rFonts w:hint="eastAsia" w:ascii="宋体" w:hAnsi="宋体" w:eastAsia="宋体" w:cs="宋体"/>
                <w:szCs w:val="21"/>
                <w:lang w:val="en-US" w:eastAsia="zh-CN"/>
              </w:rPr>
              <w:t>岛津</w:t>
            </w:r>
            <w:r>
              <w:rPr>
                <w:rFonts w:hint="eastAsia" w:ascii="宋体" w:hAnsi="宋体" w:eastAsia="宋体" w:cs="宋体"/>
                <w:szCs w:val="21"/>
              </w:rPr>
              <w:t>AA-7000</w:t>
            </w:r>
          </w:p>
        </w:tc>
        <w:tc>
          <w:tcPr>
            <w:tcW w:w="693" w:type="dxa"/>
            <w:noWrap w:val="0"/>
            <w:vAlign w:val="center"/>
          </w:tcPr>
          <w:p w14:paraId="0D1F81B5">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1175" w:type="dxa"/>
            <w:noWrap w:val="0"/>
            <w:vAlign w:val="center"/>
          </w:tcPr>
          <w:p w14:paraId="405D1109">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校准</w:t>
            </w:r>
          </w:p>
        </w:tc>
        <w:tc>
          <w:tcPr>
            <w:tcW w:w="1950" w:type="dxa"/>
            <w:noWrap w:val="0"/>
            <w:vAlign w:val="center"/>
          </w:tcPr>
          <w:p w14:paraId="173CDB2A">
            <w:pPr>
              <w:jc w:val="center"/>
              <w:rPr>
                <w:rFonts w:hint="eastAsia" w:ascii="宋体" w:hAnsi="宋体" w:eastAsia="宋体" w:cs="宋体"/>
                <w:sz w:val="21"/>
                <w:szCs w:val="21"/>
                <w:highlight w:val="none"/>
              </w:rPr>
            </w:pPr>
          </w:p>
          <w:p w14:paraId="3169436D">
            <w:pPr>
              <w:jc w:val="center"/>
              <w:rPr>
                <w:rFonts w:hint="eastAsia" w:ascii="宋体" w:hAnsi="宋体" w:eastAsia="宋体" w:cs="宋体"/>
                <w:spacing w:val="7"/>
                <w:kern w:val="2"/>
                <w:sz w:val="21"/>
                <w:szCs w:val="21"/>
                <w:highlight w:val="none"/>
                <w:shd w:val="clear" w:color="auto" w:fill="FFFFFF"/>
                <w:vertAlign w:val="baseline"/>
                <w:lang w:val="en-US" w:eastAsia="zh-CN" w:bidi="ar-SA"/>
              </w:rPr>
            </w:pPr>
            <w:r>
              <w:rPr>
                <w:rFonts w:hint="eastAsia" w:ascii="宋体" w:hAnsi="宋体" w:eastAsia="宋体" w:cs="宋体"/>
                <w:sz w:val="21"/>
                <w:szCs w:val="21"/>
                <w:highlight w:val="none"/>
              </w:rPr>
              <w:t>J</w:t>
            </w:r>
            <w:r>
              <w:rPr>
                <w:rFonts w:hint="eastAsia" w:ascii="宋体" w:hAnsi="宋体" w:cs="宋体"/>
                <w:sz w:val="21"/>
                <w:szCs w:val="21"/>
                <w:highlight w:val="none"/>
                <w:lang w:val="en-US" w:eastAsia="zh-CN"/>
              </w:rPr>
              <w:t>J</w:t>
            </w:r>
            <w:r>
              <w:rPr>
                <w:rFonts w:hint="eastAsia" w:ascii="宋体" w:hAnsi="宋体" w:eastAsia="宋体" w:cs="宋体"/>
                <w:sz w:val="21"/>
                <w:szCs w:val="21"/>
                <w:highlight w:val="none"/>
              </w:rPr>
              <w:t>G 694-2009《原子吸收分光光度计  检定规程》</w:t>
            </w:r>
          </w:p>
        </w:tc>
        <w:tc>
          <w:tcPr>
            <w:tcW w:w="1350" w:type="dxa"/>
            <w:noWrap w:val="0"/>
            <w:vAlign w:val="center"/>
          </w:tcPr>
          <w:p w14:paraId="055F9816">
            <w:pPr>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1050</w:t>
            </w:r>
          </w:p>
        </w:tc>
      </w:tr>
      <w:tr w14:paraId="55E3D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3" w:type="dxa"/>
            <w:noWrap w:val="0"/>
            <w:vAlign w:val="center"/>
          </w:tcPr>
          <w:p w14:paraId="32F177F5">
            <w:pPr>
              <w:pStyle w:val="20"/>
              <w:spacing w:before="274" w:line="183" w:lineRule="auto"/>
              <w:jc w:val="center"/>
              <w:rPr>
                <w:rFonts w:hint="eastAsia" w:ascii="宋体" w:hAnsi="宋体" w:eastAsia="宋体" w:cs="宋体"/>
                <w:color w:val="auto"/>
                <w:spacing w:val="7"/>
                <w:sz w:val="21"/>
                <w:szCs w:val="21"/>
                <w:highlight w:val="none"/>
                <w:shd w:val="clear" w:color="auto" w:fill="FFFFFF"/>
                <w:vertAlign w:val="baseline"/>
                <w:lang w:val="en-US" w:eastAsia="zh-CN"/>
              </w:rPr>
            </w:pPr>
            <w:r>
              <w:rPr>
                <w:rFonts w:hint="eastAsia" w:cs="宋体"/>
                <w:color w:val="auto"/>
                <w:sz w:val="21"/>
                <w:szCs w:val="21"/>
                <w:highlight w:val="none"/>
                <w:lang w:val="en-US" w:eastAsia="zh-CN"/>
              </w:rPr>
              <w:t>7</w:t>
            </w:r>
          </w:p>
        </w:tc>
        <w:tc>
          <w:tcPr>
            <w:tcW w:w="1488" w:type="dxa"/>
            <w:noWrap w:val="0"/>
            <w:vAlign w:val="center"/>
          </w:tcPr>
          <w:p w14:paraId="57FFD600">
            <w:pPr>
              <w:jc w:val="center"/>
              <w:rPr>
                <w:rFonts w:hint="eastAsia" w:ascii="宋体" w:hAnsi="宋体" w:eastAsia="宋体" w:cs="宋体"/>
                <w:color w:val="auto"/>
                <w:sz w:val="21"/>
                <w:szCs w:val="21"/>
                <w:highlight w:val="none"/>
              </w:rPr>
            </w:pPr>
          </w:p>
          <w:p w14:paraId="7A569101">
            <w:pPr>
              <w:jc w:val="center"/>
              <w:rPr>
                <w:rFonts w:hint="eastAsia" w:ascii="宋体" w:hAnsi="宋体" w:eastAsia="宋体" w:cs="宋体"/>
                <w:color w:val="auto"/>
                <w:spacing w:val="7"/>
                <w:sz w:val="21"/>
                <w:szCs w:val="21"/>
                <w:highlight w:val="none"/>
                <w:shd w:val="clear" w:color="auto" w:fill="FFFFFF"/>
                <w:vertAlign w:val="baseline"/>
                <w:lang w:val="en-US" w:eastAsia="zh-CN"/>
              </w:rPr>
            </w:pPr>
            <w:r>
              <w:rPr>
                <w:rFonts w:hint="eastAsia" w:ascii="宋体" w:hAnsi="宋体" w:eastAsia="宋体" w:cs="宋体"/>
                <w:color w:val="auto"/>
                <w:sz w:val="21"/>
                <w:szCs w:val="21"/>
                <w:highlight w:val="none"/>
                <w:lang w:val="en-US" w:eastAsia="zh-CN"/>
              </w:rPr>
              <w:t>红外分光测油仪</w:t>
            </w:r>
          </w:p>
        </w:tc>
        <w:tc>
          <w:tcPr>
            <w:tcW w:w="1489" w:type="dxa"/>
            <w:noWrap w:val="0"/>
            <w:vAlign w:val="center"/>
          </w:tcPr>
          <w:p w14:paraId="756E80AC">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szCs w:val="21"/>
                <w:lang w:val="en-US" w:eastAsia="zh-CN"/>
              </w:rPr>
              <w:t>华夏科创</w:t>
            </w:r>
            <w:r>
              <w:rPr>
                <w:rFonts w:hint="eastAsia" w:ascii="宋体" w:hAnsi="宋体" w:eastAsia="宋体" w:cs="宋体"/>
                <w:szCs w:val="21"/>
              </w:rPr>
              <w:t>OIL480</w:t>
            </w:r>
          </w:p>
        </w:tc>
        <w:tc>
          <w:tcPr>
            <w:tcW w:w="693" w:type="dxa"/>
            <w:noWrap w:val="0"/>
            <w:vAlign w:val="center"/>
          </w:tcPr>
          <w:p w14:paraId="3A2B5EB0">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175" w:type="dxa"/>
            <w:noWrap w:val="0"/>
            <w:vAlign w:val="center"/>
          </w:tcPr>
          <w:p w14:paraId="3388C48E">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校准</w:t>
            </w:r>
          </w:p>
        </w:tc>
        <w:tc>
          <w:tcPr>
            <w:tcW w:w="1950" w:type="dxa"/>
            <w:noWrap w:val="0"/>
            <w:vAlign w:val="center"/>
          </w:tcPr>
          <w:p w14:paraId="450A75E4">
            <w:pPr>
              <w:jc w:val="center"/>
              <w:rPr>
                <w:rFonts w:hint="eastAsia" w:ascii="宋体" w:hAnsi="宋体" w:eastAsia="宋体" w:cs="宋体"/>
                <w:color w:val="auto"/>
                <w:sz w:val="21"/>
                <w:szCs w:val="21"/>
                <w:highlight w:val="none"/>
              </w:rPr>
            </w:pPr>
          </w:p>
          <w:p w14:paraId="14CE597B">
            <w:pPr>
              <w:jc w:val="center"/>
              <w:rPr>
                <w:rFonts w:hint="eastAsia" w:ascii="宋体" w:hAnsi="宋体" w:eastAsia="宋体" w:cs="宋体"/>
                <w:color w:val="auto"/>
                <w:spacing w:val="7"/>
                <w:sz w:val="21"/>
                <w:szCs w:val="21"/>
                <w:highlight w:val="none"/>
                <w:shd w:val="clear" w:color="auto" w:fill="FFFFFF"/>
                <w:vertAlign w:val="baseline"/>
                <w:lang w:val="en-US" w:eastAsia="zh-CN"/>
              </w:rPr>
            </w:pPr>
            <w:r>
              <w:rPr>
                <w:rFonts w:hint="eastAsia" w:ascii="宋体" w:hAnsi="宋体" w:eastAsia="宋体" w:cs="宋体"/>
                <w:color w:val="auto"/>
                <w:sz w:val="21"/>
                <w:szCs w:val="21"/>
                <w:highlight w:val="none"/>
              </w:rPr>
              <w:t>JJG 950-2012《水中油分浓度分析仪  检定规程》</w:t>
            </w:r>
          </w:p>
        </w:tc>
        <w:tc>
          <w:tcPr>
            <w:tcW w:w="1350" w:type="dxa"/>
            <w:noWrap w:val="0"/>
            <w:vAlign w:val="center"/>
          </w:tcPr>
          <w:p w14:paraId="6E739050">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540</w:t>
            </w:r>
          </w:p>
        </w:tc>
      </w:tr>
      <w:tr w14:paraId="09508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3" w:type="dxa"/>
            <w:noWrap w:val="0"/>
            <w:vAlign w:val="center"/>
          </w:tcPr>
          <w:p w14:paraId="7F4D3629">
            <w:pPr>
              <w:pStyle w:val="20"/>
              <w:spacing w:before="274" w:line="183" w:lineRule="auto"/>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8</w:t>
            </w:r>
          </w:p>
        </w:tc>
        <w:tc>
          <w:tcPr>
            <w:tcW w:w="1488" w:type="dxa"/>
            <w:noWrap w:val="0"/>
            <w:vAlign w:val="center"/>
          </w:tcPr>
          <w:p w14:paraId="16672ADC">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红外分光测油仪</w:t>
            </w:r>
          </w:p>
        </w:tc>
        <w:tc>
          <w:tcPr>
            <w:tcW w:w="1489" w:type="dxa"/>
            <w:noWrap w:val="0"/>
            <w:vAlign w:val="center"/>
          </w:tcPr>
          <w:p w14:paraId="7BF8D529">
            <w:pPr>
              <w:pStyle w:val="2"/>
              <w:ind w:left="0" w:leftChars="0" w:firstLine="0" w:firstLineChars="0"/>
              <w:jc w:val="center"/>
              <w:rPr>
                <w:rFonts w:hint="eastAsia" w:ascii="宋体" w:hAnsi="宋体" w:eastAsia="宋体" w:cs="宋体"/>
                <w:lang w:val="en-US" w:eastAsia="zh-CN"/>
              </w:rPr>
            </w:pPr>
            <w:r>
              <w:rPr>
                <w:rFonts w:hint="eastAsia" w:ascii="宋体" w:hAnsi="宋体" w:eastAsia="宋体" w:cs="宋体"/>
                <w:b w:val="0"/>
                <w:bCs/>
                <w:sz w:val="21"/>
                <w:szCs w:val="21"/>
              </w:rPr>
              <w:t>华夏科创OIL</w:t>
            </w:r>
            <w:r>
              <w:rPr>
                <w:rFonts w:hint="eastAsia" w:ascii="宋体" w:hAnsi="宋体" w:eastAsia="宋体" w:cs="宋体"/>
                <w:b w:val="0"/>
                <w:bCs/>
                <w:sz w:val="21"/>
                <w:szCs w:val="21"/>
                <w:lang w:val="en-US" w:eastAsia="zh-CN"/>
              </w:rPr>
              <w:t>510D</w:t>
            </w:r>
          </w:p>
        </w:tc>
        <w:tc>
          <w:tcPr>
            <w:tcW w:w="693" w:type="dxa"/>
            <w:noWrap w:val="0"/>
            <w:vAlign w:val="center"/>
          </w:tcPr>
          <w:p w14:paraId="1E7A403F">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175" w:type="dxa"/>
            <w:noWrap w:val="0"/>
            <w:vAlign w:val="center"/>
          </w:tcPr>
          <w:p w14:paraId="0A2BC267">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校准</w:t>
            </w:r>
          </w:p>
        </w:tc>
        <w:tc>
          <w:tcPr>
            <w:tcW w:w="1950" w:type="dxa"/>
            <w:noWrap w:val="0"/>
            <w:vAlign w:val="center"/>
          </w:tcPr>
          <w:p w14:paraId="5211048B">
            <w:pPr>
              <w:jc w:val="center"/>
              <w:rPr>
                <w:rFonts w:hint="eastAsia" w:ascii="宋体" w:hAnsi="宋体" w:eastAsia="宋体" w:cs="宋体"/>
                <w:color w:val="auto"/>
                <w:sz w:val="21"/>
                <w:szCs w:val="21"/>
                <w:highlight w:val="none"/>
              </w:rPr>
            </w:pPr>
          </w:p>
          <w:p w14:paraId="3C3AEAAC">
            <w:pPr>
              <w:jc w:val="center"/>
              <w:rPr>
                <w:rFonts w:hint="eastAsia" w:ascii="宋体" w:hAnsi="宋体" w:eastAsia="宋体" w:cs="宋体"/>
                <w:color w:val="auto"/>
                <w:spacing w:val="7"/>
                <w:kern w:val="2"/>
                <w:sz w:val="21"/>
                <w:szCs w:val="21"/>
                <w:highlight w:val="none"/>
                <w:shd w:val="clear" w:color="auto" w:fill="FFFFFF"/>
                <w:vertAlign w:val="baseline"/>
                <w:lang w:val="en-US" w:eastAsia="zh-CN" w:bidi="ar-SA"/>
              </w:rPr>
            </w:pPr>
            <w:r>
              <w:rPr>
                <w:rFonts w:hint="eastAsia" w:ascii="宋体" w:hAnsi="宋体" w:eastAsia="宋体" w:cs="宋体"/>
                <w:color w:val="auto"/>
                <w:sz w:val="21"/>
                <w:szCs w:val="21"/>
                <w:highlight w:val="none"/>
              </w:rPr>
              <w:t>JJG 950-2012《水中油分浓度分析仪  检定规程》</w:t>
            </w:r>
          </w:p>
        </w:tc>
        <w:tc>
          <w:tcPr>
            <w:tcW w:w="1350" w:type="dxa"/>
            <w:noWrap w:val="0"/>
            <w:vAlign w:val="center"/>
          </w:tcPr>
          <w:p w14:paraId="50F65FFA">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540</w:t>
            </w:r>
          </w:p>
        </w:tc>
      </w:tr>
      <w:tr w14:paraId="7C630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3" w:type="dxa"/>
            <w:noWrap w:val="0"/>
            <w:vAlign w:val="center"/>
          </w:tcPr>
          <w:p w14:paraId="72A7445A">
            <w:pPr>
              <w:pStyle w:val="20"/>
              <w:spacing w:before="255" w:line="183" w:lineRule="auto"/>
              <w:jc w:val="center"/>
              <w:rPr>
                <w:rFonts w:hint="eastAsia" w:ascii="宋体" w:hAnsi="宋体" w:eastAsia="宋体" w:cs="宋体"/>
                <w:color w:val="auto"/>
                <w:spacing w:val="7"/>
                <w:sz w:val="21"/>
                <w:szCs w:val="21"/>
                <w:highlight w:val="none"/>
                <w:shd w:val="clear" w:color="auto" w:fill="FFFFFF"/>
                <w:vertAlign w:val="baseline"/>
                <w:lang w:val="en-US" w:eastAsia="zh-CN"/>
              </w:rPr>
            </w:pPr>
            <w:r>
              <w:rPr>
                <w:rFonts w:hint="eastAsia" w:cs="宋体"/>
                <w:color w:val="auto"/>
                <w:sz w:val="21"/>
                <w:szCs w:val="21"/>
                <w:highlight w:val="none"/>
                <w:lang w:val="en-US" w:eastAsia="zh-CN"/>
              </w:rPr>
              <w:t>9</w:t>
            </w:r>
          </w:p>
        </w:tc>
        <w:tc>
          <w:tcPr>
            <w:tcW w:w="1488" w:type="dxa"/>
            <w:noWrap w:val="0"/>
            <w:vAlign w:val="center"/>
          </w:tcPr>
          <w:p w14:paraId="124A8703">
            <w:pPr>
              <w:jc w:val="center"/>
              <w:rPr>
                <w:rFonts w:hint="eastAsia" w:ascii="宋体" w:hAnsi="宋体" w:eastAsia="宋体" w:cs="宋体"/>
                <w:color w:val="auto"/>
                <w:spacing w:val="7"/>
                <w:sz w:val="21"/>
                <w:szCs w:val="21"/>
                <w:highlight w:val="none"/>
                <w:shd w:val="clear" w:color="auto" w:fill="FFFFFF"/>
                <w:vertAlign w:val="baseline"/>
                <w:lang w:val="en-US" w:eastAsia="zh-CN"/>
              </w:rPr>
            </w:pPr>
            <w:r>
              <w:rPr>
                <w:rFonts w:hint="eastAsia" w:ascii="宋体" w:hAnsi="宋体" w:eastAsia="宋体" w:cs="宋体"/>
                <w:color w:val="auto"/>
                <w:sz w:val="21"/>
                <w:szCs w:val="21"/>
                <w:highlight w:val="none"/>
              </w:rPr>
              <w:t>紫外可见分光光度计</w:t>
            </w:r>
          </w:p>
        </w:tc>
        <w:tc>
          <w:tcPr>
            <w:tcW w:w="1489" w:type="dxa"/>
            <w:noWrap w:val="0"/>
            <w:vAlign w:val="center"/>
          </w:tcPr>
          <w:p w14:paraId="3D5B5E9A">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szCs w:val="21"/>
                <w:lang w:val="en-US" w:eastAsia="zh-CN"/>
              </w:rPr>
              <w:t>岛津</w:t>
            </w:r>
            <w:r>
              <w:rPr>
                <w:rFonts w:hint="eastAsia" w:ascii="宋体" w:hAnsi="宋体" w:eastAsia="宋体" w:cs="宋体"/>
                <w:szCs w:val="21"/>
              </w:rPr>
              <w:t>UV-1900</w:t>
            </w:r>
          </w:p>
        </w:tc>
        <w:tc>
          <w:tcPr>
            <w:tcW w:w="693" w:type="dxa"/>
            <w:noWrap w:val="0"/>
            <w:vAlign w:val="center"/>
          </w:tcPr>
          <w:p w14:paraId="5D6CD065">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175" w:type="dxa"/>
            <w:noWrap w:val="0"/>
            <w:vAlign w:val="center"/>
          </w:tcPr>
          <w:p w14:paraId="5351C887">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校准</w:t>
            </w:r>
          </w:p>
        </w:tc>
        <w:tc>
          <w:tcPr>
            <w:tcW w:w="1950" w:type="dxa"/>
            <w:noWrap w:val="0"/>
            <w:vAlign w:val="center"/>
          </w:tcPr>
          <w:p w14:paraId="7ED0E2BB">
            <w:pPr>
              <w:jc w:val="center"/>
              <w:rPr>
                <w:rFonts w:hint="eastAsia" w:ascii="宋体" w:hAnsi="宋体" w:eastAsia="宋体" w:cs="宋体"/>
                <w:color w:val="auto"/>
                <w:spacing w:val="7"/>
                <w:sz w:val="21"/>
                <w:szCs w:val="21"/>
                <w:highlight w:val="none"/>
                <w:shd w:val="clear" w:color="auto" w:fill="FFFFFF"/>
                <w:vertAlign w:val="baseline"/>
                <w:lang w:val="en-US" w:eastAsia="zh-CN"/>
              </w:rPr>
            </w:pPr>
            <w:r>
              <w:rPr>
                <w:rFonts w:hint="eastAsia" w:ascii="宋体" w:hAnsi="宋体" w:eastAsia="宋体" w:cs="宋体"/>
                <w:color w:val="auto"/>
                <w:sz w:val="21"/>
                <w:szCs w:val="21"/>
                <w:highlight w:val="none"/>
              </w:rPr>
              <w:t>JJG 178-2007《紫外、可见、近红外分光光 度计检定规程》</w:t>
            </w:r>
          </w:p>
        </w:tc>
        <w:tc>
          <w:tcPr>
            <w:tcW w:w="1350" w:type="dxa"/>
            <w:noWrap w:val="0"/>
            <w:vAlign w:val="center"/>
          </w:tcPr>
          <w:p w14:paraId="35B50742">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800</w:t>
            </w:r>
          </w:p>
        </w:tc>
      </w:tr>
      <w:tr w14:paraId="0E343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3" w:type="dxa"/>
            <w:noWrap w:val="0"/>
            <w:vAlign w:val="center"/>
          </w:tcPr>
          <w:p w14:paraId="4138B90C">
            <w:pPr>
              <w:pStyle w:val="20"/>
              <w:spacing w:before="255" w:line="183" w:lineRule="auto"/>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10</w:t>
            </w:r>
          </w:p>
        </w:tc>
        <w:tc>
          <w:tcPr>
            <w:tcW w:w="1488" w:type="dxa"/>
            <w:noWrap w:val="0"/>
            <w:vAlign w:val="center"/>
          </w:tcPr>
          <w:p w14:paraId="7E5B22D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紫外可见分光光度计</w:t>
            </w:r>
          </w:p>
        </w:tc>
        <w:tc>
          <w:tcPr>
            <w:tcW w:w="1489" w:type="dxa"/>
            <w:noWrap w:val="0"/>
            <w:vAlign w:val="center"/>
          </w:tcPr>
          <w:p w14:paraId="574D0282">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szCs w:val="21"/>
              </w:rPr>
            </w:pPr>
            <w:r>
              <w:rPr>
                <w:rFonts w:hint="eastAsia" w:ascii="宋体" w:hAnsi="宋体" w:eastAsia="宋体" w:cs="宋体"/>
                <w:szCs w:val="21"/>
                <w:lang w:val="en-US" w:eastAsia="zh-CN"/>
              </w:rPr>
              <w:t>岛津</w:t>
            </w:r>
            <w:r>
              <w:rPr>
                <w:rFonts w:hint="eastAsia" w:ascii="宋体" w:hAnsi="宋体" w:eastAsia="宋体" w:cs="宋体"/>
                <w:szCs w:val="21"/>
              </w:rPr>
              <w:t>UV-1900</w:t>
            </w:r>
            <w:r>
              <w:rPr>
                <w:rFonts w:hint="eastAsia" w:ascii="宋体" w:hAnsi="宋体" w:eastAsia="宋体" w:cs="宋体"/>
                <w:szCs w:val="21"/>
                <w:lang w:val="en-US" w:eastAsia="zh-CN"/>
              </w:rPr>
              <w:t>i</w:t>
            </w:r>
          </w:p>
        </w:tc>
        <w:tc>
          <w:tcPr>
            <w:tcW w:w="693" w:type="dxa"/>
            <w:noWrap w:val="0"/>
            <w:vAlign w:val="center"/>
          </w:tcPr>
          <w:p w14:paraId="64E4DA1F">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175" w:type="dxa"/>
            <w:noWrap w:val="0"/>
            <w:vAlign w:val="center"/>
          </w:tcPr>
          <w:p w14:paraId="594A9907">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校准</w:t>
            </w:r>
          </w:p>
        </w:tc>
        <w:tc>
          <w:tcPr>
            <w:tcW w:w="1950" w:type="dxa"/>
            <w:noWrap w:val="0"/>
            <w:vAlign w:val="center"/>
          </w:tcPr>
          <w:p w14:paraId="264B09CB">
            <w:pPr>
              <w:jc w:val="center"/>
              <w:rPr>
                <w:rFonts w:hint="eastAsia" w:ascii="宋体" w:hAnsi="宋体" w:eastAsia="宋体" w:cs="宋体"/>
                <w:color w:val="auto"/>
                <w:spacing w:val="7"/>
                <w:kern w:val="2"/>
                <w:sz w:val="21"/>
                <w:szCs w:val="21"/>
                <w:highlight w:val="none"/>
                <w:shd w:val="clear" w:color="auto" w:fill="FFFFFF"/>
                <w:vertAlign w:val="baseline"/>
                <w:lang w:val="en-US" w:eastAsia="zh-CN" w:bidi="ar-SA"/>
              </w:rPr>
            </w:pPr>
            <w:r>
              <w:rPr>
                <w:rFonts w:hint="eastAsia" w:ascii="宋体" w:hAnsi="宋体" w:eastAsia="宋体" w:cs="宋体"/>
                <w:color w:val="auto"/>
                <w:sz w:val="21"/>
                <w:szCs w:val="21"/>
                <w:highlight w:val="none"/>
              </w:rPr>
              <w:t>JJG 178-2007《紫外、可见、近红外分光光 度计检定规程》</w:t>
            </w:r>
          </w:p>
        </w:tc>
        <w:tc>
          <w:tcPr>
            <w:tcW w:w="1350" w:type="dxa"/>
            <w:noWrap w:val="0"/>
            <w:vAlign w:val="center"/>
          </w:tcPr>
          <w:p w14:paraId="7521EB1F">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800</w:t>
            </w:r>
          </w:p>
        </w:tc>
      </w:tr>
      <w:tr w14:paraId="62267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3" w:type="dxa"/>
            <w:noWrap w:val="0"/>
            <w:vAlign w:val="center"/>
          </w:tcPr>
          <w:p w14:paraId="1924D83D">
            <w:pPr>
              <w:pStyle w:val="20"/>
              <w:spacing w:before="265" w:line="183" w:lineRule="auto"/>
              <w:jc w:val="center"/>
              <w:rPr>
                <w:rFonts w:hint="default" w:ascii="宋体" w:hAnsi="宋体" w:eastAsia="宋体" w:cs="宋体"/>
                <w:color w:val="auto"/>
                <w:spacing w:val="7"/>
                <w:sz w:val="21"/>
                <w:szCs w:val="21"/>
                <w:highlight w:val="none"/>
                <w:shd w:val="clear" w:color="auto" w:fill="FFFFFF"/>
                <w:vertAlign w:val="baseline"/>
                <w:lang w:val="en-US" w:eastAsia="zh-CN"/>
              </w:rPr>
            </w:pPr>
            <w:r>
              <w:rPr>
                <w:rFonts w:hint="eastAsia" w:cs="宋体"/>
                <w:color w:val="auto"/>
                <w:sz w:val="21"/>
                <w:szCs w:val="21"/>
                <w:highlight w:val="none"/>
                <w:lang w:val="en-US" w:eastAsia="zh-CN"/>
              </w:rPr>
              <w:t>11</w:t>
            </w:r>
          </w:p>
        </w:tc>
        <w:tc>
          <w:tcPr>
            <w:tcW w:w="1488" w:type="dxa"/>
            <w:noWrap w:val="0"/>
            <w:vAlign w:val="center"/>
          </w:tcPr>
          <w:p w14:paraId="298ED4C0">
            <w:pPr>
              <w:jc w:val="center"/>
              <w:rPr>
                <w:rFonts w:hint="eastAsia" w:ascii="宋体" w:hAnsi="宋体" w:eastAsia="宋体" w:cs="宋体"/>
                <w:color w:val="auto"/>
                <w:spacing w:val="7"/>
                <w:sz w:val="21"/>
                <w:szCs w:val="21"/>
                <w:highlight w:val="none"/>
                <w:shd w:val="clear" w:color="auto" w:fill="FFFFFF"/>
                <w:vertAlign w:val="baseline"/>
                <w:lang w:val="en-US" w:eastAsia="zh-CN"/>
              </w:rPr>
            </w:pPr>
            <w:r>
              <w:rPr>
                <w:rFonts w:hint="eastAsia" w:ascii="宋体" w:hAnsi="宋体" w:eastAsia="宋体" w:cs="宋体"/>
                <w:color w:val="auto"/>
                <w:sz w:val="21"/>
                <w:szCs w:val="21"/>
                <w:highlight w:val="none"/>
              </w:rPr>
              <w:t>可见分光光度计</w:t>
            </w:r>
          </w:p>
        </w:tc>
        <w:tc>
          <w:tcPr>
            <w:tcW w:w="1489" w:type="dxa"/>
            <w:noWrap w:val="0"/>
            <w:vAlign w:val="center"/>
          </w:tcPr>
          <w:p w14:paraId="40745E77">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722G</w:t>
            </w:r>
          </w:p>
        </w:tc>
        <w:tc>
          <w:tcPr>
            <w:tcW w:w="693" w:type="dxa"/>
            <w:noWrap w:val="0"/>
            <w:vAlign w:val="center"/>
          </w:tcPr>
          <w:p w14:paraId="54765019">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1175" w:type="dxa"/>
            <w:noWrap w:val="0"/>
            <w:vAlign w:val="center"/>
          </w:tcPr>
          <w:p w14:paraId="4F1A6C20">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校准</w:t>
            </w:r>
          </w:p>
        </w:tc>
        <w:tc>
          <w:tcPr>
            <w:tcW w:w="1950" w:type="dxa"/>
            <w:noWrap w:val="0"/>
            <w:vAlign w:val="center"/>
          </w:tcPr>
          <w:p w14:paraId="522EF539">
            <w:pPr>
              <w:jc w:val="center"/>
              <w:rPr>
                <w:rFonts w:hint="eastAsia" w:ascii="宋体" w:hAnsi="宋体" w:eastAsia="宋体" w:cs="宋体"/>
                <w:color w:val="auto"/>
                <w:spacing w:val="7"/>
                <w:sz w:val="21"/>
                <w:szCs w:val="21"/>
                <w:highlight w:val="none"/>
                <w:shd w:val="clear" w:color="auto" w:fill="FFFFFF"/>
                <w:vertAlign w:val="baseline"/>
                <w:lang w:val="en-US" w:eastAsia="zh-CN"/>
              </w:rPr>
            </w:pPr>
            <w:r>
              <w:rPr>
                <w:rFonts w:hint="eastAsia" w:ascii="宋体" w:hAnsi="宋体" w:eastAsia="宋体" w:cs="宋体"/>
                <w:color w:val="auto"/>
                <w:sz w:val="21"/>
                <w:szCs w:val="21"/>
                <w:highlight w:val="none"/>
              </w:rPr>
              <w:t>JJG 178-2007《紫外、可见、近红外分光光 度计检定规程》</w:t>
            </w:r>
          </w:p>
        </w:tc>
        <w:tc>
          <w:tcPr>
            <w:tcW w:w="1350" w:type="dxa"/>
            <w:noWrap w:val="0"/>
            <w:vAlign w:val="center"/>
          </w:tcPr>
          <w:p w14:paraId="692C76D0">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250</w:t>
            </w:r>
          </w:p>
        </w:tc>
      </w:tr>
      <w:tr w14:paraId="7E22D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3" w:type="dxa"/>
            <w:noWrap w:val="0"/>
            <w:vAlign w:val="center"/>
          </w:tcPr>
          <w:p w14:paraId="7860AE74">
            <w:pPr>
              <w:pStyle w:val="20"/>
              <w:spacing w:before="265" w:line="183" w:lineRule="auto"/>
              <w:jc w:val="center"/>
              <w:rPr>
                <w:rFonts w:hint="default" w:ascii="宋体" w:hAnsi="宋体" w:eastAsia="宋体" w:cs="宋体"/>
                <w:color w:val="auto"/>
                <w:spacing w:val="7"/>
                <w:sz w:val="21"/>
                <w:szCs w:val="21"/>
                <w:highlight w:val="none"/>
                <w:shd w:val="clear" w:color="auto" w:fill="FFFFFF"/>
                <w:vertAlign w:val="baseline"/>
                <w:lang w:val="en-US" w:eastAsia="zh-CN"/>
              </w:rPr>
            </w:pPr>
            <w:r>
              <w:rPr>
                <w:rFonts w:hint="eastAsia" w:cs="宋体"/>
                <w:color w:val="auto"/>
                <w:sz w:val="21"/>
                <w:szCs w:val="21"/>
                <w:highlight w:val="none"/>
                <w:lang w:val="en-US" w:eastAsia="zh-CN"/>
              </w:rPr>
              <w:t>12</w:t>
            </w:r>
          </w:p>
        </w:tc>
        <w:tc>
          <w:tcPr>
            <w:tcW w:w="1488" w:type="dxa"/>
            <w:noWrap w:val="0"/>
            <w:vAlign w:val="center"/>
          </w:tcPr>
          <w:p w14:paraId="10218A7A">
            <w:pPr>
              <w:jc w:val="center"/>
              <w:rPr>
                <w:rFonts w:hint="eastAsia" w:ascii="宋体" w:hAnsi="宋体" w:eastAsia="宋体" w:cs="宋体"/>
                <w:color w:val="auto"/>
                <w:spacing w:val="7"/>
                <w:sz w:val="21"/>
                <w:szCs w:val="21"/>
                <w:highlight w:val="none"/>
                <w:shd w:val="clear" w:color="auto" w:fill="FFFFFF"/>
                <w:vertAlign w:val="baseline"/>
                <w:lang w:val="en-US" w:eastAsia="zh-CN"/>
              </w:rPr>
            </w:pPr>
            <w:r>
              <w:rPr>
                <w:rFonts w:hint="eastAsia" w:ascii="宋体" w:hAnsi="宋体" w:eastAsia="宋体" w:cs="宋体"/>
                <w:color w:val="auto"/>
                <w:sz w:val="21"/>
                <w:szCs w:val="21"/>
                <w:highlight w:val="none"/>
              </w:rPr>
              <w:t>溶解氧测定仪</w:t>
            </w:r>
          </w:p>
        </w:tc>
        <w:tc>
          <w:tcPr>
            <w:tcW w:w="1489" w:type="dxa"/>
            <w:noWrap w:val="0"/>
            <w:vAlign w:val="center"/>
          </w:tcPr>
          <w:p w14:paraId="7A78C34C">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szCs w:val="21"/>
              </w:rPr>
              <w:t>S4</w:t>
            </w:r>
          </w:p>
        </w:tc>
        <w:tc>
          <w:tcPr>
            <w:tcW w:w="693" w:type="dxa"/>
            <w:noWrap w:val="0"/>
            <w:vAlign w:val="center"/>
          </w:tcPr>
          <w:p w14:paraId="7003D0DE">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2</w:t>
            </w:r>
          </w:p>
        </w:tc>
        <w:tc>
          <w:tcPr>
            <w:tcW w:w="1175" w:type="dxa"/>
            <w:noWrap w:val="0"/>
            <w:vAlign w:val="center"/>
          </w:tcPr>
          <w:p w14:paraId="62C4E137">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校准</w:t>
            </w:r>
          </w:p>
        </w:tc>
        <w:tc>
          <w:tcPr>
            <w:tcW w:w="1950" w:type="dxa"/>
            <w:noWrap w:val="0"/>
            <w:vAlign w:val="center"/>
          </w:tcPr>
          <w:p w14:paraId="17242D4D">
            <w:pPr>
              <w:jc w:val="center"/>
              <w:rPr>
                <w:rFonts w:hint="eastAsia" w:ascii="宋体" w:hAnsi="宋体" w:eastAsia="宋体" w:cs="宋体"/>
                <w:color w:val="auto"/>
                <w:spacing w:val="7"/>
                <w:sz w:val="21"/>
                <w:szCs w:val="21"/>
                <w:highlight w:val="none"/>
                <w:shd w:val="clear" w:color="auto" w:fill="FFFFFF"/>
                <w:vertAlign w:val="baseline"/>
                <w:lang w:val="en-US" w:eastAsia="zh-CN"/>
              </w:rPr>
            </w:pPr>
            <w:r>
              <w:rPr>
                <w:rFonts w:hint="eastAsia" w:ascii="宋体" w:hAnsi="宋体" w:eastAsia="宋体" w:cs="宋体"/>
                <w:color w:val="auto"/>
                <w:sz w:val="21"/>
                <w:szCs w:val="21"/>
                <w:highlight w:val="none"/>
              </w:rPr>
              <w:t>JJG 291-2018《溶解氧测定仪检定规程》</w:t>
            </w:r>
          </w:p>
        </w:tc>
        <w:tc>
          <w:tcPr>
            <w:tcW w:w="1350" w:type="dxa"/>
            <w:noWrap w:val="0"/>
            <w:vAlign w:val="center"/>
          </w:tcPr>
          <w:p w14:paraId="1CA91630">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750</w:t>
            </w:r>
          </w:p>
        </w:tc>
      </w:tr>
      <w:tr w14:paraId="3EDCB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783" w:type="dxa"/>
            <w:noWrap w:val="0"/>
            <w:vAlign w:val="center"/>
          </w:tcPr>
          <w:p w14:paraId="523B4FF5">
            <w:pPr>
              <w:pStyle w:val="20"/>
              <w:spacing w:before="296" w:line="183" w:lineRule="auto"/>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13</w:t>
            </w:r>
          </w:p>
        </w:tc>
        <w:tc>
          <w:tcPr>
            <w:tcW w:w="1488" w:type="dxa"/>
            <w:noWrap w:val="0"/>
            <w:vAlign w:val="center"/>
          </w:tcPr>
          <w:p w14:paraId="187B1D52">
            <w:pPr>
              <w:jc w:val="center"/>
              <w:rPr>
                <w:rFonts w:hint="eastAsia" w:ascii="宋体" w:hAnsi="宋体" w:eastAsia="宋体" w:cs="宋体"/>
                <w:color w:val="auto"/>
                <w:spacing w:val="7"/>
                <w:sz w:val="21"/>
                <w:szCs w:val="21"/>
                <w:highlight w:val="none"/>
                <w:shd w:val="clear" w:color="auto" w:fill="FFFFFF"/>
                <w:vertAlign w:val="baseline"/>
                <w:lang w:val="en-US" w:eastAsia="zh-CN"/>
              </w:rPr>
            </w:pPr>
            <w:r>
              <w:rPr>
                <w:rFonts w:hint="eastAsia" w:ascii="宋体" w:hAnsi="宋体" w:eastAsia="宋体" w:cs="宋体"/>
                <w:color w:val="auto"/>
                <w:sz w:val="21"/>
                <w:szCs w:val="21"/>
                <w:highlight w:val="none"/>
                <w:lang w:val="en-US" w:eastAsia="zh-CN"/>
              </w:rPr>
              <w:t>HQD便携式仪表(PH）</w:t>
            </w:r>
          </w:p>
        </w:tc>
        <w:tc>
          <w:tcPr>
            <w:tcW w:w="1489" w:type="dxa"/>
            <w:noWrap w:val="0"/>
            <w:vAlign w:val="center"/>
          </w:tcPr>
          <w:p w14:paraId="7A57C607">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szCs w:val="21"/>
              </w:rPr>
              <w:t>HQ30d</w:t>
            </w:r>
          </w:p>
        </w:tc>
        <w:tc>
          <w:tcPr>
            <w:tcW w:w="693" w:type="dxa"/>
            <w:noWrap w:val="0"/>
            <w:vAlign w:val="center"/>
          </w:tcPr>
          <w:p w14:paraId="6D05C2AC">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175" w:type="dxa"/>
            <w:noWrap w:val="0"/>
            <w:vAlign w:val="center"/>
          </w:tcPr>
          <w:p w14:paraId="33106C55">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校准</w:t>
            </w:r>
          </w:p>
        </w:tc>
        <w:tc>
          <w:tcPr>
            <w:tcW w:w="1950" w:type="dxa"/>
            <w:noWrap w:val="0"/>
            <w:vAlign w:val="center"/>
          </w:tcPr>
          <w:p w14:paraId="33734F9A">
            <w:pPr>
              <w:jc w:val="center"/>
              <w:rPr>
                <w:rFonts w:hint="eastAsia" w:ascii="宋体" w:hAnsi="宋体" w:eastAsia="宋体" w:cs="宋体"/>
                <w:color w:val="auto"/>
                <w:spacing w:val="7"/>
                <w:sz w:val="21"/>
                <w:szCs w:val="21"/>
                <w:highlight w:val="none"/>
                <w:shd w:val="clear" w:color="auto" w:fill="FFFFFF"/>
                <w:vertAlign w:val="baseline"/>
                <w:lang w:val="en-US" w:eastAsia="zh-CN"/>
              </w:rPr>
            </w:pPr>
            <w:r>
              <w:rPr>
                <w:rFonts w:hint="eastAsia" w:ascii="宋体" w:hAnsi="宋体" w:eastAsia="宋体" w:cs="宋体"/>
                <w:color w:val="auto"/>
                <w:sz w:val="21"/>
                <w:szCs w:val="21"/>
                <w:highlight w:val="none"/>
              </w:rPr>
              <w:t>JJG 119-201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《实验室pH(酸度)计检定规程》</w:t>
            </w:r>
          </w:p>
        </w:tc>
        <w:tc>
          <w:tcPr>
            <w:tcW w:w="1350" w:type="dxa"/>
            <w:noWrap w:val="0"/>
            <w:vAlign w:val="center"/>
          </w:tcPr>
          <w:p w14:paraId="562B575B">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288</w:t>
            </w:r>
          </w:p>
        </w:tc>
      </w:tr>
      <w:tr w14:paraId="4D1ED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3" w:type="dxa"/>
            <w:noWrap w:val="0"/>
            <w:vAlign w:val="center"/>
          </w:tcPr>
          <w:p w14:paraId="6A554577">
            <w:pPr>
              <w:pStyle w:val="20"/>
              <w:spacing w:before="296" w:line="183" w:lineRule="auto"/>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14</w:t>
            </w:r>
          </w:p>
        </w:tc>
        <w:tc>
          <w:tcPr>
            <w:tcW w:w="1488" w:type="dxa"/>
            <w:noWrap w:val="0"/>
            <w:vAlign w:val="center"/>
          </w:tcPr>
          <w:p w14:paraId="49BB7139">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HQD便携式仪表(PH）</w:t>
            </w:r>
          </w:p>
        </w:tc>
        <w:tc>
          <w:tcPr>
            <w:tcW w:w="1489" w:type="dxa"/>
            <w:noWrap w:val="0"/>
            <w:vAlign w:val="center"/>
          </w:tcPr>
          <w:p w14:paraId="23AE3060">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szCs w:val="21"/>
                <w:lang w:val="en-US" w:eastAsia="zh-CN"/>
              </w:rPr>
            </w:pPr>
            <w:r>
              <w:rPr>
                <w:rFonts w:hint="eastAsia" w:ascii="宋体" w:hAnsi="宋体" w:eastAsia="宋体" w:cs="宋体"/>
                <w:szCs w:val="21"/>
              </w:rPr>
              <w:t>HQ</w:t>
            </w:r>
            <w:r>
              <w:rPr>
                <w:rFonts w:hint="eastAsia" w:ascii="宋体" w:hAnsi="宋体" w:eastAsia="宋体" w:cs="宋体"/>
                <w:szCs w:val="21"/>
                <w:lang w:val="en-US" w:eastAsia="zh-CN"/>
              </w:rPr>
              <w:t>11</w:t>
            </w:r>
            <w:r>
              <w:rPr>
                <w:rFonts w:hint="eastAsia" w:ascii="宋体" w:hAnsi="宋体" w:eastAsia="宋体" w:cs="宋体"/>
                <w:szCs w:val="21"/>
              </w:rPr>
              <w:t>d</w:t>
            </w:r>
          </w:p>
        </w:tc>
        <w:tc>
          <w:tcPr>
            <w:tcW w:w="693" w:type="dxa"/>
            <w:noWrap w:val="0"/>
            <w:vAlign w:val="center"/>
          </w:tcPr>
          <w:p w14:paraId="0D7C4D3C">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175" w:type="dxa"/>
            <w:noWrap w:val="0"/>
            <w:vAlign w:val="center"/>
          </w:tcPr>
          <w:p w14:paraId="5C6BA8FC">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校准</w:t>
            </w:r>
          </w:p>
        </w:tc>
        <w:tc>
          <w:tcPr>
            <w:tcW w:w="1950" w:type="dxa"/>
            <w:noWrap w:val="0"/>
            <w:vAlign w:val="center"/>
          </w:tcPr>
          <w:p w14:paraId="3DFB0ADF">
            <w:pPr>
              <w:jc w:val="center"/>
              <w:rPr>
                <w:rFonts w:hint="eastAsia" w:ascii="宋体" w:hAnsi="宋体" w:eastAsia="宋体" w:cs="宋体"/>
                <w:color w:val="auto"/>
                <w:spacing w:val="7"/>
                <w:kern w:val="2"/>
                <w:sz w:val="21"/>
                <w:szCs w:val="21"/>
                <w:highlight w:val="none"/>
                <w:shd w:val="clear" w:color="auto" w:fill="FFFFFF"/>
                <w:vertAlign w:val="baseline"/>
                <w:lang w:val="en-US" w:eastAsia="zh-CN" w:bidi="ar-SA"/>
              </w:rPr>
            </w:pPr>
            <w:r>
              <w:rPr>
                <w:rFonts w:hint="eastAsia" w:ascii="宋体" w:hAnsi="宋体" w:eastAsia="宋体" w:cs="宋体"/>
                <w:color w:val="auto"/>
                <w:sz w:val="21"/>
                <w:szCs w:val="21"/>
                <w:highlight w:val="none"/>
              </w:rPr>
              <w:t>JJG 119-201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《实验室pH(酸度)计检定规程》</w:t>
            </w:r>
          </w:p>
        </w:tc>
        <w:tc>
          <w:tcPr>
            <w:tcW w:w="1350" w:type="dxa"/>
            <w:noWrap w:val="0"/>
            <w:vAlign w:val="center"/>
          </w:tcPr>
          <w:p w14:paraId="16201E79">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288</w:t>
            </w:r>
          </w:p>
        </w:tc>
      </w:tr>
      <w:tr w14:paraId="4DB6B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3" w:type="dxa"/>
            <w:noWrap w:val="0"/>
            <w:vAlign w:val="center"/>
          </w:tcPr>
          <w:p w14:paraId="3D022E07">
            <w:pPr>
              <w:pStyle w:val="20"/>
              <w:spacing w:before="296" w:line="183" w:lineRule="auto"/>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15</w:t>
            </w:r>
          </w:p>
        </w:tc>
        <w:tc>
          <w:tcPr>
            <w:tcW w:w="1488" w:type="dxa"/>
            <w:noWrap w:val="0"/>
            <w:vAlign w:val="center"/>
          </w:tcPr>
          <w:p w14:paraId="5A07E80F">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HQD便携式仪表(PH）</w:t>
            </w:r>
          </w:p>
        </w:tc>
        <w:tc>
          <w:tcPr>
            <w:tcW w:w="1489" w:type="dxa"/>
            <w:noWrap w:val="0"/>
            <w:vAlign w:val="center"/>
          </w:tcPr>
          <w:p w14:paraId="74516EA0">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default" w:ascii="宋体" w:hAnsi="宋体" w:eastAsia="宋体" w:cs="宋体"/>
                <w:szCs w:val="21"/>
                <w:lang w:val="en-US"/>
              </w:rPr>
            </w:pPr>
            <w:r>
              <w:rPr>
                <w:rFonts w:hint="eastAsia" w:ascii="宋体" w:hAnsi="宋体" w:eastAsia="宋体" w:cs="宋体"/>
                <w:szCs w:val="21"/>
              </w:rPr>
              <w:t>HQ</w:t>
            </w:r>
            <w:r>
              <w:rPr>
                <w:rFonts w:hint="eastAsia" w:ascii="宋体" w:hAnsi="宋体" w:eastAsia="宋体" w:cs="宋体"/>
                <w:szCs w:val="21"/>
                <w:lang w:val="en-US" w:eastAsia="zh-CN"/>
              </w:rPr>
              <w:t>2100</w:t>
            </w:r>
          </w:p>
        </w:tc>
        <w:tc>
          <w:tcPr>
            <w:tcW w:w="693" w:type="dxa"/>
            <w:noWrap w:val="0"/>
            <w:vAlign w:val="center"/>
          </w:tcPr>
          <w:p w14:paraId="60490ED3">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175" w:type="dxa"/>
            <w:noWrap w:val="0"/>
            <w:vAlign w:val="center"/>
          </w:tcPr>
          <w:p w14:paraId="66D3E516">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校准</w:t>
            </w:r>
          </w:p>
        </w:tc>
        <w:tc>
          <w:tcPr>
            <w:tcW w:w="1950" w:type="dxa"/>
            <w:noWrap w:val="0"/>
            <w:vAlign w:val="center"/>
          </w:tcPr>
          <w:p w14:paraId="0D07BB4C">
            <w:pPr>
              <w:jc w:val="center"/>
              <w:rPr>
                <w:rFonts w:hint="eastAsia" w:ascii="宋体" w:hAnsi="宋体" w:eastAsia="宋体" w:cs="宋体"/>
                <w:color w:val="auto"/>
                <w:spacing w:val="7"/>
                <w:kern w:val="2"/>
                <w:sz w:val="21"/>
                <w:szCs w:val="21"/>
                <w:highlight w:val="none"/>
                <w:shd w:val="clear" w:color="auto" w:fill="FFFFFF"/>
                <w:vertAlign w:val="baseline"/>
                <w:lang w:val="en-US" w:eastAsia="zh-CN" w:bidi="ar-SA"/>
              </w:rPr>
            </w:pPr>
            <w:r>
              <w:rPr>
                <w:rFonts w:hint="eastAsia" w:ascii="宋体" w:hAnsi="宋体" w:eastAsia="宋体" w:cs="宋体"/>
                <w:color w:val="auto"/>
                <w:sz w:val="21"/>
                <w:szCs w:val="21"/>
                <w:highlight w:val="none"/>
              </w:rPr>
              <w:t>JJG 119-201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《实验室pH(酸度)计检定规程》</w:t>
            </w:r>
          </w:p>
        </w:tc>
        <w:tc>
          <w:tcPr>
            <w:tcW w:w="1350" w:type="dxa"/>
            <w:noWrap w:val="0"/>
            <w:vAlign w:val="center"/>
          </w:tcPr>
          <w:p w14:paraId="75972C77">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288</w:t>
            </w:r>
          </w:p>
        </w:tc>
      </w:tr>
      <w:tr w14:paraId="6846F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83" w:type="dxa"/>
            <w:noWrap w:val="0"/>
            <w:vAlign w:val="center"/>
          </w:tcPr>
          <w:p w14:paraId="26D88CB1">
            <w:pPr>
              <w:pStyle w:val="20"/>
              <w:spacing w:before="296" w:line="183" w:lineRule="auto"/>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16</w:t>
            </w:r>
          </w:p>
        </w:tc>
        <w:tc>
          <w:tcPr>
            <w:tcW w:w="1488" w:type="dxa"/>
            <w:noWrap w:val="0"/>
            <w:vAlign w:val="center"/>
          </w:tcPr>
          <w:p w14:paraId="1DDA4D2D">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HQD便携式仪表</w:t>
            </w:r>
          </w:p>
          <w:p w14:paraId="485EC548">
            <w:pPr>
              <w:pStyle w:val="3"/>
              <w:ind w:firstLine="420" w:firstLineChars="200"/>
              <w:rPr>
                <w:rFonts w:hint="eastAsia" w:ascii="宋体" w:hAnsi="宋体" w:eastAsia="宋体" w:cs="宋体"/>
                <w:color w:val="auto"/>
                <w:lang w:val="en-US" w:eastAsia="zh-CN"/>
              </w:rPr>
            </w:pPr>
            <w:r>
              <w:rPr>
                <w:rFonts w:hint="eastAsia" w:ascii="宋体" w:hAnsi="宋体" w:eastAsia="宋体" w:cs="宋体"/>
                <w:color w:val="auto"/>
                <w:sz w:val="21"/>
                <w:szCs w:val="21"/>
                <w:highlight w:val="none"/>
                <w:lang w:val="en-US" w:eastAsia="zh-CN"/>
              </w:rPr>
              <w:t>(DO)</w:t>
            </w:r>
          </w:p>
        </w:tc>
        <w:tc>
          <w:tcPr>
            <w:tcW w:w="1489" w:type="dxa"/>
            <w:noWrap w:val="0"/>
            <w:vAlign w:val="center"/>
          </w:tcPr>
          <w:p w14:paraId="61723567">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szCs w:val="21"/>
              </w:rPr>
              <w:t>HQ2100</w:t>
            </w:r>
          </w:p>
        </w:tc>
        <w:tc>
          <w:tcPr>
            <w:tcW w:w="693" w:type="dxa"/>
            <w:noWrap w:val="0"/>
            <w:vAlign w:val="center"/>
          </w:tcPr>
          <w:p w14:paraId="52815CC6">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175" w:type="dxa"/>
            <w:noWrap w:val="0"/>
            <w:vAlign w:val="center"/>
          </w:tcPr>
          <w:p w14:paraId="0CAF6105">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校准</w:t>
            </w:r>
          </w:p>
        </w:tc>
        <w:tc>
          <w:tcPr>
            <w:tcW w:w="1950" w:type="dxa"/>
            <w:noWrap w:val="0"/>
            <w:vAlign w:val="center"/>
          </w:tcPr>
          <w:p w14:paraId="3EA24628">
            <w:pPr>
              <w:jc w:val="center"/>
              <w:rPr>
                <w:rFonts w:hint="eastAsia" w:ascii="宋体" w:hAnsi="宋体" w:eastAsia="宋体" w:cs="宋体"/>
                <w:color w:val="auto"/>
                <w:spacing w:val="7"/>
                <w:kern w:val="2"/>
                <w:sz w:val="21"/>
                <w:szCs w:val="21"/>
                <w:highlight w:val="none"/>
                <w:shd w:val="clear" w:color="auto" w:fill="FFFFFF"/>
                <w:vertAlign w:val="baseline"/>
                <w:lang w:val="en-US" w:eastAsia="zh-CN" w:bidi="ar-SA"/>
              </w:rPr>
            </w:pPr>
            <w:r>
              <w:rPr>
                <w:rFonts w:hint="eastAsia" w:ascii="宋体" w:hAnsi="宋体" w:eastAsia="宋体" w:cs="宋体"/>
                <w:color w:val="auto"/>
                <w:sz w:val="21"/>
                <w:szCs w:val="21"/>
                <w:highlight w:val="none"/>
              </w:rPr>
              <w:t>JJG 291-2018《溶解氧测定仪检定规程》</w:t>
            </w:r>
          </w:p>
        </w:tc>
        <w:tc>
          <w:tcPr>
            <w:tcW w:w="1350" w:type="dxa"/>
            <w:noWrap w:val="0"/>
            <w:vAlign w:val="center"/>
          </w:tcPr>
          <w:p w14:paraId="280D4924">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738</w:t>
            </w:r>
          </w:p>
        </w:tc>
      </w:tr>
      <w:tr w14:paraId="7FD37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3" w:type="dxa"/>
            <w:noWrap w:val="0"/>
            <w:vAlign w:val="center"/>
          </w:tcPr>
          <w:p w14:paraId="4FCB4796">
            <w:pPr>
              <w:pStyle w:val="20"/>
              <w:spacing w:before="296" w:line="183" w:lineRule="auto"/>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17</w:t>
            </w:r>
          </w:p>
        </w:tc>
        <w:tc>
          <w:tcPr>
            <w:tcW w:w="1488" w:type="dxa"/>
            <w:noWrap w:val="0"/>
            <w:vAlign w:val="center"/>
          </w:tcPr>
          <w:p w14:paraId="1455D528">
            <w:pPr>
              <w:jc w:val="center"/>
              <w:rPr>
                <w:rFonts w:hint="eastAsia" w:ascii="宋体" w:hAnsi="宋体" w:eastAsia="宋体" w:cs="宋体"/>
                <w:color w:val="auto"/>
                <w:spacing w:val="7"/>
                <w:kern w:val="2"/>
                <w:sz w:val="21"/>
                <w:szCs w:val="21"/>
                <w:highlight w:val="none"/>
                <w:shd w:val="clear" w:color="auto" w:fill="FFFFFF"/>
                <w:vertAlign w:val="baseline"/>
                <w:lang w:val="en-US" w:eastAsia="zh-CN" w:bidi="ar-SA"/>
              </w:rPr>
            </w:pPr>
            <w:r>
              <w:rPr>
                <w:rFonts w:hint="eastAsia" w:ascii="宋体" w:hAnsi="宋体" w:eastAsia="宋体" w:cs="宋体"/>
                <w:color w:val="auto"/>
                <w:sz w:val="21"/>
                <w:szCs w:val="21"/>
                <w:highlight w:val="none"/>
                <w:lang w:val="en-US" w:eastAsia="zh-CN"/>
              </w:rPr>
              <w:t>生化培养箱</w:t>
            </w:r>
          </w:p>
        </w:tc>
        <w:tc>
          <w:tcPr>
            <w:tcW w:w="1489" w:type="dxa"/>
            <w:noWrap w:val="0"/>
            <w:vAlign w:val="center"/>
          </w:tcPr>
          <w:p w14:paraId="6BD642B7">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szCs w:val="21"/>
              </w:rPr>
              <w:t>TS606-G/4-i</w:t>
            </w:r>
          </w:p>
        </w:tc>
        <w:tc>
          <w:tcPr>
            <w:tcW w:w="693" w:type="dxa"/>
            <w:noWrap w:val="0"/>
            <w:vAlign w:val="center"/>
          </w:tcPr>
          <w:p w14:paraId="77A8D586">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1175" w:type="dxa"/>
            <w:noWrap w:val="0"/>
            <w:vAlign w:val="center"/>
          </w:tcPr>
          <w:p w14:paraId="51A317B2">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校准</w:t>
            </w:r>
          </w:p>
        </w:tc>
        <w:tc>
          <w:tcPr>
            <w:tcW w:w="1950" w:type="dxa"/>
            <w:noWrap w:val="0"/>
            <w:vAlign w:val="center"/>
          </w:tcPr>
          <w:p w14:paraId="0B9825B9">
            <w:pPr>
              <w:jc w:val="center"/>
              <w:rPr>
                <w:rFonts w:hint="eastAsia" w:ascii="宋体" w:hAnsi="宋体" w:eastAsia="宋体" w:cs="宋体"/>
                <w:color w:val="auto"/>
                <w:spacing w:val="7"/>
                <w:kern w:val="2"/>
                <w:sz w:val="21"/>
                <w:szCs w:val="21"/>
                <w:highlight w:val="none"/>
                <w:shd w:val="clear" w:color="auto" w:fill="FFFFFF"/>
                <w:vertAlign w:val="baseline"/>
                <w:lang w:val="en-US" w:eastAsia="zh-CN" w:bidi="ar-SA"/>
              </w:rPr>
            </w:pPr>
            <w:r>
              <w:rPr>
                <w:rFonts w:hint="eastAsia" w:ascii="宋体" w:hAnsi="宋体" w:eastAsia="宋体" w:cs="宋体"/>
                <w:color w:val="auto"/>
                <w:sz w:val="21"/>
                <w:szCs w:val="21"/>
                <w:highlight w:val="none"/>
              </w:rPr>
              <w:t>JJF 1101-2019《环境试验设备温度、湿度 校准规范》</w:t>
            </w:r>
          </w:p>
        </w:tc>
        <w:tc>
          <w:tcPr>
            <w:tcW w:w="1350" w:type="dxa"/>
            <w:noWrap w:val="0"/>
            <w:vAlign w:val="center"/>
          </w:tcPr>
          <w:p w14:paraId="64FF4AA6">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315</w:t>
            </w:r>
          </w:p>
        </w:tc>
      </w:tr>
      <w:tr w14:paraId="265BE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3" w:type="dxa"/>
            <w:noWrap w:val="0"/>
            <w:vAlign w:val="center"/>
          </w:tcPr>
          <w:p w14:paraId="1FF2E148">
            <w:pPr>
              <w:pStyle w:val="20"/>
              <w:spacing w:before="296" w:line="183"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cs="宋体"/>
                <w:color w:val="auto"/>
                <w:sz w:val="21"/>
                <w:szCs w:val="21"/>
                <w:highlight w:val="none"/>
                <w:lang w:val="en-US" w:eastAsia="zh-CN"/>
              </w:rPr>
              <w:t>8</w:t>
            </w:r>
          </w:p>
        </w:tc>
        <w:tc>
          <w:tcPr>
            <w:tcW w:w="1488" w:type="dxa"/>
            <w:noWrap w:val="0"/>
            <w:vAlign w:val="center"/>
          </w:tcPr>
          <w:p w14:paraId="3B138803">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电热恒温培养箱</w:t>
            </w:r>
          </w:p>
        </w:tc>
        <w:tc>
          <w:tcPr>
            <w:tcW w:w="1489" w:type="dxa"/>
            <w:noWrap w:val="0"/>
            <w:vAlign w:val="center"/>
          </w:tcPr>
          <w:p w14:paraId="11A363E1">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szCs w:val="21"/>
              </w:rPr>
              <w:t>HHB11420BY</w:t>
            </w:r>
          </w:p>
        </w:tc>
        <w:tc>
          <w:tcPr>
            <w:tcW w:w="693" w:type="dxa"/>
            <w:noWrap w:val="0"/>
            <w:vAlign w:val="center"/>
          </w:tcPr>
          <w:p w14:paraId="69DB3359">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1175" w:type="dxa"/>
            <w:noWrap w:val="0"/>
            <w:vAlign w:val="center"/>
          </w:tcPr>
          <w:p w14:paraId="1F546CC0">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校准</w:t>
            </w:r>
          </w:p>
        </w:tc>
        <w:tc>
          <w:tcPr>
            <w:tcW w:w="1950" w:type="dxa"/>
            <w:noWrap w:val="0"/>
            <w:vAlign w:val="center"/>
          </w:tcPr>
          <w:p w14:paraId="5DB902BF">
            <w:pPr>
              <w:jc w:val="center"/>
              <w:rPr>
                <w:rFonts w:hint="eastAsia" w:ascii="宋体" w:hAnsi="宋体" w:eastAsia="宋体" w:cs="宋体"/>
                <w:color w:val="auto"/>
                <w:spacing w:val="7"/>
                <w:kern w:val="2"/>
                <w:sz w:val="21"/>
                <w:szCs w:val="21"/>
                <w:highlight w:val="none"/>
                <w:shd w:val="clear" w:color="auto" w:fill="FFFFFF"/>
                <w:vertAlign w:val="baseline"/>
                <w:lang w:val="en-US" w:eastAsia="zh-CN" w:bidi="ar-SA"/>
              </w:rPr>
            </w:pPr>
            <w:r>
              <w:rPr>
                <w:rFonts w:hint="eastAsia" w:ascii="宋体" w:hAnsi="宋体" w:eastAsia="宋体" w:cs="宋体"/>
                <w:color w:val="auto"/>
                <w:sz w:val="21"/>
                <w:szCs w:val="21"/>
                <w:highlight w:val="none"/>
              </w:rPr>
              <w:t>JJF 1101-2019《环境试验设备温度、湿度 校准规范》</w:t>
            </w:r>
          </w:p>
        </w:tc>
        <w:tc>
          <w:tcPr>
            <w:tcW w:w="1350" w:type="dxa"/>
            <w:noWrap w:val="0"/>
            <w:vAlign w:val="center"/>
          </w:tcPr>
          <w:p w14:paraId="63B1F7F6">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315</w:t>
            </w:r>
          </w:p>
        </w:tc>
      </w:tr>
      <w:tr w14:paraId="109B2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3" w:type="dxa"/>
            <w:noWrap w:val="0"/>
            <w:vAlign w:val="center"/>
          </w:tcPr>
          <w:p w14:paraId="7C63F996">
            <w:pPr>
              <w:pStyle w:val="20"/>
              <w:spacing w:before="296" w:line="183" w:lineRule="auto"/>
              <w:jc w:val="center"/>
              <w:rPr>
                <w:rFonts w:hint="eastAsia" w:ascii="宋体" w:hAnsi="宋体" w:eastAsia="宋体" w:cs="宋体"/>
                <w:color w:val="auto"/>
                <w:spacing w:val="7"/>
                <w:sz w:val="21"/>
                <w:szCs w:val="21"/>
                <w:highlight w:val="none"/>
                <w:shd w:val="clear" w:color="auto" w:fill="FFFFFF"/>
                <w:vertAlign w:val="baseline"/>
                <w:lang w:val="en-US" w:eastAsia="zh-CN"/>
              </w:rPr>
            </w:pPr>
            <w:r>
              <w:rPr>
                <w:rFonts w:hint="eastAsia" w:ascii="宋体" w:hAnsi="宋体" w:eastAsia="宋体" w:cs="宋体"/>
                <w:color w:val="auto"/>
                <w:spacing w:val="7"/>
                <w:sz w:val="21"/>
                <w:szCs w:val="21"/>
                <w:highlight w:val="none"/>
                <w:shd w:val="clear" w:color="auto" w:fill="FFFFFF"/>
                <w:vertAlign w:val="baseline"/>
                <w:lang w:val="en-US" w:eastAsia="zh-CN"/>
              </w:rPr>
              <w:t>1</w:t>
            </w:r>
            <w:r>
              <w:rPr>
                <w:rFonts w:hint="eastAsia" w:cs="宋体"/>
                <w:color w:val="auto"/>
                <w:spacing w:val="7"/>
                <w:sz w:val="21"/>
                <w:szCs w:val="21"/>
                <w:highlight w:val="none"/>
                <w:shd w:val="clear" w:color="auto" w:fill="FFFFFF"/>
                <w:vertAlign w:val="baseline"/>
                <w:lang w:val="en-US" w:eastAsia="zh-CN"/>
              </w:rPr>
              <w:t>9</w:t>
            </w:r>
          </w:p>
        </w:tc>
        <w:tc>
          <w:tcPr>
            <w:tcW w:w="1488" w:type="dxa"/>
            <w:noWrap w:val="0"/>
            <w:vAlign w:val="center"/>
          </w:tcPr>
          <w:p w14:paraId="40F54BDB">
            <w:pPr>
              <w:tabs>
                <w:tab w:val="left" w:pos="852"/>
              </w:tabs>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箱式电阻炉</w:t>
            </w:r>
          </w:p>
        </w:tc>
        <w:tc>
          <w:tcPr>
            <w:tcW w:w="1489" w:type="dxa"/>
            <w:noWrap w:val="0"/>
            <w:vAlign w:val="center"/>
          </w:tcPr>
          <w:p w14:paraId="215707D5">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szCs w:val="21"/>
              </w:rPr>
              <w:t>SXL-1008T</w:t>
            </w:r>
          </w:p>
        </w:tc>
        <w:tc>
          <w:tcPr>
            <w:tcW w:w="693" w:type="dxa"/>
            <w:noWrap w:val="0"/>
            <w:vAlign w:val="center"/>
          </w:tcPr>
          <w:p w14:paraId="3DEBE808">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175" w:type="dxa"/>
            <w:noWrap w:val="0"/>
            <w:vAlign w:val="center"/>
          </w:tcPr>
          <w:p w14:paraId="3D6D93C2">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校准</w:t>
            </w:r>
          </w:p>
        </w:tc>
        <w:tc>
          <w:tcPr>
            <w:tcW w:w="1950" w:type="dxa"/>
            <w:noWrap w:val="0"/>
            <w:vAlign w:val="center"/>
          </w:tcPr>
          <w:p w14:paraId="194BB322">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JJF</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1376-2012《箱式电阻炉校准规范》</w:t>
            </w:r>
          </w:p>
        </w:tc>
        <w:tc>
          <w:tcPr>
            <w:tcW w:w="1350" w:type="dxa"/>
            <w:noWrap w:val="0"/>
            <w:vAlign w:val="center"/>
          </w:tcPr>
          <w:p w14:paraId="38B44CEF">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508</w:t>
            </w:r>
          </w:p>
        </w:tc>
      </w:tr>
      <w:tr w14:paraId="33DA2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3" w:type="dxa"/>
            <w:noWrap w:val="0"/>
            <w:vAlign w:val="center"/>
          </w:tcPr>
          <w:p w14:paraId="65321C93">
            <w:pPr>
              <w:pStyle w:val="20"/>
              <w:spacing w:before="266" w:line="183" w:lineRule="auto"/>
              <w:jc w:val="center"/>
              <w:rPr>
                <w:rFonts w:hint="default" w:ascii="宋体" w:hAnsi="宋体" w:eastAsia="宋体" w:cs="宋体"/>
                <w:color w:val="auto"/>
                <w:spacing w:val="7"/>
                <w:sz w:val="21"/>
                <w:szCs w:val="21"/>
                <w:highlight w:val="none"/>
                <w:shd w:val="clear" w:color="auto" w:fill="FFFFFF"/>
                <w:vertAlign w:val="baseline"/>
                <w:lang w:val="en-US" w:eastAsia="zh-CN"/>
              </w:rPr>
            </w:pPr>
            <w:r>
              <w:rPr>
                <w:rFonts w:hint="eastAsia" w:cs="宋体"/>
                <w:color w:val="auto"/>
                <w:spacing w:val="7"/>
                <w:sz w:val="21"/>
                <w:szCs w:val="21"/>
                <w:highlight w:val="none"/>
                <w:shd w:val="clear" w:color="auto" w:fill="FFFFFF"/>
                <w:vertAlign w:val="baseline"/>
                <w:lang w:val="en-US" w:eastAsia="zh-CN"/>
              </w:rPr>
              <w:t>20</w:t>
            </w:r>
          </w:p>
        </w:tc>
        <w:tc>
          <w:tcPr>
            <w:tcW w:w="1488" w:type="dxa"/>
            <w:noWrap w:val="0"/>
            <w:vAlign w:val="center"/>
          </w:tcPr>
          <w:p w14:paraId="21837F34">
            <w:pPr>
              <w:jc w:val="center"/>
              <w:rPr>
                <w:rFonts w:hint="eastAsia" w:ascii="宋体" w:hAnsi="宋体" w:eastAsia="宋体" w:cs="宋体"/>
                <w:color w:val="auto"/>
                <w:spacing w:val="7"/>
                <w:sz w:val="21"/>
                <w:szCs w:val="21"/>
                <w:highlight w:val="none"/>
                <w:shd w:val="clear" w:color="auto" w:fill="FFFFFF"/>
                <w:vertAlign w:val="baseline"/>
                <w:lang w:val="en-US" w:eastAsia="zh-CN"/>
              </w:rPr>
            </w:pPr>
            <w:r>
              <w:rPr>
                <w:rFonts w:hint="eastAsia" w:ascii="宋体" w:hAnsi="宋体" w:eastAsia="宋体" w:cs="宋体"/>
                <w:color w:val="auto"/>
                <w:sz w:val="21"/>
                <w:szCs w:val="21"/>
                <w:highlight w:val="none"/>
                <w:lang w:val="en-US" w:eastAsia="zh-CN"/>
              </w:rPr>
              <w:t>电热鼓风干燥箱</w:t>
            </w:r>
          </w:p>
        </w:tc>
        <w:tc>
          <w:tcPr>
            <w:tcW w:w="1489" w:type="dxa"/>
            <w:noWrap w:val="0"/>
            <w:vAlign w:val="center"/>
          </w:tcPr>
          <w:p w14:paraId="03354E76">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szCs w:val="21"/>
              </w:rPr>
              <w:t>GZX-GF101-2BS</w:t>
            </w:r>
          </w:p>
        </w:tc>
        <w:tc>
          <w:tcPr>
            <w:tcW w:w="693" w:type="dxa"/>
            <w:noWrap w:val="0"/>
            <w:vAlign w:val="center"/>
          </w:tcPr>
          <w:p w14:paraId="64236F5A">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1175" w:type="dxa"/>
            <w:noWrap w:val="0"/>
            <w:vAlign w:val="center"/>
          </w:tcPr>
          <w:p w14:paraId="61132916">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校准</w:t>
            </w:r>
          </w:p>
        </w:tc>
        <w:tc>
          <w:tcPr>
            <w:tcW w:w="1950" w:type="dxa"/>
            <w:noWrap w:val="0"/>
            <w:vAlign w:val="center"/>
          </w:tcPr>
          <w:p w14:paraId="11CA4D59">
            <w:pPr>
              <w:jc w:val="center"/>
              <w:rPr>
                <w:rFonts w:hint="eastAsia" w:ascii="宋体" w:hAnsi="宋体" w:eastAsia="宋体" w:cs="宋体"/>
                <w:color w:val="auto"/>
                <w:spacing w:val="7"/>
                <w:sz w:val="21"/>
                <w:szCs w:val="21"/>
                <w:highlight w:val="none"/>
                <w:shd w:val="clear" w:color="auto" w:fill="FFFFFF"/>
                <w:vertAlign w:val="baseline"/>
                <w:lang w:val="en-US" w:eastAsia="zh-CN"/>
              </w:rPr>
            </w:pPr>
            <w:r>
              <w:rPr>
                <w:rFonts w:hint="eastAsia" w:ascii="宋体" w:hAnsi="宋体" w:eastAsia="宋体" w:cs="宋体"/>
                <w:color w:val="auto"/>
                <w:sz w:val="21"/>
                <w:szCs w:val="21"/>
                <w:highlight w:val="none"/>
              </w:rPr>
              <w:t>JJF 1101-2019《环境试验设备温度、湿度 校准规范》</w:t>
            </w:r>
          </w:p>
        </w:tc>
        <w:tc>
          <w:tcPr>
            <w:tcW w:w="1350" w:type="dxa"/>
            <w:noWrap w:val="0"/>
            <w:vAlign w:val="center"/>
          </w:tcPr>
          <w:p w14:paraId="29BFD297">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328</w:t>
            </w:r>
          </w:p>
        </w:tc>
      </w:tr>
      <w:tr w14:paraId="3448E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3" w:type="dxa"/>
            <w:noWrap w:val="0"/>
            <w:vAlign w:val="center"/>
          </w:tcPr>
          <w:p w14:paraId="7E55E393">
            <w:pPr>
              <w:pStyle w:val="20"/>
              <w:spacing w:before="267" w:line="183" w:lineRule="auto"/>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21</w:t>
            </w:r>
          </w:p>
        </w:tc>
        <w:tc>
          <w:tcPr>
            <w:tcW w:w="1488" w:type="dxa"/>
            <w:noWrap w:val="0"/>
            <w:vAlign w:val="center"/>
          </w:tcPr>
          <w:p w14:paraId="17FDBCD5">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立式压力蒸汽灭菌锅</w:t>
            </w:r>
          </w:p>
        </w:tc>
        <w:tc>
          <w:tcPr>
            <w:tcW w:w="1489" w:type="dxa"/>
            <w:noWrap w:val="0"/>
            <w:vAlign w:val="center"/>
          </w:tcPr>
          <w:p w14:paraId="43080082">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szCs w:val="21"/>
              </w:rPr>
              <w:t>LDZF-50KB</w:t>
            </w:r>
          </w:p>
        </w:tc>
        <w:tc>
          <w:tcPr>
            <w:tcW w:w="693" w:type="dxa"/>
            <w:noWrap w:val="0"/>
            <w:vAlign w:val="center"/>
          </w:tcPr>
          <w:p w14:paraId="4C599423">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175" w:type="dxa"/>
            <w:noWrap w:val="0"/>
            <w:vAlign w:val="center"/>
          </w:tcPr>
          <w:p w14:paraId="58FA5BE3">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校准</w:t>
            </w:r>
          </w:p>
        </w:tc>
        <w:tc>
          <w:tcPr>
            <w:tcW w:w="1950" w:type="dxa"/>
            <w:noWrap w:val="0"/>
            <w:vAlign w:val="center"/>
          </w:tcPr>
          <w:p w14:paraId="396A3736">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JJF(苏)96-2010《蒸汽灭菌器温度、压力校准规范》</w:t>
            </w:r>
          </w:p>
        </w:tc>
        <w:tc>
          <w:tcPr>
            <w:tcW w:w="1350" w:type="dxa"/>
            <w:noWrap w:val="0"/>
            <w:vAlign w:val="center"/>
          </w:tcPr>
          <w:p w14:paraId="265FD523">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340</w:t>
            </w:r>
          </w:p>
        </w:tc>
      </w:tr>
      <w:tr w14:paraId="012D7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3" w:type="dxa"/>
            <w:noWrap w:val="0"/>
            <w:vAlign w:val="center"/>
          </w:tcPr>
          <w:p w14:paraId="40CD6082">
            <w:pPr>
              <w:pStyle w:val="20"/>
              <w:spacing w:before="267" w:line="183" w:lineRule="auto"/>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22</w:t>
            </w:r>
          </w:p>
        </w:tc>
        <w:tc>
          <w:tcPr>
            <w:tcW w:w="1488" w:type="dxa"/>
            <w:noWrap w:val="0"/>
            <w:vAlign w:val="center"/>
          </w:tcPr>
          <w:p w14:paraId="476D89C6">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离子活度计</w:t>
            </w:r>
          </w:p>
        </w:tc>
        <w:tc>
          <w:tcPr>
            <w:tcW w:w="1489" w:type="dxa"/>
            <w:noWrap w:val="0"/>
            <w:vAlign w:val="center"/>
          </w:tcPr>
          <w:p w14:paraId="29FC6625">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szCs w:val="21"/>
              </w:rPr>
              <w:t>PXSJ-226</w:t>
            </w:r>
          </w:p>
        </w:tc>
        <w:tc>
          <w:tcPr>
            <w:tcW w:w="693" w:type="dxa"/>
            <w:noWrap w:val="0"/>
            <w:vAlign w:val="center"/>
          </w:tcPr>
          <w:p w14:paraId="4509E874">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1175" w:type="dxa"/>
            <w:noWrap w:val="0"/>
            <w:vAlign w:val="center"/>
          </w:tcPr>
          <w:p w14:paraId="7EF8CAA4">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校准</w:t>
            </w:r>
          </w:p>
        </w:tc>
        <w:tc>
          <w:tcPr>
            <w:tcW w:w="1950" w:type="dxa"/>
            <w:noWrap w:val="0"/>
            <w:vAlign w:val="center"/>
          </w:tcPr>
          <w:p w14:paraId="75F13B8F">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JJG</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757-2018《离子计检定规程》</w:t>
            </w:r>
          </w:p>
        </w:tc>
        <w:tc>
          <w:tcPr>
            <w:tcW w:w="1350" w:type="dxa"/>
            <w:noWrap w:val="0"/>
            <w:vAlign w:val="center"/>
          </w:tcPr>
          <w:p w14:paraId="2E075A67">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400</w:t>
            </w:r>
          </w:p>
        </w:tc>
      </w:tr>
      <w:tr w14:paraId="2AD57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3" w:type="dxa"/>
            <w:noWrap w:val="0"/>
            <w:vAlign w:val="center"/>
          </w:tcPr>
          <w:p w14:paraId="5255363B">
            <w:pPr>
              <w:pStyle w:val="20"/>
              <w:spacing w:before="267" w:line="183" w:lineRule="auto"/>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23</w:t>
            </w:r>
          </w:p>
        </w:tc>
        <w:tc>
          <w:tcPr>
            <w:tcW w:w="1488" w:type="dxa"/>
            <w:noWrap w:val="0"/>
            <w:vAlign w:val="center"/>
          </w:tcPr>
          <w:p w14:paraId="6CCC6D54">
            <w:pPr>
              <w:jc w:val="center"/>
              <w:rPr>
                <w:rFonts w:hint="eastAsia" w:ascii="宋体" w:hAnsi="宋体" w:eastAsia="宋体" w:cs="宋体"/>
                <w:color w:val="auto"/>
                <w:spacing w:val="7"/>
                <w:kern w:val="2"/>
                <w:sz w:val="21"/>
                <w:szCs w:val="21"/>
                <w:highlight w:val="none"/>
                <w:shd w:val="clear" w:color="auto" w:fill="FFFFFF"/>
                <w:vertAlign w:val="baseline"/>
                <w:lang w:val="en-US" w:eastAsia="zh-CN" w:bidi="ar-SA"/>
              </w:rPr>
            </w:pPr>
            <w:r>
              <w:rPr>
                <w:rFonts w:hint="eastAsia" w:ascii="宋体" w:hAnsi="宋体" w:eastAsia="宋体" w:cs="宋体"/>
                <w:color w:val="auto"/>
                <w:sz w:val="21"/>
                <w:szCs w:val="21"/>
                <w:highlight w:val="none"/>
              </w:rPr>
              <w:t>电导率仪</w:t>
            </w:r>
          </w:p>
        </w:tc>
        <w:tc>
          <w:tcPr>
            <w:tcW w:w="1489" w:type="dxa"/>
            <w:noWrap w:val="0"/>
            <w:vAlign w:val="center"/>
          </w:tcPr>
          <w:p w14:paraId="5F7949ED">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szCs w:val="21"/>
              </w:rPr>
              <w:t>DDS-307A</w:t>
            </w:r>
          </w:p>
        </w:tc>
        <w:tc>
          <w:tcPr>
            <w:tcW w:w="693" w:type="dxa"/>
            <w:noWrap w:val="0"/>
            <w:vAlign w:val="center"/>
          </w:tcPr>
          <w:p w14:paraId="224D0DEC">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175" w:type="dxa"/>
            <w:noWrap w:val="0"/>
            <w:vAlign w:val="center"/>
          </w:tcPr>
          <w:p w14:paraId="05EEE3D6">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校准</w:t>
            </w:r>
          </w:p>
        </w:tc>
        <w:tc>
          <w:tcPr>
            <w:tcW w:w="1950" w:type="dxa"/>
            <w:noWrap w:val="0"/>
            <w:vAlign w:val="center"/>
          </w:tcPr>
          <w:p w14:paraId="2AE79A71">
            <w:pPr>
              <w:jc w:val="center"/>
              <w:rPr>
                <w:rFonts w:hint="eastAsia" w:ascii="宋体" w:hAnsi="宋体" w:eastAsia="宋体" w:cs="宋体"/>
                <w:color w:val="auto"/>
                <w:spacing w:val="7"/>
                <w:kern w:val="2"/>
                <w:sz w:val="21"/>
                <w:szCs w:val="21"/>
                <w:highlight w:val="none"/>
                <w:shd w:val="clear" w:color="auto" w:fill="FFFFFF"/>
                <w:vertAlign w:val="baseline"/>
                <w:lang w:val="en-US" w:eastAsia="zh-CN" w:bidi="ar-SA"/>
              </w:rPr>
            </w:pPr>
            <w:r>
              <w:rPr>
                <w:rFonts w:hint="eastAsia" w:ascii="宋体" w:hAnsi="宋体" w:eastAsia="宋体" w:cs="宋体"/>
                <w:color w:val="auto"/>
                <w:sz w:val="21"/>
                <w:szCs w:val="21"/>
                <w:highlight w:val="none"/>
              </w:rPr>
              <w:t>JJG</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376-2007《电导率仪检定规程》</w:t>
            </w:r>
          </w:p>
        </w:tc>
        <w:tc>
          <w:tcPr>
            <w:tcW w:w="1350" w:type="dxa"/>
            <w:noWrap w:val="0"/>
            <w:vAlign w:val="center"/>
          </w:tcPr>
          <w:p w14:paraId="3247CB83">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300</w:t>
            </w:r>
          </w:p>
        </w:tc>
      </w:tr>
      <w:tr w14:paraId="0A47C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3" w:type="dxa"/>
            <w:noWrap w:val="0"/>
            <w:vAlign w:val="center"/>
          </w:tcPr>
          <w:p w14:paraId="7EDAACC7">
            <w:pPr>
              <w:pStyle w:val="20"/>
              <w:spacing w:before="267" w:line="183" w:lineRule="auto"/>
              <w:jc w:val="center"/>
              <w:rPr>
                <w:rFonts w:hint="default" w:ascii="宋体" w:hAnsi="宋体" w:eastAsia="宋体" w:cs="宋体"/>
                <w:color w:val="auto"/>
                <w:spacing w:val="7"/>
                <w:sz w:val="21"/>
                <w:szCs w:val="21"/>
                <w:highlight w:val="none"/>
                <w:shd w:val="clear" w:color="auto" w:fill="FFFFFF"/>
                <w:vertAlign w:val="baseline"/>
                <w:lang w:val="en-US" w:eastAsia="zh-CN"/>
              </w:rPr>
            </w:pPr>
            <w:r>
              <w:rPr>
                <w:rFonts w:hint="eastAsia" w:cs="宋体"/>
                <w:color w:val="auto"/>
                <w:spacing w:val="7"/>
                <w:sz w:val="21"/>
                <w:szCs w:val="21"/>
                <w:highlight w:val="none"/>
                <w:shd w:val="clear" w:color="auto" w:fill="FFFFFF"/>
                <w:vertAlign w:val="baseline"/>
                <w:lang w:val="en-US" w:eastAsia="zh-CN"/>
              </w:rPr>
              <w:t>24</w:t>
            </w:r>
          </w:p>
        </w:tc>
        <w:tc>
          <w:tcPr>
            <w:tcW w:w="1488" w:type="dxa"/>
            <w:noWrap w:val="0"/>
            <w:vAlign w:val="center"/>
          </w:tcPr>
          <w:p w14:paraId="1812D5A4">
            <w:pPr>
              <w:pStyle w:val="20"/>
              <w:spacing w:before="246" w:line="219" w:lineRule="auto"/>
              <w:jc w:val="center"/>
              <w:rPr>
                <w:rFonts w:hint="eastAsia" w:ascii="宋体" w:hAnsi="宋体" w:eastAsia="宋体" w:cs="宋体"/>
                <w:color w:val="auto"/>
                <w:spacing w:val="7"/>
                <w:kern w:val="2"/>
                <w:sz w:val="21"/>
                <w:szCs w:val="21"/>
                <w:highlight w:val="none"/>
                <w:shd w:val="clear" w:color="auto" w:fill="FFFFFF"/>
                <w:vertAlign w:val="baseline"/>
                <w:lang w:val="en-US" w:eastAsia="zh-CN" w:bidi="ar-SA"/>
              </w:rPr>
            </w:pPr>
            <w:r>
              <w:rPr>
                <w:rFonts w:hint="eastAsia" w:ascii="宋体" w:hAnsi="宋体" w:eastAsia="宋体" w:cs="宋体"/>
                <w:color w:val="auto"/>
                <w:spacing w:val="-2"/>
                <w:sz w:val="21"/>
                <w:szCs w:val="21"/>
                <w:highlight w:val="none"/>
              </w:rPr>
              <w:t>数字式温湿度计</w:t>
            </w:r>
          </w:p>
        </w:tc>
        <w:tc>
          <w:tcPr>
            <w:tcW w:w="1489" w:type="dxa"/>
            <w:noWrap w:val="0"/>
            <w:vAlign w:val="center"/>
          </w:tcPr>
          <w:p w14:paraId="77CEE223">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THP22BL</w:t>
            </w:r>
          </w:p>
        </w:tc>
        <w:tc>
          <w:tcPr>
            <w:tcW w:w="693" w:type="dxa"/>
            <w:noWrap w:val="0"/>
            <w:vAlign w:val="center"/>
          </w:tcPr>
          <w:p w14:paraId="123D2BFD">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1175" w:type="dxa"/>
            <w:noWrap w:val="0"/>
            <w:vAlign w:val="center"/>
          </w:tcPr>
          <w:p w14:paraId="4A8C4C20">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校准</w:t>
            </w:r>
          </w:p>
        </w:tc>
        <w:tc>
          <w:tcPr>
            <w:tcW w:w="1950" w:type="dxa"/>
            <w:noWrap w:val="0"/>
            <w:vAlign w:val="center"/>
          </w:tcPr>
          <w:p w14:paraId="0456B848">
            <w:pPr>
              <w:pStyle w:val="20"/>
              <w:spacing w:before="157" w:line="221" w:lineRule="auto"/>
              <w:ind w:right="105" w:rightChars="0"/>
              <w:jc w:val="center"/>
              <w:rPr>
                <w:rFonts w:hint="eastAsia" w:ascii="宋体" w:hAnsi="宋体" w:eastAsia="宋体" w:cs="宋体"/>
                <w:color w:val="auto"/>
                <w:spacing w:val="7"/>
                <w:kern w:val="2"/>
                <w:sz w:val="21"/>
                <w:szCs w:val="21"/>
                <w:highlight w:val="none"/>
                <w:shd w:val="clear" w:color="auto" w:fill="FFFFFF"/>
                <w:vertAlign w:val="baseline"/>
                <w:lang w:val="en-US" w:eastAsia="zh-CN" w:bidi="ar-SA"/>
              </w:rPr>
            </w:pPr>
            <w:r>
              <w:rPr>
                <w:rFonts w:hint="eastAsia" w:ascii="宋体" w:hAnsi="宋体" w:eastAsia="宋体" w:cs="宋体"/>
                <w:color w:val="auto"/>
                <w:spacing w:val="-3"/>
                <w:sz w:val="21"/>
                <w:szCs w:val="21"/>
                <w:highlight w:val="none"/>
              </w:rPr>
              <w:t>JJF</w:t>
            </w:r>
            <w:r>
              <w:rPr>
                <w:rFonts w:hint="eastAsia" w:cs="宋体"/>
                <w:color w:val="auto"/>
                <w:spacing w:val="-3"/>
                <w:sz w:val="21"/>
                <w:szCs w:val="21"/>
                <w:highlight w:val="none"/>
                <w:lang w:val="en-US" w:eastAsia="zh-CN"/>
              </w:rPr>
              <w:t xml:space="preserve"> </w:t>
            </w:r>
            <w:r>
              <w:rPr>
                <w:rFonts w:hint="eastAsia" w:ascii="宋体" w:hAnsi="宋体" w:eastAsia="宋体" w:cs="宋体"/>
                <w:color w:val="auto"/>
                <w:spacing w:val="-3"/>
                <w:sz w:val="21"/>
                <w:szCs w:val="21"/>
                <w:highlight w:val="none"/>
              </w:rPr>
              <w:t>1076-2020</w:t>
            </w:r>
            <w:r>
              <w:rPr>
                <w:rFonts w:hint="eastAsia" w:ascii="宋体" w:hAnsi="宋体" w:eastAsia="宋体" w:cs="宋体"/>
                <w:color w:val="auto"/>
                <w:spacing w:val="-2"/>
                <w:sz w:val="21"/>
                <w:szCs w:val="21"/>
                <w:highlight w:val="none"/>
              </w:rPr>
              <w:t>《数字温湿度计校准规范》</w:t>
            </w:r>
          </w:p>
        </w:tc>
        <w:tc>
          <w:tcPr>
            <w:tcW w:w="1350" w:type="dxa"/>
            <w:noWrap w:val="0"/>
            <w:vAlign w:val="center"/>
          </w:tcPr>
          <w:p w14:paraId="1D609D37">
            <w:pPr>
              <w:pStyle w:val="20"/>
              <w:spacing w:before="157" w:line="221" w:lineRule="auto"/>
              <w:ind w:right="105" w:rightChars="0"/>
              <w:jc w:val="center"/>
              <w:rPr>
                <w:rFonts w:hint="default"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300</w:t>
            </w:r>
          </w:p>
        </w:tc>
      </w:tr>
      <w:tr w14:paraId="6D43D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3" w:type="dxa"/>
            <w:noWrap w:val="0"/>
            <w:vAlign w:val="center"/>
          </w:tcPr>
          <w:p w14:paraId="583B4427">
            <w:pPr>
              <w:pStyle w:val="20"/>
              <w:spacing w:before="266" w:line="184" w:lineRule="auto"/>
              <w:jc w:val="center"/>
              <w:rPr>
                <w:rFonts w:hint="default" w:ascii="宋体" w:hAnsi="宋体" w:eastAsia="宋体" w:cs="宋体"/>
                <w:color w:val="auto"/>
                <w:spacing w:val="7"/>
                <w:sz w:val="21"/>
                <w:szCs w:val="21"/>
                <w:highlight w:val="none"/>
                <w:shd w:val="clear" w:color="auto" w:fill="FFFFFF"/>
                <w:vertAlign w:val="baseline"/>
                <w:lang w:val="en-US" w:eastAsia="zh-CN"/>
              </w:rPr>
            </w:pPr>
            <w:r>
              <w:rPr>
                <w:rFonts w:hint="eastAsia" w:cs="宋体"/>
                <w:color w:val="auto"/>
                <w:spacing w:val="7"/>
                <w:sz w:val="21"/>
                <w:szCs w:val="21"/>
                <w:highlight w:val="none"/>
                <w:shd w:val="clear" w:color="auto" w:fill="FFFFFF"/>
                <w:vertAlign w:val="baseline"/>
                <w:lang w:val="en-US" w:eastAsia="zh-CN"/>
              </w:rPr>
              <w:t>25</w:t>
            </w:r>
          </w:p>
        </w:tc>
        <w:tc>
          <w:tcPr>
            <w:tcW w:w="1488" w:type="dxa"/>
            <w:noWrap w:val="0"/>
            <w:vAlign w:val="center"/>
          </w:tcPr>
          <w:p w14:paraId="4942746B">
            <w:pPr>
              <w:jc w:val="center"/>
              <w:rPr>
                <w:rFonts w:hint="eastAsia" w:ascii="宋体" w:hAnsi="宋体" w:eastAsia="宋体" w:cs="宋体"/>
                <w:color w:val="auto"/>
                <w:spacing w:val="7"/>
                <w:sz w:val="21"/>
                <w:szCs w:val="21"/>
                <w:highlight w:val="none"/>
                <w:shd w:val="clear" w:color="auto" w:fill="FFFFFF"/>
                <w:vertAlign w:val="baseline"/>
                <w:lang w:val="en-US" w:eastAsia="zh-CN"/>
              </w:rPr>
            </w:pPr>
            <w:r>
              <w:rPr>
                <w:rFonts w:hint="eastAsia" w:ascii="宋体" w:hAnsi="宋体" w:eastAsia="宋体" w:cs="宋体"/>
                <w:color w:val="auto"/>
                <w:spacing w:val="7"/>
                <w:sz w:val="21"/>
                <w:szCs w:val="21"/>
                <w:highlight w:val="none"/>
                <w:shd w:val="clear" w:color="auto" w:fill="FFFFFF"/>
                <w:vertAlign w:val="baseline"/>
                <w:lang w:val="en-US" w:eastAsia="zh-CN"/>
              </w:rPr>
              <w:t>英霍夫锥形管</w:t>
            </w:r>
          </w:p>
        </w:tc>
        <w:tc>
          <w:tcPr>
            <w:tcW w:w="1489" w:type="dxa"/>
            <w:noWrap w:val="0"/>
            <w:vAlign w:val="center"/>
          </w:tcPr>
          <w:p w14:paraId="71493C4B">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693" w:type="dxa"/>
            <w:noWrap w:val="0"/>
            <w:vAlign w:val="center"/>
          </w:tcPr>
          <w:p w14:paraId="65566469">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175" w:type="dxa"/>
            <w:noWrap w:val="0"/>
            <w:vAlign w:val="center"/>
          </w:tcPr>
          <w:p w14:paraId="197E667F">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校准</w:t>
            </w:r>
          </w:p>
        </w:tc>
        <w:tc>
          <w:tcPr>
            <w:tcW w:w="1950" w:type="dxa"/>
            <w:noWrap w:val="0"/>
            <w:vAlign w:val="center"/>
          </w:tcPr>
          <w:p w14:paraId="32BD420C">
            <w:pPr>
              <w:jc w:val="center"/>
              <w:rPr>
                <w:rFonts w:hint="eastAsia" w:ascii="宋体" w:hAnsi="宋体" w:eastAsia="宋体" w:cs="宋体"/>
                <w:color w:val="auto"/>
                <w:spacing w:val="7"/>
                <w:kern w:val="2"/>
                <w:sz w:val="21"/>
                <w:szCs w:val="21"/>
                <w:highlight w:val="none"/>
                <w:shd w:val="clear" w:color="auto" w:fill="FFFFFF"/>
                <w:vertAlign w:val="baseline"/>
                <w:lang w:val="en-US" w:eastAsia="zh-CN" w:bidi="ar-SA"/>
              </w:rPr>
            </w:pPr>
            <w:r>
              <w:rPr>
                <w:rFonts w:hint="eastAsia" w:ascii="宋体" w:hAnsi="宋体" w:eastAsia="宋体" w:cs="宋体"/>
                <w:color w:val="auto"/>
                <w:sz w:val="21"/>
                <w:szCs w:val="21"/>
                <w:highlight w:val="none"/>
              </w:rPr>
              <w:t>J</w:t>
            </w:r>
            <w:r>
              <w:rPr>
                <w:rFonts w:hint="eastAsia" w:ascii="宋体" w:hAnsi="宋体" w:cs="宋体"/>
                <w:sz w:val="21"/>
                <w:szCs w:val="21"/>
                <w:highlight w:val="none"/>
                <w:lang w:val="en-US" w:eastAsia="zh-CN"/>
              </w:rPr>
              <w:t>J</w:t>
            </w:r>
            <w:r>
              <w:rPr>
                <w:rFonts w:hint="eastAsia" w:ascii="宋体" w:hAnsi="宋体" w:eastAsia="宋体" w:cs="宋体"/>
                <w:color w:val="auto"/>
                <w:sz w:val="21"/>
                <w:szCs w:val="21"/>
                <w:highlight w:val="none"/>
              </w:rPr>
              <w:t>G 196-2006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常用玻璃量器检定规程》</w:t>
            </w:r>
          </w:p>
        </w:tc>
        <w:tc>
          <w:tcPr>
            <w:tcW w:w="1350" w:type="dxa"/>
            <w:noWrap w:val="0"/>
            <w:vAlign w:val="center"/>
          </w:tcPr>
          <w:p w14:paraId="54F7C52F">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w:t>
            </w:r>
          </w:p>
        </w:tc>
      </w:tr>
      <w:tr w14:paraId="4449B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3" w:type="dxa"/>
            <w:noWrap w:val="0"/>
            <w:vAlign w:val="center"/>
          </w:tcPr>
          <w:p w14:paraId="5E48E44F">
            <w:pPr>
              <w:pStyle w:val="20"/>
              <w:spacing w:before="266" w:line="184" w:lineRule="auto"/>
              <w:jc w:val="center"/>
              <w:rPr>
                <w:rFonts w:hint="default" w:ascii="宋体" w:hAnsi="宋体" w:eastAsia="宋体" w:cs="宋体"/>
                <w:color w:val="auto"/>
                <w:spacing w:val="7"/>
                <w:sz w:val="21"/>
                <w:szCs w:val="21"/>
                <w:highlight w:val="none"/>
                <w:shd w:val="clear" w:color="auto" w:fill="FFFFFF"/>
                <w:vertAlign w:val="baseline"/>
                <w:lang w:val="en-US" w:eastAsia="zh-CN"/>
              </w:rPr>
            </w:pPr>
            <w:r>
              <w:rPr>
                <w:rFonts w:hint="eastAsia" w:cs="宋体"/>
                <w:color w:val="auto"/>
                <w:spacing w:val="7"/>
                <w:sz w:val="21"/>
                <w:szCs w:val="21"/>
                <w:highlight w:val="none"/>
                <w:shd w:val="clear" w:color="auto" w:fill="FFFFFF"/>
                <w:vertAlign w:val="baseline"/>
                <w:lang w:val="en-US" w:eastAsia="zh-CN"/>
              </w:rPr>
              <w:t>26</w:t>
            </w:r>
          </w:p>
        </w:tc>
        <w:tc>
          <w:tcPr>
            <w:tcW w:w="1488" w:type="dxa"/>
            <w:noWrap w:val="0"/>
            <w:vAlign w:val="center"/>
          </w:tcPr>
          <w:p w14:paraId="17D575F4">
            <w:pPr>
              <w:jc w:val="center"/>
              <w:rPr>
                <w:rFonts w:hint="eastAsia" w:ascii="宋体" w:hAnsi="宋体" w:eastAsia="宋体" w:cs="宋体"/>
                <w:color w:val="auto"/>
                <w:spacing w:val="7"/>
                <w:kern w:val="2"/>
                <w:sz w:val="21"/>
                <w:szCs w:val="21"/>
                <w:highlight w:val="none"/>
                <w:shd w:val="clear" w:color="auto" w:fill="FFFFFF"/>
                <w:vertAlign w:val="baseline"/>
                <w:lang w:val="en-US" w:eastAsia="zh-CN" w:bidi="ar-SA"/>
              </w:rPr>
            </w:pPr>
            <w:r>
              <w:rPr>
                <w:rFonts w:hint="eastAsia" w:ascii="宋体" w:hAnsi="宋体" w:eastAsia="宋体" w:cs="宋体"/>
                <w:color w:val="auto"/>
                <w:spacing w:val="7"/>
                <w:sz w:val="21"/>
                <w:szCs w:val="21"/>
                <w:highlight w:val="none"/>
                <w:shd w:val="clear" w:color="auto" w:fill="FFFFFF"/>
                <w:vertAlign w:val="baseline"/>
                <w:lang w:val="en-US" w:eastAsia="zh-CN"/>
              </w:rPr>
              <w:t>表层水温表</w:t>
            </w:r>
          </w:p>
        </w:tc>
        <w:tc>
          <w:tcPr>
            <w:tcW w:w="1489" w:type="dxa"/>
            <w:noWrap w:val="0"/>
            <w:vAlign w:val="center"/>
          </w:tcPr>
          <w:p w14:paraId="108E5C4D">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693" w:type="dxa"/>
            <w:noWrap w:val="0"/>
            <w:vAlign w:val="center"/>
          </w:tcPr>
          <w:p w14:paraId="232E2B66">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1175" w:type="dxa"/>
            <w:noWrap w:val="0"/>
            <w:vAlign w:val="center"/>
          </w:tcPr>
          <w:p w14:paraId="58881870">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校准</w:t>
            </w:r>
          </w:p>
        </w:tc>
        <w:tc>
          <w:tcPr>
            <w:tcW w:w="1950" w:type="dxa"/>
            <w:noWrap w:val="0"/>
            <w:vAlign w:val="center"/>
          </w:tcPr>
          <w:p w14:paraId="096D06CA">
            <w:pPr>
              <w:jc w:val="center"/>
              <w:rPr>
                <w:rFonts w:hint="eastAsia" w:ascii="宋体" w:hAnsi="宋体" w:eastAsia="宋体" w:cs="宋体"/>
                <w:color w:val="auto"/>
                <w:spacing w:val="7"/>
                <w:kern w:val="2"/>
                <w:sz w:val="21"/>
                <w:szCs w:val="21"/>
                <w:highlight w:val="none"/>
                <w:shd w:val="clear" w:color="auto" w:fill="FFFFFF"/>
                <w:vertAlign w:val="baseline"/>
                <w:lang w:val="en-US" w:eastAsia="zh-CN" w:bidi="ar-SA"/>
              </w:rPr>
            </w:pPr>
            <w:r>
              <w:rPr>
                <w:rFonts w:hint="eastAsia" w:ascii="宋体" w:hAnsi="宋体" w:eastAsia="宋体" w:cs="宋体"/>
                <w:color w:val="auto"/>
                <w:spacing w:val="7"/>
                <w:sz w:val="21"/>
                <w:szCs w:val="21"/>
                <w:highlight w:val="none"/>
                <w:shd w:val="clear" w:color="auto" w:fill="FFFFFF"/>
                <w:vertAlign w:val="baseline"/>
                <w:lang w:val="en-US" w:eastAsia="zh-CN"/>
              </w:rPr>
              <w:t>JJG 289-2019《表层水温表检定规程》</w:t>
            </w:r>
          </w:p>
        </w:tc>
        <w:tc>
          <w:tcPr>
            <w:tcW w:w="1350" w:type="dxa"/>
            <w:noWrap w:val="0"/>
            <w:vAlign w:val="center"/>
          </w:tcPr>
          <w:p w14:paraId="6AB8D303">
            <w:pPr>
              <w:jc w:val="center"/>
              <w:rPr>
                <w:rFonts w:hint="default" w:ascii="宋体" w:hAnsi="宋体" w:eastAsia="宋体" w:cs="宋体"/>
                <w:color w:val="auto"/>
                <w:spacing w:val="7"/>
                <w:sz w:val="21"/>
                <w:szCs w:val="21"/>
                <w:highlight w:val="none"/>
                <w:shd w:val="clear" w:color="auto" w:fill="FFFFFF"/>
                <w:vertAlign w:val="baseline"/>
                <w:lang w:val="en-US" w:eastAsia="zh-CN"/>
              </w:rPr>
            </w:pPr>
            <w:r>
              <w:rPr>
                <w:rFonts w:hint="eastAsia" w:ascii="宋体" w:hAnsi="宋体" w:eastAsia="宋体" w:cs="宋体"/>
                <w:color w:val="auto"/>
                <w:spacing w:val="7"/>
                <w:sz w:val="21"/>
                <w:szCs w:val="21"/>
                <w:highlight w:val="none"/>
                <w:shd w:val="clear" w:color="auto" w:fill="FFFFFF"/>
                <w:vertAlign w:val="baseline"/>
                <w:lang w:val="en-US" w:eastAsia="zh-CN"/>
              </w:rPr>
              <w:t>20</w:t>
            </w:r>
          </w:p>
        </w:tc>
      </w:tr>
      <w:tr w14:paraId="1D8F4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3" w:type="dxa"/>
            <w:noWrap w:val="0"/>
            <w:vAlign w:val="center"/>
          </w:tcPr>
          <w:p w14:paraId="5E599FC5">
            <w:pPr>
              <w:pStyle w:val="20"/>
              <w:spacing w:before="266" w:line="184" w:lineRule="auto"/>
              <w:jc w:val="center"/>
              <w:rPr>
                <w:rFonts w:hint="default" w:ascii="宋体" w:hAnsi="宋体" w:eastAsia="宋体" w:cs="宋体"/>
                <w:color w:val="auto"/>
                <w:spacing w:val="7"/>
                <w:sz w:val="21"/>
                <w:szCs w:val="21"/>
                <w:highlight w:val="none"/>
                <w:shd w:val="clear" w:color="auto" w:fill="FFFFFF"/>
                <w:vertAlign w:val="baseline"/>
                <w:lang w:val="en-US" w:eastAsia="zh-CN"/>
              </w:rPr>
            </w:pPr>
            <w:r>
              <w:rPr>
                <w:rFonts w:hint="eastAsia" w:cs="宋体"/>
                <w:color w:val="auto"/>
                <w:spacing w:val="7"/>
                <w:sz w:val="21"/>
                <w:szCs w:val="21"/>
                <w:highlight w:val="none"/>
                <w:shd w:val="clear" w:color="auto" w:fill="FFFFFF"/>
                <w:vertAlign w:val="baseline"/>
                <w:lang w:val="en-US" w:eastAsia="zh-CN"/>
              </w:rPr>
              <w:t>27</w:t>
            </w:r>
          </w:p>
        </w:tc>
        <w:tc>
          <w:tcPr>
            <w:tcW w:w="1488" w:type="dxa"/>
            <w:noWrap w:val="0"/>
            <w:vAlign w:val="center"/>
          </w:tcPr>
          <w:p w14:paraId="05192E67">
            <w:pPr>
              <w:jc w:val="center"/>
              <w:rPr>
                <w:rFonts w:hint="eastAsia" w:ascii="宋体" w:hAnsi="宋体" w:eastAsia="宋体" w:cs="宋体"/>
                <w:color w:val="auto"/>
                <w:spacing w:val="7"/>
                <w:kern w:val="2"/>
                <w:sz w:val="21"/>
                <w:szCs w:val="21"/>
                <w:highlight w:val="none"/>
                <w:shd w:val="clear" w:color="auto" w:fill="FFFFFF"/>
                <w:vertAlign w:val="baseline"/>
                <w:lang w:val="en-US" w:eastAsia="zh-CN" w:bidi="ar-SA"/>
              </w:rPr>
            </w:pPr>
            <w:r>
              <w:rPr>
                <w:rFonts w:hint="eastAsia" w:ascii="宋体" w:hAnsi="宋体" w:eastAsia="宋体" w:cs="宋体"/>
                <w:color w:val="auto"/>
                <w:sz w:val="21"/>
                <w:szCs w:val="21"/>
                <w:highlight w:val="none"/>
                <w:lang w:val="en-US" w:eastAsia="zh-CN"/>
              </w:rPr>
              <w:t>透明度计</w:t>
            </w:r>
          </w:p>
        </w:tc>
        <w:tc>
          <w:tcPr>
            <w:tcW w:w="1489" w:type="dxa"/>
            <w:noWrap w:val="0"/>
            <w:vAlign w:val="center"/>
          </w:tcPr>
          <w:p w14:paraId="1DADD24F">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szCs w:val="21"/>
              </w:rPr>
              <w:t>TDJ-330</w:t>
            </w:r>
          </w:p>
        </w:tc>
        <w:tc>
          <w:tcPr>
            <w:tcW w:w="693" w:type="dxa"/>
            <w:noWrap w:val="0"/>
            <w:vAlign w:val="center"/>
          </w:tcPr>
          <w:p w14:paraId="49D53C46">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1175" w:type="dxa"/>
            <w:noWrap w:val="0"/>
            <w:vAlign w:val="center"/>
          </w:tcPr>
          <w:p w14:paraId="1094A7F0">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校准</w:t>
            </w:r>
          </w:p>
        </w:tc>
        <w:tc>
          <w:tcPr>
            <w:tcW w:w="1950" w:type="dxa"/>
            <w:noWrap w:val="0"/>
            <w:vAlign w:val="center"/>
          </w:tcPr>
          <w:p w14:paraId="7AF7681E">
            <w:pPr>
              <w:jc w:val="center"/>
              <w:rPr>
                <w:rFonts w:hint="eastAsia" w:ascii="宋体" w:hAnsi="宋体" w:eastAsia="宋体" w:cs="宋体"/>
                <w:color w:val="auto"/>
                <w:spacing w:val="7"/>
                <w:kern w:val="2"/>
                <w:sz w:val="21"/>
                <w:szCs w:val="21"/>
                <w:highlight w:val="none"/>
                <w:shd w:val="clear" w:color="auto" w:fill="FFFFFF"/>
                <w:vertAlign w:val="baseline"/>
                <w:lang w:val="en-US" w:eastAsia="zh-CN" w:bidi="ar-SA"/>
              </w:rPr>
            </w:pPr>
            <w:r>
              <w:rPr>
                <w:rFonts w:hint="eastAsia" w:ascii="宋体" w:hAnsi="宋体" w:eastAsia="宋体" w:cs="宋体"/>
                <w:color w:val="auto"/>
                <w:sz w:val="21"/>
                <w:szCs w:val="21"/>
                <w:highlight w:val="none"/>
              </w:rPr>
              <w:t>JJG 1-1999《钢直尺检定规程》</w:t>
            </w:r>
          </w:p>
        </w:tc>
        <w:tc>
          <w:tcPr>
            <w:tcW w:w="1350" w:type="dxa"/>
            <w:noWrap w:val="0"/>
            <w:vAlign w:val="center"/>
          </w:tcPr>
          <w:p w14:paraId="74F23F48">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175</w:t>
            </w:r>
          </w:p>
        </w:tc>
      </w:tr>
      <w:tr w14:paraId="746C3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3" w:type="dxa"/>
            <w:noWrap w:val="0"/>
            <w:vAlign w:val="center"/>
          </w:tcPr>
          <w:p w14:paraId="33AB8A9F">
            <w:pPr>
              <w:pStyle w:val="20"/>
              <w:spacing w:before="266" w:line="184" w:lineRule="auto"/>
              <w:jc w:val="center"/>
              <w:rPr>
                <w:rFonts w:hint="default" w:ascii="宋体" w:hAnsi="宋体" w:eastAsia="宋体" w:cs="宋体"/>
                <w:color w:val="auto"/>
                <w:spacing w:val="7"/>
                <w:sz w:val="21"/>
                <w:szCs w:val="21"/>
                <w:highlight w:val="none"/>
                <w:shd w:val="clear" w:color="auto" w:fill="FFFFFF"/>
                <w:vertAlign w:val="baseline"/>
                <w:lang w:val="en-US" w:eastAsia="zh-CN"/>
              </w:rPr>
            </w:pPr>
            <w:r>
              <w:rPr>
                <w:rFonts w:hint="eastAsia" w:cs="宋体"/>
                <w:color w:val="auto"/>
                <w:spacing w:val="7"/>
                <w:sz w:val="21"/>
                <w:szCs w:val="21"/>
                <w:highlight w:val="none"/>
                <w:shd w:val="clear" w:color="auto" w:fill="FFFFFF"/>
                <w:vertAlign w:val="baseline"/>
                <w:lang w:val="en-US" w:eastAsia="zh-CN"/>
              </w:rPr>
              <w:t>28</w:t>
            </w:r>
          </w:p>
        </w:tc>
        <w:tc>
          <w:tcPr>
            <w:tcW w:w="1488" w:type="dxa"/>
            <w:noWrap w:val="0"/>
            <w:vAlign w:val="center"/>
          </w:tcPr>
          <w:p w14:paraId="7A7407E2">
            <w:pPr>
              <w:jc w:val="center"/>
              <w:rPr>
                <w:rFonts w:hint="eastAsia" w:ascii="宋体" w:hAnsi="宋体" w:eastAsia="宋体" w:cs="宋体"/>
                <w:color w:val="auto"/>
                <w:spacing w:val="7"/>
                <w:kern w:val="2"/>
                <w:sz w:val="21"/>
                <w:szCs w:val="21"/>
                <w:highlight w:val="none"/>
                <w:shd w:val="clear" w:color="auto" w:fill="FFFFFF"/>
                <w:vertAlign w:val="baseline"/>
                <w:lang w:val="en-US" w:eastAsia="zh-CN" w:bidi="ar-SA"/>
              </w:rPr>
            </w:pPr>
            <w:r>
              <w:rPr>
                <w:rFonts w:hint="eastAsia" w:ascii="宋体" w:hAnsi="宋体" w:eastAsia="宋体" w:cs="宋体"/>
                <w:color w:val="auto"/>
                <w:sz w:val="21"/>
                <w:szCs w:val="21"/>
                <w:highlight w:val="none"/>
              </w:rPr>
              <w:t>量杯</w:t>
            </w:r>
          </w:p>
        </w:tc>
        <w:tc>
          <w:tcPr>
            <w:tcW w:w="1489" w:type="dxa"/>
            <w:noWrap w:val="0"/>
            <w:vAlign w:val="center"/>
          </w:tcPr>
          <w:p w14:paraId="0DCE7C86">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w:t>
            </w:r>
          </w:p>
        </w:tc>
        <w:tc>
          <w:tcPr>
            <w:tcW w:w="693" w:type="dxa"/>
            <w:noWrap w:val="0"/>
            <w:vAlign w:val="center"/>
          </w:tcPr>
          <w:p w14:paraId="2DA78711">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4</w:t>
            </w:r>
          </w:p>
        </w:tc>
        <w:tc>
          <w:tcPr>
            <w:tcW w:w="1175" w:type="dxa"/>
            <w:noWrap w:val="0"/>
            <w:vAlign w:val="center"/>
          </w:tcPr>
          <w:p w14:paraId="4830E1AF">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校准</w:t>
            </w:r>
          </w:p>
        </w:tc>
        <w:tc>
          <w:tcPr>
            <w:tcW w:w="1950" w:type="dxa"/>
            <w:noWrap w:val="0"/>
            <w:vAlign w:val="center"/>
          </w:tcPr>
          <w:p w14:paraId="2D2E7A8E">
            <w:pPr>
              <w:jc w:val="center"/>
              <w:rPr>
                <w:rFonts w:hint="eastAsia" w:ascii="宋体" w:hAnsi="宋体" w:eastAsia="宋体" w:cs="宋体"/>
                <w:color w:val="auto"/>
                <w:spacing w:val="7"/>
                <w:kern w:val="2"/>
                <w:sz w:val="21"/>
                <w:szCs w:val="21"/>
                <w:highlight w:val="none"/>
                <w:shd w:val="clear" w:color="auto" w:fill="FFFFFF"/>
                <w:vertAlign w:val="baseline"/>
                <w:lang w:val="en-US" w:eastAsia="zh-CN" w:bidi="ar-SA"/>
              </w:rPr>
            </w:pPr>
            <w:r>
              <w:rPr>
                <w:rFonts w:hint="eastAsia" w:ascii="宋体" w:hAnsi="宋体" w:eastAsia="宋体" w:cs="宋体"/>
                <w:color w:val="auto"/>
                <w:sz w:val="21"/>
                <w:szCs w:val="21"/>
                <w:highlight w:val="none"/>
              </w:rPr>
              <w:t>J</w:t>
            </w:r>
            <w:r>
              <w:rPr>
                <w:rFonts w:hint="eastAsia" w:ascii="宋体" w:hAnsi="宋体" w:cs="宋体"/>
                <w:sz w:val="21"/>
                <w:szCs w:val="21"/>
                <w:highlight w:val="none"/>
                <w:lang w:val="en-US" w:eastAsia="zh-CN"/>
              </w:rPr>
              <w:t>J</w:t>
            </w:r>
            <w:r>
              <w:rPr>
                <w:rFonts w:hint="eastAsia" w:ascii="宋体" w:hAnsi="宋体" w:eastAsia="宋体" w:cs="宋体"/>
                <w:color w:val="auto"/>
                <w:sz w:val="21"/>
                <w:szCs w:val="21"/>
                <w:highlight w:val="none"/>
              </w:rPr>
              <w:t>G 196-2006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常用玻璃量器检定规程》</w:t>
            </w:r>
          </w:p>
        </w:tc>
        <w:tc>
          <w:tcPr>
            <w:tcW w:w="1350" w:type="dxa"/>
            <w:noWrap w:val="0"/>
            <w:vAlign w:val="center"/>
          </w:tcPr>
          <w:p w14:paraId="39C60770">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r>
      <w:tr w14:paraId="76F93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3" w:type="dxa"/>
            <w:noWrap w:val="0"/>
            <w:vAlign w:val="center"/>
          </w:tcPr>
          <w:p w14:paraId="76BBA8D5">
            <w:pPr>
              <w:pStyle w:val="20"/>
              <w:spacing w:before="266" w:line="184" w:lineRule="auto"/>
              <w:jc w:val="center"/>
              <w:rPr>
                <w:rFonts w:hint="default" w:ascii="宋体" w:hAnsi="宋体" w:eastAsia="宋体" w:cs="宋体"/>
                <w:color w:val="auto"/>
                <w:spacing w:val="7"/>
                <w:sz w:val="21"/>
                <w:szCs w:val="21"/>
                <w:highlight w:val="none"/>
                <w:shd w:val="clear" w:color="auto" w:fill="FFFFFF"/>
                <w:vertAlign w:val="baseline"/>
                <w:lang w:val="en-US" w:eastAsia="zh-CN"/>
              </w:rPr>
            </w:pPr>
            <w:r>
              <w:rPr>
                <w:rFonts w:hint="eastAsia" w:cs="宋体"/>
                <w:color w:val="auto"/>
                <w:spacing w:val="7"/>
                <w:sz w:val="21"/>
                <w:szCs w:val="21"/>
                <w:highlight w:val="none"/>
                <w:shd w:val="clear" w:color="auto" w:fill="FFFFFF"/>
                <w:vertAlign w:val="baseline"/>
                <w:lang w:val="en-US" w:eastAsia="zh-CN"/>
              </w:rPr>
              <w:t>29</w:t>
            </w:r>
          </w:p>
        </w:tc>
        <w:tc>
          <w:tcPr>
            <w:tcW w:w="1488" w:type="dxa"/>
            <w:noWrap w:val="0"/>
            <w:vAlign w:val="center"/>
          </w:tcPr>
          <w:p w14:paraId="6A99C6B0">
            <w:pPr>
              <w:jc w:val="center"/>
              <w:rPr>
                <w:rFonts w:hint="eastAsia" w:ascii="宋体" w:hAnsi="宋体" w:eastAsia="宋体" w:cs="宋体"/>
                <w:color w:val="auto"/>
                <w:spacing w:val="7"/>
                <w:kern w:val="2"/>
                <w:sz w:val="21"/>
                <w:szCs w:val="21"/>
                <w:highlight w:val="none"/>
                <w:shd w:val="clear" w:color="auto" w:fill="FFFFFF"/>
                <w:vertAlign w:val="baseline"/>
                <w:lang w:val="en-US" w:eastAsia="zh-CN" w:bidi="ar-SA"/>
              </w:rPr>
            </w:pPr>
            <w:r>
              <w:rPr>
                <w:rFonts w:hint="eastAsia" w:ascii="宋体" w:hAnsi="宋体" w:eastAsia="宋体" w:cs="宋体"/>
                <w:color w:val="auto"/>
                <w:spacing w:val="7"/>
                <w:sz w:val="21"/>
                <w:szCs w:val="21"/>
                <w:highlight w:val="none"/>
                <w:shd w:val="clear" w:color="auto" w:fill="FFFFFF"/>
                <w:vertAlign w:val="baseline"/>
                <w:lang w:val="en-US" w:eastAsia="zh-CN"/>
              </w:rPr>
              <w:t>比色管</w:t>
            </w:r>
          </w:p>
        </w:tc>
        <w:tc>
          <w:tcPr>
            <w:tcW w:w="1489" w:type="dxa"/>
            <w:noWrap w:val="0"/>
            <w:vAlign w:val="center"/>
          </w:tcPr>
          <w:p w14:paraId="17D3F3B7">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w:t>
            </w:r>
          </w:p>
        </w:tc>
        <w:tc>
          <w:tcPr>
            <w:tcW w:w="693" w:type="dxa"/>
            <w:noWrap w:val="0"/>
            <w:vAlign w:val="center"/>
          </w:tcPr>
          <w:p w14:paraId="37C499B7">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6</w:t>
            </w:r>
          </w:p>
        </w:tc>
        <w:tc>
          <w:tcPr>
            <w:tcW w:w="1175" w:type="dxa"/>
            <w:noWrap w:val="0"/>
            <w:vAlign w:val="center"/>
          </w:tcPr>
          <w:p w14:paraId="6C191B0A">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校准</w:t>
            </w:r>
          </w:p>
        </w:tc>
        <w:tc>
          <w:tcPr>
            <w:tcW w:w="1950" w:type="dxa"/>
            <w:noWrap w:val="0"/>
            <w:vAlign w:val="center"/>
          </w:tcPr>
          <w:p w14:paraId="35B4A257">
            <w:pPr>
              <w:jc w:val="center"/>
              <w:rPr>
                <w:rFonts w:hint="eastAsia" w:ascii="宋体" w:hAnsi="宋体" w:eastAsia="宋体" w:cs="宋体"/>
                <w:color w:val="auto"/>
                <w:spacing w:val="7"/>
                <w:kern w:val="2"/>
                <w:sz w:val="21"/>
                <w:szCs w:val="21"/>
                <w:highlight w:val="none"/>
                <w:shd w:val="clear" w:color="auto" w:fill="FFFFFF"/>
                <w:vertAlign w:val="baseline"/>
                <w:lang w:val="en-US" w:eastAsia="zh-CN" w:bidi="ar-SA"/>
              </w:rPr>
            </w:pPr>
            <w:r>
              <w:rPr>
                <w:rFonts w:hint="eastAsia" w:ascii="宋体" w:hAnsi="宋体" w:eastAsia="宋体" w:cs="宋体"/>
                <w:sz w:val="21"/>
                <w:szCs w:val="21"/>
                <w:highlight w:val="none"/>
              </w:rPr>
              <w:t>J</w:t>
            </w:r>
            <w:r>
              <w:rPr>
                <w:rFonts w:hint="eastAsia" w:ascii="宋体" w:hAnsi="宋体" w:cs="宋体"/>
                <w:sz w:val="21"/>
                <w:szCs w:val="21"/>
                <w:highlight w:val="none"/>
                <w:lang w:val="en-US" w:eastAsia="zh-CN"/>
              </w:rPr>
              <w:t>J</w:t>
            </w:r>
            <w:r>
              <w:rPr>
                <w:rFonts w:hint="eastAsia" w:ascii="宋体" w:hAnsi="宋体" w:eastAsia="宋体" w:cs="宋体"/>
                <w:sz w:val="21"/>
                <w:szCs w:val="21"/>
                <w:highlight w:val="none"/>
              </w:rPr>
              <w:t>G 1</w:t>
            </w:r>
            <w:r>
              <w:rPr>
                <w:rFonts w:hint="eastAsia" w:ascii="宋体" w:hAnsi="宋体" w:cs="宋体"/>
                <w:sz w:val="21"/>
                <w:szCs w:val="21"/>
                <w:highlight w:val="none"/>
                <w:lang w:val="en-US" w:eastAsia="zh-CN"/>
              </w:rPr>
              <w:t>0-2005</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专用玻璃量器检定规程》</w:t>
            </w:r>
          </w:p>
        </w:tc>
        <w:tc>
          <w:tcPr>
            <w:tcW w:w="1350" w:type="dxa"/>
            <w:noWrap w:val="0"/>
            <w:vAlign w:val="center"/>
          </w:tcPr>
          <w:p w14:paraId="661F016E">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w:t>
            </w:r>
          </w:p>
        </w:tc>
      </w:tr>
      <w:tr w14:paraId="35745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3" w:type="dxa"/>
            <w:noWrap w:val="0"/>
            <w:vAlign w:val="center"/>
          </w:tcPr>
          <w:p w14:paraId="269C91ED">
            <w:pPr>
              <w:pStyle w:val="20"/>
              <w:spacing w:before="266" w:line="184" w:lineRule="auto"/>
              <w:jc w:val="center"/>
              <w:rPr>
                <w:rFonts w:hint="eastAsia" w:ascii="宋体" w:hAnsi="宋体" w:eastAsia="宋体" w:cs="宋体"/>
                <w:color w:val="auto"/>
                <w:spacing w:val="7"/>
                <w:sz w:val="21"/>
                <w:szCs w:val="21"/>
                <w:highlight w:val="none"/>
                <w:shd w:val="clear" w:color="auto" w:fill="FFFFFF"/>
                <w:vertAlign w:val="baseline"/>
                <w:lang w:val="en-US" w:eastAsia="zh-CN"/>
              </w:rPr>
            </w:pPr>
            <w:r>
              <w:rPr>
                <w:rFonts w:hint="eastAsia" w:cs="宋体"/>
                <w:color w:val="auto"/>
                <w:spacing w:val="7"/>
                <w:sz w:val="21"/>
                <w:szCs w:val="21"/>
                <w:highlight w:val="none"/>
                <w:shd w:val="clear" w:color="auto" w:fill="FFFFFF"/>
                <w:vertAlign w:val="baseline"/>
                <w:lang w:val="en-US" w:eastAsia="zh-CN"/>
              </w:rPr>
              <w:t>30</w:t>
            </w:r>
          </w:p>
        </w:tc>
        <w:tc>
          <w:tcPr>
            <w:tcW w:w="1488" w:type="dxa"/>
            <w:noWrap w:val="0"/>
            <w:vAlign w:val="center"/>
          </w:tcPr>
          <w:p w14:paraId="1D14AE87">
            <w:pPr>
              <w:jc w:val="center"/>
              <w:rPr>
                <w:rFonts w:hint="eastAsia" w:ascii="宋体" w:hAnsi="宋体" w:eastAsia="宋体" w:cs="宋体"/>
                <w:color w:val="auto"/>
                <w:spacing w:val="7"/>
                <w:kern w:val="2"/>
                <w:sz w:val="21"/>
                <w:szCs w:val="21"/>
                <w:highlight w:val="none"/>
                <w:shd w:val="clear" w:color="auto" w:fill="FFFFFF"/>
                <w:vertAlign w:val="baseline"/>
                <w:lang w:val="en-US" w:eastAsia="zh-CN" w:bidi="ar-SA"/>
              </w:rPr>
            </w:pPr>
            <w:r>
              <w:rPr>
                <w:rFonts w:hint="eastAsia" w:ascii="宋体" w:hAnsi="宋体" w:eastAsia="宋体" w:cs="宋体"/>
                <w:color w:val="auto"/>
                <w:sz w:val="21"/>
                <w:szCs w:val="21"/>
                <w:highlight w:val="none"/>
              </w:rPr>
              <w:t>单标线容量瓶</w:t>
            </w:r>
          </w:p>
        </w:tc>
        <w:tc>
          <w:tcPr>
            <w:tcW w:w="1489" w:type="dxa"/>
            <w:noWrap w:val="0"/>
            <w:vAlign w:val="center"/>
          </w:tcPr>
          <w:p w14:paraId="4E151065">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693" w:type="dxa"/>
            <w:noWrap w:val="0"/>
            <w:vAlign w:val="center"/>
          </w:tcPr>
          <w:p w14:paraId="146EC0A4">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w:t>
            </w:r>
          </w:p>
        </w:tc>
        <w:tc>
          <w:tcPr>
            <w:tcW w:w="1175" w:type="dxa"/>
            <w:noWrap w:val="0"/>
            <w:vAlign w:val="center"/>
          </w:tcPr>
          <w:p w14:paraId="037471AB">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校准</w:t>
            </w:r>
          </w:p>
        </w:tc>
        <w:tc>
          <w:tcPr>
            <w:tcW w:w="1950" w:type="dxa"/>
            <w:noWrap w:val="0"/>
            <w:vAlign w:val="center"/>
          </w:tcPr>
          <w:p w14:paraId="21E83454">
            <w:pPr>
              <w:jc w:val="center"/>
              <w:rPr>
                <w:rFonts w:hint="eastAsia" w:ascii="宋体" w:hAnsi="宋体" w:eastAsia="宋体" w:cs="宋体"/>
                <w:color w:val="auto"/>
                <w:spacing w:val="7"/>
                <w:kern w:val="2"/>
                <w:sz w:val="21"/>
                <w:szCs w:val="21"/>
                <w:highlight w:val="none"/>
                <w:shd w:val="clear" w:color="auto" w:fill="FFFFFF"/>
                <w:vertAlign w:val="baseline"/>
                <w:lang w:val="en-US" w:eastAsia="zh-CN" w:bidi="ar-SA"/>
              </w:rPr>
            </w:pPr>
            <w:r>
              <w:rPr>
                <w:rFonts w:hint="eastAsia" w:ascii="宋体" w:hAnsi="宋体" w:eastAsia="宋体" w:cs="宋体"/>
                <w:color w:val="auto"/>
                <w:sz w:val="21"/>
                <w:szCs w:val="21"/>
                <w:highlight w:val="none"/>
              </w:rPr>
              <w:t>J</w:t>
            </w:r>
            <w:r>
              <w:rPr>
                <w:rFonts w:hint="eastAsia" w:ascii="宋体" w:hAnsi="宋体" w:cs="宋体"/>
                <w:sz w:val="21"/>
                <w:szCs w:val="21"/>
                <w:highlight w:val="none"/>
                <w:lang w:val="en-US" w:eastAsia="zh-CN"/>
              </w:rPr>
              <w:t>J</w:t>
            </w:r>
            <w:r>
              <w:rPr>
                <w:rFonts w:hint="eastAsia" w:ascii="宋体" w:hAnsi="宋体" w:eastAsia="宋体" w:cs="宋体"/>
                <w:color w:val="auto"/>
                <w:sz w:val="21"/>
                <w:szCs w:val="21"/>
                <w:highlight w:val="none"/>
              </w:rPr>
              <w:t>G 196-2006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常用玻璃量器检定规程》</w:t>
            </w:r>
          </w:p>
        </w:tc>
        <w:tc>
          <w:tcPr>
            <w:tcW w:w="1350" w:type="dxa"/>
            <w:noWrap w:val="0"/>
            <w:vAlign w:val="center"/>
          </w:tcPr>
          <w:p w14:paraId="43A5461F">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w:t>
            </w:r>
          </w:p>
        </w:tc>
      </w:tr>
      <w:tr w14:paraId="3A228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3" w:type="dxa"/>
            <w:noWrap w:val="0"/>
            <w:vAlign w:val="center"/>
          </w:tcPr>
          <w:p w14:paraId="7ECEB7EF">
            <w:pPr>
              <w:pStyle w:val="20"/>
              <w:spacing w:before="262" w:line="183" w:lineRule="auto"/>
              <w:jc w:val="center"/>
              <w:rPr>
                <w:rFonts w:hint="eastAsia" w:ascii="宋体" w:hAnsi="宋体" w:eastAsia="宋体" w:cs="宋体"/>
                <w:color w:val="auto"/>
                <w:spacing w:val="7"/>
                <w:sz w:val="21"/>
                <w:szCs w:val="21"/>
                <w:highlight w:val="none"/>
                <w:shd w:val="clear" w:color="auto" w:fill="FFFFFF"/>
                <w:vertAlign w:val="baseline"/>
                <w:lang w:val="en-US" w:eastAsia="zh-CN"/>
              </w:rPr>
            </w:pPr>
            <w:r>
              <w:rPr>
                <w:rFonts w:hint="eastAsia" w:cs="宋体"/>
                <w:color w:val="auto"/>
                <w:spacing w:val="7"/>
                <w:sz w:val="21"/>
                <w:szCs w:val="21"/>
                <w:highlight w:val="none"/>
                <w:shd w:val="clear" w:color="auto" w:fill="FFFFFF"/>
                <w:vertAlign w:val="baseline"/>
                <w:lang w:val="en-US" w:eastAsia="zh-CN"/>
              </w:rPr>
              <w:t>31</w:t>
            </w:r>
          </w:p>
        </w:tc>
        <w:tc>
          <w:tcPr>
            <w:tcW w:w="1488" w:type="dxa"/>
            <w:noWrap w:val="0"/>
            <w:vAlign w:val="center"/>
          </w:tcPr>
          <w:p w14:paraId="66628548">
            <w:pPr>
              <w:jc w:val="center"/>
              <w:rPr>
                <w:rFonts w:hint="eastAsia" w:ascii="宋体" w:hAnsi="宋体" w:eastAsia="宋体" w:cs="宋体"/>
                <w:color w:val="auto"/>
                <w:spacing w:val="7"/>
                <w:kern w:val="2"/>
                <w:sz w:val="21"/>
                <w:szCs w:val="21"/>
                <w:highlight w:val="none"/>
                <w:shd w:val="clear" w:color="auto" w:fill="FFFFFF"/>
                <w:vertAlign w:val="baseline"/>
                <w:lang w:val="en-US" w:eastAsia="zh-CN" w:bidi="ar-SA"/>
              </w:rPr>
            </w:pPr>
            <w:r>
              <w:rPr>
                <w:rFonts w:hint="eastAsia" w:ascii="宋体" w:hAnsi="宋体" w:eastAsia="宋体" w:cs="宋体"/>
                <w:color w:val="auto"/>
                <w:sz w:val="21"/>
                <w:szCs w:val="21"/>
                <w:highlight w:val="none"/>
              </w:rPr>
              <w:t>量筒</w:t>
            </w:r>
          </w:p>
        </w:tc>
        <w:tc>
          <w:tcPr>
            <w:tcW w:w="1489" w:type="dxa"/>
            <w:noWrap w:val="0"/>
            <w:vAlign w:val="center"/>
          </w:tcPr>
          <w:p w14:paraId="507C51E0">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693" w:type="dxa"/>
            <w:noWrap w:val="0"/>
            <w:vAlign w:val="center"/>
          </w:tcPr>
          <w:p w14:paraId="12D4012E">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1175" w:type="dxa"/>
            <w:noWrap w:val="0"/>
            <w:vAlign w:val="center"/>
          </w:tcPr>
          <w:p w14:paraId="79A9FFA0">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校准</w:t>
            </w:r>
          </w:p>
        </w:tc>
        <w:tc>
          <w:tcPr>
            <w:tcW w:w="1950" w:type="dxa"/>
            <w:noWrap w:val="0"/>
            <w:vAlign w:val="center"/>
          </w:tcPr>
          <w:p w14:paraId="3561547C">
            <w:pPr>
              <w:jc w:val="center"/>
              <w:rPr>
                <w:rFonts w:hint="eastAsia" w:ascii="宋体" w:hAnsi="宋体" w:eastAsia="宋体" w:cs="宋体"/>
                <w:color w:val="auto"/>
                <w:spacing w:val="7"/>
                <w:kern w:val="2"/>
                <w:sz w:val="21"/>
                <w:szCs w:val="21"/>
                <w:highlight w:val="none"/>
                <w:shd w:val="clear" w:color="auto" w:fill="FFFFFF"/>
                <w:vertAlign w:val="baseline"/>
                <w:lang w:val="en-US" w:eastAsia="zh-CN" w:bidi="ar-SA"/>
              </w:rPr>
            </w:pPr>
            <w:r>
              <w:rPr>
                <w:rFonts w:hint="eastAsia" w:ascii="宋体" w:hAnsi="宋体" w:eastAsia="宋体" w:cs="宋体"/>
                <w:color w:val="auto"/>
                <w:sz w:val="21"/>
                <w:szCs w:val="21"/>
                <w:highlight w:val="none"/>
              </w:rPr>
              <w:t>J</w:t>
            </w:r>
            <w:r>
              <w:rPr>
                <w:rFonts w:hint="eastAsia" w:ascii="宋体" w:hAnsi="宋体" w:cs="宋体"/>
                <w:sz w:val="21"/>
                <w:szCs w:val="21"/>
                <w:highlight w:val="none"/>
                <w:lang w:val="en-US" w:eastAsia="zh-CN"/>
              </w:rPr>
              <w:t>J</w:t>
            </w:r>
            <w:r>
              <w:rPr>
                <w:rFonts w:hint="eastAsia" w:ascii="宋体" w:hAnsi="宋体" w:eastAsia="宋体" w:cs="宋体"/>
                <w:color w:val="auto"/>
                <w:sz w:val="21"/>
                <w:szCs w:val="21"/>
                <w:highlight w:val="none"/>
              </w:rPr>
              <w:t>G 196-2006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常用玻璃量器检定规程》</w:t>
            </w:r>
          </w:p>
        </w:tc>
        <w:tc>
          <w:tcPr>
            <w:tcW w:w="1350" w:type="dxa"/>
            <w:noWrap w:val="0"/>
            <w:vAlign w:val="center"/>
          </w:tcPr>
          <w:p w14:paraId="6A186974">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r>
      <w:tr w14:paraId="04AD5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3" w:type="dxa"/>
            <w:noWrap w:val="0"/>
            <w:vAlign w:val="center"/>
          </w:tcPr>
          <w:p w14:paraId="438703DD">
            <w:pPr>
              <w:pStyle w:val="20"/>
              <w:spacing w:before="62" w:line="183" w:lineRule="auto"/>
              <w:jc w:val="center"/>
              <w:rPr>
                <w:rFonts w:hint="eastAsia" w:ascii="宋体" w:hAnsi="宋体" w:eastAsia="宋体" w:cs="宋体"/>
                <w:color w:val="auto"/>
                <w:spacing w:val="7"/>
                <w:sz w:val="21"/>
                <w:szCs w:val="21"/>
                <w:highlight w:val="none"/>
                <w:shd w:val="clear" w:color="auto" w:fill="FFFFFF"/>
                <w:vertAlign w:val="baseline"/>
                <w:lang w:val="en-US" w:eastAsia="zh-CN"/>
              </w:rPr>
            </w:pPr>
            <w:r>
              <w:rPr>
                <w:rFonts w:hint="eastAsia" w:cs="宋体"/>
                <w:color w:val="auto"/>
                <w:spacing w:val="7"/>
                <w:sz w:val="21"/>
                <w:szCs w:val="21"/>
                <w:highlight w:val="none"/>
                <w:shd w:val="clear" w:color="auto" w:fill="FFFFFF"/>
                <w:vertAlign w:val="baseline"/>
                <w:lang w:val="en-US" w:eastAsia="zh-CN"/>
              </w:rPr>
              <w:t>32</w:t>
            </w:r>
          </w:p>
        </w:tc>
        <w:tc>
          <w:tcPr>
            <w:tcW w:w="1488" w:type="dxa"/>
            <w:noWrap w:val="0"/>
            <w:vAlign w:val="center"/>
          </w:tcPr>
          <w:p w14:paraId="10556F28">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胖肚吸管</w:t>
            </w:r>
          </w:p>
        </w:tc>
        <w:tc>
          <w:tcPr>
            <w:tcW w:w="1489" w:type="dxa"/>
            <w:noWrap w:val="0"/>
            <w:vAlign w:val="center"/>
          </w:tcPr>
          <w:p w14:paraId="0E1F7381">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693" w:type="dxa"/>
            <w:noWrap w:val="0"/>
            <w:vAlign w:val="center"/>
          </w:tcPr>
          <w:p w14:paraId="6DC45911">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c>
          <w:tcPr>
            <w:tcW w:w="1175" w:type="dxa"/>
            <w:noWrap w:val="0"/>
            <w:vAlign w:val="center"/>
          </w:tcPr>
          <w:p w14:paraId="1D917692">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校准</w:t>
            </w:r>
          </w:p>
        </w:tc>
        <w:tc>
          <w:tcPr>
            <w:tcW w:w="1950" w:type="dxa"/>
            <w:noWrap w:val="0"/>
            <w:vAlign w:val="center"/>
          </w:tcPr>
          <w:p w14:paraId="22FFDE21">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J</w:t>
            </w:r>
            <w:r>
              <w:rPr>
                <w:rFonts w:hint="eastAsia" w:ascii="宋体" w:hAnsi="宋体" w:cs="宋体"/>
                <w:sz w:val="21"/>
                <w:szCs w:val="21"/>
                <w:highlight w:val="none"/>
                <w:lang w:val="en-US" w:eastAsia="zh-CN"/>
              </w:rPr>
              <w:t>J</w:t>
            </w:r>
            <w:r>
              <w:rPr>
                <w:rFonts w:hint="eastAsia" w:ascii="宋体" w:hAnsi="宋体" w:eastAsia="宋体" w:cs="宋体"/>
                <w:color w:val="auto"/>
                <w:sz w:val="21"/>
                <w:szCs w:val="21"/>
                <w:highlight w:val="none"/>
              </w:rPr>
              <w:t>G 196-2006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常用玻璃量器检定规程</w:t>
            </w:r>
          </w:p>
        </w:tc>
        <w:tc>
          <w:tcPr>
            <w:tcW w:w="1350" w:type="dxa"/>
            <w:noWrap w:val="0"/>
            <w:vAlign w:val="center"/>
          </w:tcPr>
          <w:p w14:paraId="468FDD69">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37</w:t>
            </w:r>
          </w:p>
        </w:tc>
      </w:tr>
      <w:tr w14:paraId="52016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3" w:type="dxa"/>
            <w:noWrap w:val="0"/>
            <w:vAlign w:val="center"/>
          </w:tcPr>
          <w:p w14:paraId="34C0B19C">
            <w:pPr>
              <w:pStyle w:val="20"/>
              <w:spacing w:before="264" w:line="183" w:lineRule="auto"/>
              <w:jc w:val="center"/>
              <w:rPr>
                <w:rFonts w:hint="eastAsia" w:ascii="宋体" w:hAnsi="宋体" w:eastAsia="宋体" w:cs="宋体"/>
                <w:color w:val="auto"/>
                <w:spacing w:val="7"/>
                <w:sz w:val="21"/>
                <w:szCs w:val="21"/>
                <w:highlight w:val="none"/>
                <w:shd w:val="clear" w:color="auto" w:fill="FFFFFF"/>
                <w:vertAlign w:val="baseline"/>
                <w:lang w:val="en-US" w:eastAsia="zh-CN"/>
              </w:rPr>
            </w:pPr>
            <w:r>
              <w:rPr>
                <w:rFonts w:hint="eastAsia" w:cs="宋体"/>
                <w:color w:val="auto"/>
                <w:spacing w:val="7"/>
                <w:sz w:val="21"/>
                <w:szCs w:val="21"/>
                <w:highlight w:val="none"/>
                <w:shd w:val="clear" w:color="auto" w:fill="FFFFFF"/>
                <w:vertAlign w:val="baseline"/>
                <w:lang w:val="en-US" w:eastAsia="zh-CN"/>
              </w:rPr>
              <w:t>33</w:t>
            </w:r>
          </w:p>
        </w:tc>
        <w:tc>
          <w:tcPr>
            <w:tcW w:w="1488" w:type="dxa"/>
            <w:noWrap w:val="0"/>
            <w:vAlign w:val="center"/>
          </w:tcPr>
          <w:p w14:paraId="64655B9A">
            <w:pPr>
              <w:jc w:val="center"/>
              <w:rPr>
                <w:rFonts w:hint="eastAsia" w:ascii="宋体" w:hAnsi="宋体" w:eastAsia="宋体" w:cs="宋体"/>
                <w:color w:val="auto"/>
                <w:spacing w:val="7"/>
                <w:kern w:val="2"/>
                <w:sz w:val="21"/>
                <w:szCs w:val="21"/>
                <w:highlight w:val="none"/>
                <w:shd w:val="clear" w:color="auto" w:fill="FFFFFF"/>
                <w:vertAlign w:val="baseline"/>
                <w:lang w:val="en-US" w:eastAsia="zh-CN" w:bidi="ar-SA"/>
              </w:rPr>
            </w:pPr>
            <w:r>
              <w:rPr>
                <w:rFonts w:hint="eastAsia" w:ascii="宋体" w:hAnsi="宋体" w:eastAsia="宋体" w:cs="宋体"/>
                <w:color w:val="auto"/>
                <w:spacing w:val="7"/>
                <w:sz w:val="21"/>
                <w:szCs w:val="21"/>
                <w:highlight w:val="none"/>
                <w:shd w:val="clear" w:color="auto" w:fill="FFFFFF"/>
                <w:vertAlign w:val="baseline"/>
                <w:lang w:val="en-US" w:eastAsia="zh-CN"/>
              </w:rPr>
              <w:t>刻度吸管</w:t>
            </w:r>
          </w:p>
        </w:tc>
        <w:tc>
          <w:tcPr>
            <w:tcW w:w="1489" w:type="dxa"/>
            <w:noWrap w:val="0"/>
            <w:vAlign w:val="center"/>
          </w:tcPr>
          <w:p w14:paraId="4B939B81">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693" w:type="dxa"/>
            <w:noWrap w:val="0"/>
            <w:vAlign w:val="center"/>
          </w:tcPr>
          <w:p w14:paraId="51A5632A">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175" w:type="dxa"/>
            <w:noWrap w:val="0"/>
            <w:vAlign w:val="center"/>
          </w:tcPr>
          <w:p w14:paraId="681CE72E">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校准</w:t>
            </w:r>
          </w:p>
        </w:tc>
        <w:tc>
          <w:tcPr>
            <w:tcW w:w="1950" w:type="dxa"/>
            <w:noWrap w:val="0"/>
            <w:vAlign w:val="center"/>
          </w:tcPr>
          <w:p w14:paraId="41E613DC">
            <w:pPr>
              <w:jc w:val="center"/>
              <w:rPr>
                <w:rFonts w:hint="eastAsia" w:ascii="宋体" w:hAnsi="宋体" w:eastAsia="宋体" w:cs="宋体"/>
                <w:color w:val="auto"/>
                <w:spacing w:val="7"/>
                <w:kern w:val="2"/>
                <w:sz w:val="21"/>
                <w:szCs w:val="21"/>
                <w:highlight w:val="none"/>
                <w:shd w:val="clear" w:color="auto" w:fill="FFFFFF"/>
                <w:vertAlign w:val="baseline"/>
                <w:lang w:val="en-US" w:eastAsia="zh-CN" w:bidi="ar-SA"/>
              </w:rPr>
            </w:pPr>
            <w:r>
              <w:rPr>
                <w:rFonts w:hint="eastAsia" w:ascii="宋体" w:hAnsi="宋体" w:eastAsia="宋体" w:cs="宋体"/>
                <w:color w:val="auto"/>
                <w:sz w:val="21"/>
                <w:szCs w:val="21"/>
                <w:highlight w:val="none"/>
              </w:rPr>
              <w:t>J</w:t>
            </w:r>
            <w:r>
              <w:rPr>
                <w:rFonts w:hint="eastAsia" w:ascii="宋体" w:hAnsi="宋体" w:cs="宋体"/>
                <w:sz w:val="21"/>
                <w:szCs w:val="21"/>
                <w:highlight w:val="none"/>
                <w:lang w:val="en-US" w:eastAsia="zh-CN"/>
              </w:rPr>
              <w:t>J</w:t>
            </w:r>
            <w:r>
              <w:rPr>
                <w:rFonts w:hint="eastAsia" w:ascii="宋体" w:hAnsi="宋体" w:eastAsia="宋体" w:cs="宋体"/>
                <w:color w:val="auto"/>
                <w:sz w:val="21"/>
                <w:szCs w:val="21"/>
                <w:highlight w:val="none"/>
              </w:rPr>
              <w:t>G 196-2006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常用玻璃量器检定规程》</w:t>
            </w:r>
          </w:p>
        </w:tc>
        <w:tc>
          <w:tcPr>
            <w:tcW w:w="1350" w:type="dxa"/>
            <w:noWrap w:val="0"/>
            <w:vAlign w:val="center"/>
          </w:tcPr>
          <w:p w14:paraId="66785282">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w:t>
            </w:r>
          </w:p>
        </w:tc>
      </w:tr>
      <w:tr w14:paraId="1140E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3" w:type="dxa"/>
            <w:noWrap w:val="0"/>
            <w:vAlign w:val="center"/>
          </w:tcPr>
          <w:p w14:paraId="54A246F9">
            <w:pPr>
              <w:pStyle w:val="20"/>
              <w:spacing w:before="264" w:line="183" w:lineRule="auto"/>
              <w:jc w:val="center"/>
              <w:rPr>
                <w:rFonts w:hint="default" w:ascii="宋体" w:hAnsi="宋体" w:eastAsia="宋体" w:cs="宋体"/>
                <w:color w:val="auto"/>
                <w:spacing w:val="7"/>
                <w:sz w:val="21"/>
                <w:szCs w:val="21"/>
                <w:highlight w:val="none"/>
                <w:shd w:val="clear" w:color="auto" w:fill="FFFFFF"/>
                <w:vertAlign w:val="baseline"/>
                <w:lang w:val="en-US" w:eastAsia="zh-CN"/>
              </w:rPr>
            </w:pPr>
            <w:r>
              <w:rPr>
                <w:rFonts w:hint="eastAsia" w:cs="宋体"/>
                <w:color w:val="auto"/>
                <w:spacing w:val="7"/>
                <w:sz w:val="21"/>
                <w:szCs w:val="21"/>
                <w:highlight w:val="none"/>
                <w:shd w:val="clear" w:color="auto" w:fill="FFFFFF"/>
                <w:vertAlign w:val="baseline"/>
                <w:lang w:val="en-US" w:eastAsia="zh-CN"/>
              </w:rPr>
              <w:t>34</w:t>
            </w:r>
          </w:p>
        </w:tc>
        <w:tc>
          <w:tcPr>
            <w:tcW w:w="1488" w:type="dxa"/>
            <w:noWrap w:val="0"/>
            <w:vAlign w:val="center"/>
          </w:tcPr>
          <w:p w14:paraId="56A1903A">
            <w:pPr>
              <w:jc w:val="center"/>
              <w:rPr>
                <w:rFonts w:hint="eastAsia" w:ascii="宋体" w:hAnsi="宋体" w:eastAsia="宋体" w:cs="宋体"/>
                <w:color w:val="auto"/>
                <w:spacing w:val="7"/>
                <w:kern w:val="2"/>
                <w:sz w:val="21"/>
                <w:szCs w:val="21"/>
                <w:highlight w:val="none"/>
                <w:shd w:val="clear" w:color="auto" w:fill="FFFFFF"/>
                <w:vertAlign w:val="baseline"/>
                <w:lang w:val="en-US" w:eastAsia="zh-CN" w:bidi="ar-SA"/>
              </w:rPr>
            </w:pPr>
            <w:r>
              <w:rPr>
                <w:rFonts w:hint="eastAsia" w:ascii="宋体" w:hAnsi="宋体" w:eastAsia="宋体" w:cs="宋体"/>
                <w:color w:val="auto"/>
                <w:sz w:val="21"/>
                <w:szCs w:val="21"/>
                <w:highlight w:val="none"/>
              </w:rPr>
              <w:t>滴定管</w:t>
            </w:r>
          </w:p>
        </w:tc>
        <w:tc>
          <w:tcPr>
            <w:tcW w:w="1489" w:type="dxa"/>
            <w:noWrap w:val="0"/>
            <w:vAlign w:val="center"/>
          </w:tcPr>
          <w:p w14:paraId="5144BC6D">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693" w:type="dxa"/>
            <w:noWrap w:val="0"/>
            <w:vAlign w:val="center"/>
          </w:tcPr>
          <w:p w14:paraId="1742A8A7">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1175" w:type="dxa"/>
            <w:noWrap w:val="0"/>
            <w:vAlign w:val="center"/>
          </w:tcPr>
          <w:p w14:paraId="645679E3">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校准</w:t>
            </w:r>
          </w:p>
        </w:tc>
        <w:tc>
          <w:tcPr>
            <w:tcW w:w="1950" w:type="dxa"/>
            <w:noWrap w:val="0"/>
            <w:vAlign w:val="center"/>
          </w:tcPr>
          <w:p w14:paraId="2E48A18D">
            <w:pPr>
              <w:jc w:val="center"/>
              <w:rPr>
                <w:rFonts w:hint="eastAsia" w:ascii="宋体" w:hAnsi="宋体" w:eastAsia="宋体" w:cs="宋体"/>
                <w:color w:val="auto"/>
                <w:spacing w:val="7"/>
                <w:kern w:val="2"/>
                <w:sz w:val="21"/>
                <w:szCs w:val="21"/>
                <w:highlight w:val="none"/>
                <w:shd w:val="clear" w:color="auto" w:fill="FFFFFF"/>
                <w:vertAlign w:val="baseline"/>
                <w:lang w:val="en-US" w:eastAsia="zh-CN" w:bidi="ar-SA"/>
              </w:rPr>
            </w:pPr>
            <w:r>
              <w:rPr>
                <w:rFonts w:hint="eastAsia" w:ascii="宋体" w:hAnsi="宋体" w:eastAsia="宋体" w:cs="宋体"/>
                <w:color w:val="auto"/>
                <w:sz w:val="21"/>
                <w:szCs w:val="21"/>
                <w:highlight w:val="none"/>
              </w:rPr>
              <w:t>JJG 196-2006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常用玻璃量器检定规程》</w:t>
            </w:r>
          </w:p>
        </w:tc>
        <w:tc>
          <w:tcPr>
            <w:tcW w:w="1350" w:type="dxa"/>
            <w:noWrap w:val="0"/>
            <w:vAlign w:val="center"/>
          </w:tcPr>
          <w:p w14:paraId="7828977B">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w:t>
            </w:r>
          </w:p>
        </w:tc>
      </w:tr>
      <w:tr w14:paraId="24FB1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3" w:type="dxa"/>
            <w:noWrap w:val="0"/>
            <w:vAlign w:val="center"/>
          </w:tcPr>
          <w:p w14:paraId="10CDDCA4">
            <w:pPr>
              <w:pStyle w:val="20"/>
              <w:spacing w:before="264" w:line="183" w:lineRule="auto"/>
              <w:jc w:val="center"/>
              <w:rPr>
                <w:rFonts w:hint="default" w:ascii="宋体" w:hAnsi="宋体" w:eastAsia="宋体" w:cs="宋体"/>
                <w:color w:val="auto"/>
                <w:spacing w:val="7"/>
                <w:sz w:val="21"/>
                <w:szCs w:val="21"/>
                <w:highlight w:val="none"/>
                <w:shd w:val="clear" w:color="auto" w:fill="FFFFFF"/>
                <w:vertAlign w:val="baseline"/>
                <w:lang w:val="en-US" w:eastAsia="zh-CN"/>
              </w:rPr>
            </w:pPr>
            <w:r>
              <w:rPr>
                <w:rFonts w:hint="eastAsia" w:cs="宋体"/>
                <w:color w:val="auto"/>
                <w:spacing w:val="7"/>
                <w:sz w:val="21"/>
                <w:szCs w:val="21"/>
                <w:highlight w:val="none"/>
                <w:shd w:val="clear" w:color="auto" w:fill="FFFFFF"/>
                <w:vertAlign w:val="baseline"/>
                <w:lang w:val="en-US" w:eastAsia="zh-CN"/>
              </w:rPr>
              <w:t>35</w:t>
            </w:r>
          </w:p>
        </w:tc>
        <w:tc>
          <w:tcPr>
            <w:tcW w:w="1488" w:type="dxa"/>
            <w:noWrap w:val="0"/>
            <w:vAlign w:val="center"/>
          </w:tcPr>
          <w:p w14:paraId="6C5B6FC1">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温度计</w:t>
            </w:r>
          </w:p>
        </w:tc>
        <w:tc>
          <w:tcPr>
            <w:tcW w:w="1489" w:type="dxa"/>
            <w:noWrap w:val="0"/>
            <w:vAlign w:val="center"/>
          </w:tcPr>
          <w:p w14:paraId="36625C8A">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693" w:type="dxa"/>
            <w:noWrap w:val="0"/>
            <w:vAlign w:val="center"/>
          </w:tcPr>
          <w:p w14:paraId="5EBA7F6F">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175" w:type="dxa"/>
            <w:noWrap w:val="0"/>
            <w:vAlign w:val="center"/>
          </w:tcPr>
          <w:p w14:paraId="78084C35">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校准</w:t>
            </w:r>
          </w:p>
        </w:tc>
        <w:tc>
          <w:tcPr>
            <w:tcW w:w="1950" w:type="dxa"/>
            <w:noWrap w:val="0"/>
            <w:vAlign w:val="center"/>
          </w:tcPr>
          <w:p w14:paraId="017B48AD">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JJG 130-2011《工作用玻璃液体温度计检定规程》</w:t>
            </w:r>
          </w:p>
        </w:tc>
        <w:tc>
          <w:tcPr>
            <w:tcW w:w="1350" w:type="dxa"/>
            <w:noWrap w:val="0"/>
            <w:vAlign w:val="center"/>
          </w:tcPr>
          <w:p w14:paraId="5A807917">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81</w:t>
            </w:r>
          </w:p>
        </w:tc>
      </w:tr>
      <w:tr w14:paraId="05029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783" w:type="dxa"/>
            <w:vMerge w:val="restart"/>
            <w:noWrap w:val="0"/>
            <w:vAlign w:val="center"/>
          </w:tcPr>
          <w:p w14:paraId="3D4E00D6">
            <w:pPr>
              <w:pStyle w:val="20"/>
              <w:spacing w:before="265" w:line="183" w:lineRule="auto"/>
              <w:jc w:val="center"/>
              <w:rPr>
                <w:rFonts w:hint="default" w:ascii="宋体" w:hAnsi="宋体" w:eastAsia="宋体" w:cs="宋体"/>
                <w:color w:val="auto"/>
                <w:spacing w:val="7"/>
                <w:sz w:val="21"/>
                <w:szCs w:val="21"/>
                <w:highlight w:val="none"/>
                <w:shd w:val="clear" w:color="auto" w:fill="FFFFFF"/>
                <w:vertAlign w:val="baseline"/>
                <w:lang w:val="en-US" w:eastAsia="zh-CN"/>
              </w:rPr>
            </w:pPr>
            <w:r>
              <w:rPr>
                <w:rFonts w:hint="eastAsia" w:cs="宋体"/>
                <w:color w:val="auto"/>
                <w:spacing w:val="7"/>
                <w:sz w:val="21"/>
                <w:szCs w:val="21"/>
                <w:highlight w:val="none"/>
                <w:shd w:val="clear" w:color="auto" w:fill="FFFFFF"/>
                <w:vertAlign w:val="baseline"/>
                <w:lang w:val="en-US" w:eastAsia="zh-CN"/>
              </w:rPr>
              <w:t>36</w:t>
            </w:r>
          </w:p>
        </w:tc>
        <w:tc>
          <w:tcPr>
            <w:tcW w:w="1488" w:type="dxa"/>
            <w:noWrap w:val="0"/>
            <w:vAlign w:val="center"/>
          </w:tcPr>
          <w:p w14:paraId="498D0DA7">
            <w:pPr>
              <w:jc w:val="center"/>
              <w:rPr>
                <w:rFonts w:hint="eastAsia" w:ascii="宋体" w:hAnsi="宋体" w:eastAsia="宋体" w:cs="宋体"/>
                <w:color w:val="auto"/>
                <w:spacing w:val="7"/>
                <w:sz w:val="21"/>
                <w:szCs w:val="21"/>
                <w:highlight w:val="none"/>
                <w:shd w:val="clear" w:color="auto" w:fill="FFFFFF"/>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COD氨氮总磷总氮测定仪（COD）</w:t>
            </w:r>
          </w:p>
        </w:tc>
        <w:tc>
          <w:tcPr>
            <w:tcW w:w="1489" w:type="dxa"/>
            <w:vMerge w:val="restart"/>
            <w:noWrap w:val="0"/>
            <w:vAlign w:val="center"/>
          </w:tcPr>
          <w:p w14:paraId="0ADA75E8">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CNPN-401C</w:t>
            </w:r>
          </w:p>
        </w:tc>
        <w:tc>
          <w:tcPr>
            <w:tcW w:w="693" w:type="dxa"/>
            <w:vMerge w:val="restart"/>
            <w:noWrap w:val="0"/>
            <w:vAlign w:val="center"/>
          </w:tcPr>
          <w:p w14:paraId="5A85FB22">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175" w:type="dxa"/>
            <w:vMerge w:val="restart"/>
            <w:noWrap w:val="0"/>
            <w:vAlign w:val="center"/>
          </w:tcPr>
          <w:p w14:paraId="517F0334">
            <w:pPr>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校准</w:t>
            </w:r>
          </w:p>
        </w:tc>
        <w:tc>
          <w:tcPr>
            <w:tcW w:w="1950" w:type="dxa"/>
            <w:noWrap w:val="0"/>
            <w:vAlign w:val="center"/>
          </w:tcPr>
          <w:p w14:paraId="4765DDE2">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JJG</w:t>
            </w:r>
            <w:r>
              <w:rPr>
                <w:rFonts w:hint="eastAsia" w:ascii="宋体" w:hAnsi="宋体" w:eastAsia="宋体" w:cs="宋体"/>
                <w:color w:val="auto"/>
                <w:sz w:val="21"/>
                <w:szCs w:val="21"/>
                <w:highlight w:val="none"/>
                <w:lang w:val="en-US" w:eastAsia="zh-CN"/>
              </w:rPr>
              <w:t xml:space="preserve"> 975-2002 </w:t>
            </w:r>
            <w:r>
              <w:rPr>
                <w:rFonts w:hint="eastAsia" w:ascii="宋体" w:hAnsi="宋体" w:eastAsia="宋体" w:cs="宋体"/>
                <w:color w:val="auto"/>
                <w:sz w:val="21"/>
                <w:szCs w:val="21"/>
                <w:highlight w:val="none"/>
              </w:rPr>
              <w:t>《化学需氧量(COD)测</w:t>
            </w:r>
            <w:r>
              <w:rPr>
                <w:rFonts w:hint="eastAsia" w:ascii="宋体" w:hAnsi="宋体" w:eastAsia="宋体" w:cs="宋体"/>
                <w:color w:val="auto"/>
                <w:sz w:val="21"/>
                <w:szCs w:val="21"/>
                <w:highlight w:val="none"/>
                <w:lang w:val="en-US" w:eastAsia="zh-CN"/>
              </w:rPr>
              <w:t>定</w:t>
            </w:r>
            <w:r>
              <w:rPr>
                <w:rFonts w:hint="eastAsia" w:ascii="宋体" w:hAnsi="宋体" w:eastAsia="宋体" w:cs="宋体"/>
                <w:color w:val="auto"/>
                <w:sz w:val="21"/>
                <w:szCs w:val="21"/>
                <w:highlight w:val="none"/>
              </w:rPr>
              <w:t>仪检定规程》</w:t>
            </w:r>
          </w:p>
        </w:tc>
        <w:tc>
          <w:tcPr>
            <w:tcW w:w="1350" w:type="dxa"/>
            <w:noWrap w:val="0"/>
            <w:vAlign w:val="center"/>
          </w:tcPr>
          <w:p w14:paraId="10D4B42E">
            <w:pPr>
              <w:pStyle w:val="3"/>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1100</w:t>
            </w:r>
          </w:p>
        </w:tc>
      </w:tr>
      <w:tr w14:paraId="69AA6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783" w:type="dxa"/>
            <w:vMerge w:val="continue"/>
            <w:noWrap w:val="0"/>
            <w:vAlign w:val="center"/>
          </w:tcPr>
          <w:p w14:paraId="52E8ED5E">
            <w:pPr>
              <w:pStyle w:val="3"/>
              <w:jc w:val="center"/>
            </w:pPr>
          </w:p>
        </w:tc>
        <w:tc>
          <w:tcPr>
            <w:tcW w:w="1488" w:type="dxa"/>
            <w:noWrap w:val="0"/>
            <w:vAlign w:val="center"/>
          </w:tcPr>
          <w:p w14:paraId="08B85A24">
            <w:pPr>
              <w:pStyle w:val="3"/>
              <w:jc w:val="center"/>
            </w:pPr>
            <w:r>
              <w:rPr>
                <w:rFonts w:hint="eastAsia" w:ascii="宋体" w:hAnsi="宋体" w:eastAsia="宋体" w:cs="宋体"/>
                <w:i w:val="0"/>
                <w:iCs w:val="0"/>
                <w:color w:val="auto"/>
                <w:kern w:val="0"/>
                <w:sz w:val="21"/>
                <w:szCs w:val="21"/>
                <w:highlight w:val="none"/>
                <w:u w:val="none"/>
                <w:lang w:val="en-US" w:eastAsia="zh-CN" w:bidi="ar"/>
              </w:rPr>
              <w:t>COD氨氮总磷总氮测定仪（氨氮）</w:t>
            </w:r>
          </w:p>
        </w:tc>
        <w:tc>
          <w:tcPr>
            <w:tcW w:w="1489" w:type="dxa"/>
            <w:vMerge w:val="continue"/>
            <w:noWrap w:val="0"/>
            <w:vAlign w:val="center"/>
          </w:tcPr>
          <w:p w14:paraId="7DB10DDF">
            <w:pPr>
              <w:pStyle w:val="3"/>
              <w:jc w:val="center"/>
            </w:pPr>
          </w:p>
        </w:tc>
        <w:tc>
          <w:tcPr>
            <w:tcW w:w="693" w:type="dxa"/>
            <w:vMerge w:val="continue"/>
            <w:noWrap w:val="0"/>
            <w:vAlign w:val="center"/>
          </w:tcPr>
          <w:p w14:paraId="55B47414">
            <w:pPr>
              <w:pStyle w:val="3"/>
              <w:jc w:val="center"/>
            </w:pPr>
          </w:p>
        </w:tc>
        <w:tc>
          <w:tcPr>
            <w:tcW w:w="1175" w:type="dxa"/>
            <w:vMerge w:val="continue"/>
            <w:noWrap w:val="0"/>
            <w:vAlign w:val="center"/>
          </w:tcPr>
          <w:p w14:paraId="58D8F359">
            <w:pPr>
              <w:pStyle w:val="3"/>
              <w:jc w:val="center"/>
            </w:pPr>
          </w:p>
        </w:tc>
        <w:tc>
          <w:tcPr>
            <w:tcW w:w="1950" w:type="dxa"/>
            <w:noWrap w:val="0"/>
            <w:vAlign w:val="center"/>
          </w:tcPr>
          <w:p w14:paraId="3361714F">
            <w:pPr>
              <w:pStyle w:val="3"/>
              <w:jc w:val="center"/>
              <w:rPr>
                <w:rFonts w:hint="eastAsia" w:ascii="宋体" w:hAnsi="宋体" w:eastAsia="宋体" w:cs="宋体"/>
                <w:color w:val="auto"/>
                <w:sz w:val="21"/>
                <w:szCs w:val="21"/>
                <w:highlight w:val="none"/>
                <w:lang w:val="en-US" w:eastAsia="zh-CN"/>
              </w:rPr>
            </w:pPr>
          </w:p>
          <w:p w14:paraId="2C56F437">
            <w:pPr>
              <w:pStyle w:val="3"/>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JJG 631-2013《氨氮自动监测仪检定规程》</w:t>
            </w:r>
          </w:p>
        </w:tc>
        <w:tc>
          <w:tcPr>
            <w:tcW w:w="1350" w:type="dxa"/>
            <w:noWrap w:val="0"/>
            <w:vAlign w:val="center"/>
          </w:tcPr>
          <w:p w14:paraId="09AB0372">
            <w:pPr>
              <w:pStyle w:val="3"/>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775</w:t>
            </w:r>
          </w:p>
        </w:tc>
      </w:tr>
      <w:tr w14:paraId="01934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783" w:type="dxa"/>
            <w:vMerge w:val="continue"/>
            <w:noWrap w:val="0"/>
            <w:vAlign w:val="center"/>
          </w:tcPr>
          <w:p w14:paraId="6157FD6C">
            <w:pPr>
              <w:pStyle w:val="3"/>
              <w:jc w:val="center"/>
              <w:rPr>
                <w:rFonts w:hint="eastAsia" w:ascii="宋体" w:hAnsi="宋体" w:eastAsia="宋体" w:cs="宋体"/>
                <w:color w:val="auto"/>
                <w:sz w:val="21"/>
                <w:szCs w:val="21"/>
                <w:highlight w:val="none"/>
                <w:lang w:val="en-US" w:eastAsia="zh-CN"/>
              </w:rPr>
            </w:pPr>
          </w:p>
        </w:tc>
        <w:tc>
          <w:tcPr>
            <w:tcW w:w="1488" w:type="dxa"/>
            <w:noWrap w:val="0"/>
            <w:vAlign w:val="center"/>
          </w:tcPr>
          <w:p w14:paraId="7C158144">
            <w:pPr>
              <w:pStyle w:val="3"/>
              <w:jc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COD氨氮总磷总氮测定仪（总磷）</w:t>
            </w:r>
          </w:p>
        </w:tc>
        <w:tc>
          <w:tcPr>
            <w:tcW w:w="1489" w:type="dxa"/>
            <w:vMerge w:val="continue"/>
            <w:noWrap w:val="0"/>
            <w:vAlign w:val="center"/>
          </w:tcPr>
          <w:p w14:paraId="14410101">
            <w:pPr>
              <w:pStyle w:val="3"/>
              <w:jc w:val="center"/>
              <w:rPr>
                <w:rFonts w:hint="eastAsia" w:ascii="宋体" w:hAnsi="宋体" w:eastAsia="宋体" w:cs="宋体"/>
                <w:color w:val="auto"/>
                <w:sz w:val="21"/>
                <w:szCs w:val="21"/>
                <w:highlight w:val="none"/>
                <w:lang w:val="en-US" w:eastAsia="zh-CN"/>
              </w:rPr>
            </w:pPr>
          </w:p>
        </w:tc>
        <w:tc>
          <w:tcPr>
            <w:tcW w:w="693" w:type="dxa"/>
            <w:vMerge w:val="continue"/>
            <w:noWrap w:val="0"/>
            <w:vAlign w:val="center"/>
          </w:tcPr>
          <w:p w14:paraId="29C36EF2">
            <w:pPr>
              <w:pStyle w:val="3"/>
              <w:jc w:val="center"/>
              <w:rPr>
                <w:rFonts w:hint="eastAsia" w:ascii="宋体" w:hAnsi="宋体" w:eastAsia="宋体" w:cs="宋体"/>
                <w:color w:val="auto"/>
                <w:sz w:val="21"/>
                <w:szCs w:val="21"/>
                <w:highlight w:val="none"/>
                <w:lang w:val="en-US" w:eastAsia="zh-CN"/>
              </w:rPr>
            </w:pPr>
          </w:p>
        </w:tc>
        <w:tc>
          <w:tcPr>
            <w:tcW w:w="1175" w:type="dxa"/>
            <w:vMerge w:val="continue"/>
            <w:noWrap w:val="0"/>
            <w:vAlign w:val="center"/>
          </w:tcPr>
          <w:p w14:paraId="6F62D0EC">
            <w:pPr>
              <w:pStyle w:val="3"/>
              <w:jc w:val="center"/>
              <w:rPr>
                <w:rFonts w:hint="eastAsia" w:ascii="宋体" w:hAnsi="宋体" w:eastAsia="宋体" w:cs="宋体"/>
                <w:color w:val="auto"/>
                <w:sz w:val="21"/>
                <w:szCs w:val="21"/>
                <w:highlight w:val="none"/>
                <w:lang w:val="en-US" w:eastAsia="zh-CN"/>
              </w:rPr>
            </w:pPr>
          </w:p>
        </w:tc>
        <w:tc>
          <w:tcPr>
            <w:tcW w:w="1950" w:type="dxa"/>
            <w:noWrap w:val="0"/>
            <w:vAlign w:val="center"/>
          </w:tcPr>
          <w:p w14:paraId="571847F4">
            <w:pPr>
              <w:pStyle w:val="3"/>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JJG 1094-2013《总磷总氮水质在线分析仪检定规程》</w:t>
            </w:r>
          </w:p>
        </w:tc>
        <w:tc>
          <w:tcPr>
            <w:tcW w:w="1350" w:type="dxa"/>
            <w:noWrap w:val="0"/>
            <w:vAlign w:val="center"/>
          </w:tcPr>
          <w:p w14:paraId="37568907">
            <w:pPr>
              <w:pStyle w:val="3"/>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775</w:t>
            </w:r>
          </w:p>
        </w:tc>
      </w:tr>
      <w:tr w14:paraId="67D38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783" w:type="dxa"/>
            <w:vMerge w:val="continue"/>
            <w:noWrap w:val="0"/>
            <w:vAlign w:val="center"/>
          </w:tcPr>
          <w:p w14:paraId="24D72FA9">
            <w:pPr>
              <w:pStyle w:val="3"/>
              <w:jc w:val="center"/>
              <w:rPr>
                <w:rFonts w:hint="eastAsia" w:ascii="宋体" w:hAnsi="宋体" w:eastAsia="宋体" w:cs="宋体"/>
                <w:color w:val="auto"/>
                <w:sz w:val="21"/>
                <w:szCs w:val="21"/>
                <w:highlight w:val="none"/>
                <w:lang w:val="en-US" w:eastAsia="zh-CN"/>
              </w:rPr>
            </w:pPr>
          </w:p>
        </w:tc>
        <w:tc>
          <w:tcPr>
            <w:tcW w:w="1488" w:type="dxa"/>
            <w:noWrap w:val="0"/>
            <w:vAlign w:val="center"/>
          </w:tcPr>
          <w:p w14:paraId="04C72A07">
            <w:pPr>
              <w:pStyle w:val="3"/>
              <w:jc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COD氨氮总磷总氮测定仪（总氮）</w:t>
            </w:r>
          </w:p>
        </w:tc>
        <w:tc>
          <w:tcPr>
            <w:tcW w:w="1489" w:type="dxa"/>
            <w:vMerge w:val="continue"/>
            <w:noWrap w:val="0"/>
            <w:vAlign w:val="center"/>
          </w:tcPr>
          <w:p w14:paraId="7B86620E">
            <w:pPr>
              <w:pStyle w:val="3"/>
              <w:jc w:val="center"/>
              <w:rPr>
                <w:rFonts w:hint="eastAsia" w:ascii="宋体" w:hAnsi="宋体" w:eastAsia="宋体" w:cs="宋体"/>
                <w:color w:val="auto"/>
                <w:sz w:val="21"/>
                <w:szCs w:val="21"/>
                <w:highlight w:val="none"/>
                <w:lang w:val="en-US" w:eastAsia="zh-CN"/>
              </w:rPr>
            </w:pPr>
          </w:p>
        </w:tc>
        <w:tc>
          <w:tcPr>
            <w:tcW w:w="693" w:type="dxa"/>
            <w:vMerge w:val="continue"/>
            <w:noWrap w:val="0"/>
            <w:vAlign w:val="center"/>
          </w:tcPr>
          <w:p w14:paraId="7EF31259">
            <w:pPr>
              <w:pStyle w:val="3"/>
              <w:jc w:val="center"/>
              <w:rPr>
                <w:rFonts w:hint="eastAsia" w:ascii="宋体" w:hAnsi="宋体" w:eastAsia="宋体" w:cs="宋体"/>
                <w:color w:val="auto"/>
                <w:sz w:val="21"/>
                <w:szCs w:val="21"/>
                <w:highlight w:val="none"/>
                <w:lang w:val="en-US" w:eastAsia="zh-CN"/>
              </w:rPr>
            </w:pPr>
          </w:p>
        </w:tc>
        <w:tc>
          <w:tcPr>
            <w:tcW w:w="1175" w:type="dxa"/>
            <w:vMerge w:val="continue"/>
            <w:noWrap w:val="0"/>
            <w:vAlign w:val="center"/>
          </w:tcPr>
          <w:p w14:paraId="49637978">
            <w:pPr>
              <w:pStyle w:val="3"/>
              <w:jc w:val="center"/>
              <w:rPr>
                <w:rFonts w:hint="eastAsia" w:ascii="宋体" w:hAnsi="宋体" w:eastAsia="宋体" w:cs="宋体"/>
                <w:color w:val="auto"/>
                <w:sz w:val="21"/>
                <w:szCs w:val="21"/>
                <w:highlight w:val="none"/>
                <w:lang w:val="en-US" w:eastAsia="zh-CN"/>
              </w:rPr>
            </w:pPr>
          </w:p>
        </w:tc>
        <w:tc>
          <w:tcPr>
            <w:tcW w:w="1950" w:type="dxa"/>
            <w:noWrap w:val="0"/>
            <w:vAlign w:val="center"/>
          </w:tcPr>
          <w:p w14:paraId="01559FDB">
            <w:pPr>
              <w:pStyle w:val="3"/>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JJG 1094-2013《总磷总氮水质在线分析仪检定规程》</w:t>
            </w:r>
          </w:p>
        </w:tc>
        <w:tc>
          <w:tcPr>
            <w:tcW w:w="1350" w:type="dxa"/>
            <w:noWrap w:val="0"/>
            <w:vAlign w:val="center"/>
          </w:tcPr>
          <w:p w14:paraId="67BA3FEA">
            <w:pPr>
              <w:pStyle w:val="3"/>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775</w:t>
            </w:r>
          </w:p>
        </w:tc>
      </w:tr>
      <w:tr w14:paraId="5D58B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3" w:type="dxa"/>
            <w:noWrap w:val="0"/>
            <w:vAlign w:val="center"/>
          </w:tcPr>
          <w:p w14:paraId="4E749C80">
            <w:pPr>
              <w:pStyle w:val="20"/>
              <w:spacing w:before="265" w:line="183" w:lineRule="auto"/>
              <w:jc w:val="center"/>
              <w:rPr>
                <w:rFonts w:hint="default" w:ascii="宋体" w:hAnsi="宋体" w:eastAsia="宋体" w:cs="宋体"/>
                <w:color w:val="auto"/>
                <w:spacing w:val="7"/>
                <w:sz w:val="21"/>
                <w:szCs w:val="21"/>
                <w:highlight w:val="none"/>
                <w:shd w:val="clear" w:color="auto" w:fill="FFFFFF"/>
                <w:vertAlign w:val="baseline"/>
                <w:lang w:val="en-US" w:eastAsia="zh-CN"/>
              </w:rPr>
            </w:pPr>
            <w:r>
              <w:rPr>
                <w:rFonts w:hint="eastAsia" w:cs="宋体"/>
                <w:color w:val="auto"/>
                <w:spacing w:val="7"/>
                <w:sz w:val="21"/>
                <w:szCs w:val="21"/>
                <w:highlight w:val="none"/>
                <w:shd w:val="clear" w:color="auto" w:fill="FFFFFF"/>
                <w:vertAlign w:val="baseline"/>
                <w:lang w:val="en-US" w:eastAsia="zh-CN"/>
              </w:rPr>
              <w:t>37</w:t>
            </w:r>
          </w:p>
        </w:tc>
        <w:tc>
          <w:tcPr>
            <w:tcW w:w="1488" w:type="dxa"/>
            <w:noWrap w:val="0"/>
            <w:vAlign w:val="center"/>
          </w:tcPr>
          <w:p w14:paraId="1FE15BA0">
            <w:pPr>
              <w:jc w:val="center"/>
              <w:rPr>
                <w:rFonts w:hint="eastAsia" w:ascii="宋体" w:hAnsi="宋体" w:eastAsia="宋体" w:cs="宋体"/>
                <w:color w:val="auto"/>
                <w:spacing w:val="7"/>
                <w:kern w:val="2"/>
                <w:sz w:val="21"/>
                <w:szCs w:val="21"/>
                <w:highlight w:val="none"/>
                <w:shd w:val="clear" w:color="auto" w:fill="FFFFFF"/>
                <w:vertAlign w:val="baseline"/>
                <w:lang w:val="en-US" w:eastAsia="zh-CN" w:bidi="ar-SA"/>
              </w:rPr>
            </w:pPr>
            <w:r>
              <w:rPr>
                <w:rFonts w:hint="eastAsia" w:ascii="宋体" w:hAnsi="宋体" w:eastAsia="宋体" w:cs="宋体"/>
                <w:color w:val="auto"/>
                <w:sz w:val="21"/>
                <w:szCs w:val="21"/>
                <w:highlight w:val="none"/>
              </w:rPr>
              <w:t>压力表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禁油）</w:t>
            </w:r>
          </w:p>
        </w:tc>
        <w:tc>
          <w:tcPr>
            <w:tcW w:w="1489" w:type="dxa"/>
            <w:noWrap w:val="0"/>
            <w:vAlign w:val="center"/>
          </w:tcPr>
          <w:p w14:paraId="15D376BB">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693" w:type="dxa"/>
            <w:noWrap w:val="0"/>
            <w:vAlign w:val="center"/>
          </w:tcPr>
          <w:p w14:paraId="6A8E7286">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31×2</w:t>
            </w:r>
          </w:p>
        </w:tc>
        <w:tc>
          <w:tcPr>
            <w:tcW w:w="1175" w:type="dxa"/>
            <w:noWrap w:val="0"/>
            <w:vAlign w:val="center"/>
          </w:tcPr>
          <w:p w14:paraId="2E093BFD">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校准</w:t>
            </w:r>
          </w:p>
        </w:tc>
        <w:tc>
          <w:tcPr>
            <w:tcW w:w="1950" w:type="dxa"/>
            <w:noWrap w:val="0"/>
            <w:vAlign w:val="center"/>
          </w:tcPr>
          <w:p w14:paraId="65637A6D">
            <w:pPr>
              <w:jc w:val="center"/>
              <w:rPr>
                <w:rFonts w:hint="eastAsia" w:ascii="宋体" w:hAnsi="宋体" w:eastAsia="宋体" w:cs="宋体"/>
                <w:color w:val="auto"/>
                <w:spacing w:val="7"/>
                <w:kern w:val="2"/>
                <w:sz w:val="21"/>
                <w:szCs w:val="21"/>
                <w:highlight w:val="none"/>
                <w:shd w:val="clear" w:color="auto" w:fill="FFFFFF"/>
                <w:vertAlign w:val="baseline"/>
                <w:lang w:val="en-US" w:eastAsia="zh-CN" w:bidi="ar-SA"/>
              </w:rPr>
            </w:pPr>
            <w:r>
              <w:rPr>
                <w:rFonts w:hint="eastAsia" w:ascii="宋体" w:hAnsi="宋体" w:eastAsia="宋体" w:cs="宋体"/>
                <w:color w:val="auto"/>
                <w:sz w:val="21"/>
                <w:szCs w:val="21"/>
                <w:highlight w:val="none"/>
              </w:rPr>
              <w:t>JJG 52-2013《弹性元件式一般压力表、压力真空表和真空表检定规程》</w:t>
            </w:r>
          </w:p>
        </w:tc>
        <w:tc>
          <w:tcPr>
            <w:tcW w:w="1350" w:type="dxa"/>
            <w:noWrap w:val="0"/>
            <w:vAlign w:val="center"/>
          </w:tcPr>
          <w:p w14:paraId="416548A0">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28</w:t>
            </w:r>
          </w:p>
        </w:tc>
      </w:tr>
      <w:tr w14:paraId="46834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3" w:type="dxa"/>
            <w:noWrap w:val="0"/>
            <w:vAlign w:val="center"/>
          </w:tcPr>
          <w:p w14:paraId="2DBB267F">
            <w:pPr>
              <w:pStyle w:val="20"/>
              <w:spacing w:before="265" w:line="183" w:lineRule="auto"/>
              <w:jc w:val="center"/>
              <w:rPr>
                <w:rFonts w:hint="default" w:ascii="宋体" w:hAnsi="宋体" w:eastAsia="宋体" w:cs="宋体"/>
                <w:color w:val="auto"/>
                <w:spacing w:val="7"/>
                <w:sz w:val="21"/>
                <w:szCs w:val="21"/>
                <w:highlight w:val="none"/>
                <w:shd w:val="clear" w:color="auto" w:fill="FFFFFF"/>
                <w:vertAlign w:val="baseline"/>
                <w:lang w:val="en-US" w:eastAsia="zh-CN"/>
              </w:rPr>
            </w:pPr>
            <w:r>
              <w:rPr>
                <w:rFonts w:hint="eastAsia" w:cs="宋体"/>
                <w:color w:val="auto"/>
                <w:spacing w:val="7"/>
                <w:sz w:val="21"/>
                <w:szCs w:val="21"/>
                <w:highlight w:val="none"/>
                <w:shd w:val="clear" w:color="auto" w:fill="FFFFFF"/>
                <w:vertAlign w:val="baseline"/>
                <w:lang w:val="en-US" w:eastAsia="zh-CN"/>
              </w:rPr>
              <w:t>38</w:t>
            </w:r>
          </w:p>
        </w:tc>
        <w:tc>
          <w:tcPr>
            <w:tcW w:w="1488" w:type="dxa"/>
            <w:noWrap w:val="0"/>
            <w:vAlign w:val="center"/>
          </w:tcPr>
          <w:p w14:paraId="038D1A7F">
            <w:pPr>
              <w:jc w:val="center"/>
              <w:rPr>
                <w:rFonts w:hint="eastAsia" w:ascii="宋体" w:hAnsi="宋体" w:eastAsia="宋体" w:cs="宋体"/>
                <w:color w:val="auto"/>
                <w:sz w:val="21"/>
                <w:szCs w:val="21"/>
                <w:highlight w:val="none"/>
              </w:rPr>
            </w:pPr>
          </w:p>
          <w:p w14:paraId="52EC2A7E">
            <w:pPr>
              <w:jc w:val="center"/>
              <w:rPr>
                <w:rFonts w:hint="eastAsia" w:ascii="宋体" w:hAnsi="宋体" w:eastAsia="宋体" w:cs="宋体"/>
                <w:color w:val="auto"/>
                <w:spacing w:val="7"/>
                <w:kern w:val="2"/>
                <w:sz w:val="21"/>
                <w:szCs w:val="21"/>
                <w:highlight w:val="none"/>
                <w:shd w:val="clear" w:color="auto" w:fill="FFFFFF"/>
                <w:vertAlign w:val="baseline"/>
                <w:lang w:val="en-US" w:eastAsia="zh-CN" w:bidi="ar-SA"/>
              </w:rPr>
            </w:pPr>
            <w:r>
              <w:rPr>
                <w:rFonts w:hint="eastAsia" w:ascii="宋体" w:hAnsi="宋体" w:eastAsia="宋体" w:cs="宋体"/>
                <w:color w:val="auto"/>
                <w:sz w:val="21"/>
                <w:szCs w:val="21"/>
                <w:highlight w:val="none"/>
                <w:lang w:val="en-US" w:eastAsia="zh-CN"/>
              </w:rPr>
              <w:t>压力表</w:t>
            </w:r>
          </w:p>
        </w:tc>
        <w:tc>
          <w:tcPr>
            <w:tcW w:w="1489" w:type="dxa"/>
            <w:noWrap w:val="0"/>
            <w:vAlign w:val="center"/>
          </w:tcPr>
          <w:p w14:paraId="7EDBB0BF">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693" w:type="dxa"/>
            <w:noWrap w:val="0"/>
            <w:vAlign w:val="center"/>
          </w:tcPr>
          <w:p w14:paraId="18E6D5D3">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3×2</w:t>
            </w:r>
          </w:p>
        </w:tc>
        <w:tc>
          <w:tcPr>
            <w:tcW w:w="1175" w:type="dxa"/>
            <w:noWrap w:val="0"/>
            <w:vAlign w:val="center"/>
          </w:tcPr>
          <w:p w14:paraId="3EF2BCCC">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检定</w:t>
            </w:r>
          </w:p>
        </w:tc>
        <w:tc>
          <w:tcPr>
            <w:tcW w:w="1950" w:type="dxa"/>
            <w:noWrap w:val="0"/>
            <w:vAlign w:val="center"/>
          </w:tcPr>
          <w:p w14:paraId="0BC2A7C7">
            <w:pPr>
              <w:jc w:val="center"/>
              <w:rPr>
                <w:rFonts w:hint="eastAsia" w:ascii="宋体" w:hAnsi="宋体" w:eastAsia="宋体" w:cs="宋体"/>
                <w:color w:val="auto"/>
                <w:spacing w:val="7"/>
                <w:kern w:val="2"/>
                <w:sz w:val="21"/>
                <w:szCs w:val="21"/>
                <w:highlight w:val="none"/>
                <w:shd w:val="clear" w:color="auto" w:fill="FFFFFF"/>
                <w:vertAlign w:val="baseline"/>
                <w:lang w:val="en-US" w:eastAsia="zh-CN" w:bidi="ar-SA"/>
              </w:rPr>
            </w:pPr>
            <w:r>
              <w:rPr>
                <w:rFonts w:hint="eastAsia" w:ascii="宋体" w:hAnsi="宋体" w:eastAsia="宋体" w:cs="宋体"/>
                <w:color w:val="auto"/>
                <w:sz w:val="21"/>
                <w:szCs w:val="21"/>
                <w:highlight w:val="none"/>
              </w:rPr>
              <w:t>JJG 52-2013《弹性元件式一般压力表、压力真空表和真空表检定规程》</w:t>
            </w:r>
          </w:p>
        </w:tc>
        <w:tc>
          <w:tcPr>
            <w:tcW w:w="1350" w:type="dxa"/>
            <w:noWrap w:val="0"/>
            <w:vAlign w:val="center"/>
          </w:tcPr>
          <w:p w14:paraId="4F721623">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w:t>
            </w:r>
          </w:p>
        </w:tc>
      </w:tr>
      <w:tr w14:paraId="78F1F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3" w:type="dxa"/>
            <w:noWrap w:val="0"/>
            <w:vAlign w:val="center"/>
          </w:tcPr>
          <w:p w14:paraId="1E7D5EB8">
            <w:pPr>
              <w:pStyle w:val="20"/>
              <w:spacing w:before="265" w:line="183" w:lineRule="auto"/>
              <w:jc w:val="center"/>
              <w:rPr>
                <w:rFonts w:hint="default" w:ascii="宋体" w:hAnsi="宋体" w:eastAsia="宋体" w:cs="宋体"/>
                <w:color w:val="auto"/>
                <w:spacing w:val="7"/>
                <w:sz w:val="21"/>
                <w:szCs w:val="21"/>
                <w:highlight w:val="none"/>
                <w:shd w:val="clear" w:color="auto" w:fill="FFFFFF"/>
                <w:vertAlign w:val="baseline"/>
                <w:lang w:val="en-US" w:eastAsia="zh-CN"/>
              </w:rPr>
            </w:pPr>
            <w:r>
              <w:rPr>
                <w:rFonts w:hint="eastAsia" w:cs="宋体"/>
                <w:color w:val="auto"/>
                <w:spacing w:val="7"/>
                <w:sz w:val="21"/>
                <w:szCs w:val="21"/>
                <w:highlight w:val="none"/>
                <w:shd w:val="clear" w:color="auto" w:fill="FFFFFF"/>
                <w:vertAlign w:val="baseline"/>
                <w:lang w:val="en-US" w:eastAsia="zh-CN"/>
              </w:rPr>
              <w:t>39</w:t>
            </w:r>
          </w:p>
        </w:tc>
        <w:tc>
          <w:tcPr>
            <w:tcW w:w="1488" w:type="dxa"/>
            <w:noWrap w:val="0"/>
            <w:vAlign w:val="center"/>
          </w:tcPr>
          <w:p w14:paraId="16CB17EC">
            <w:pPr>
              <w:jc w:val="center"/>
              <w:rPr>
                <w:rFonts w:hint="eastAsia" w:ascii="宋体" w:hAnsi="宋体" w:eastAsia="宋体" w:cs="宋体"/>
                <w:color w:val="auto"/>
                <w:spacing w:val="7"/>
                <w:kern w:val="2"/>
                <w:sz w:val="21"/>
                <w:szCs w:val="21"/>
                <w:highlight w:val="none"/>
                <w:shd w:val="clear" w:color="auto" w:fill="FFFFFF"/>
                <w:vertAlign w:val="baseline"/>
                <w:lang w:val="en-US" w:eastAsia="zh-CN" w:bidi="ar-SA"/>
              </w:rPr>
            </w:pPr>
            <w:r>
              <w:rPr>
                <w:rFonts w:hint="eastAsia" w:ascii="宋体" w:hAnsi="宋体" w:eastAsia="宋体" w:cs="宋体"/>
                <w:color w:val="auto"/>
                <w:sz w:val="21"/>
                <w:szCs w:val="21"/>
                <w:highlight w:val="none"/>
              </w:rPr>
              <w:t>电子</w:t>
            </w:r>
            <w:r>
              <w:rPr>
                <w:rFonts w:hint="eastAsia" w:ascii="宋体" w:hAnsi="宋体" w:eastAsia="宋体" w:cs="宋体"/>
                <w:color w:val="auto"/>
                <w:sz w:val="21"/>
                <w:szCs w:val="21"/>
                <w:highlight w:val="none"/>
                <w:lang w:val="en-US" w:eastAsia="zh-CN"/>
              </w:rPr>
              <w:t>分析</w:t>
            </w:r>
            <w:r>
              <w:rPr>
                <w:rFonts w:hint="eastAsia" w:ascii="宋体" w:hAnsi="宋体" w:eastAsia="宋体" w:cs="宋体"/>
                <w:color w:val="auto"/>
                <w:sz w:val="21"/>
                <w:szCs w:val="21"/>
                <w:highlight w:val="none"/>
              </w:rPr>
              <w:t>天平</w:t>
            </w:r>
          </w:p>
        </w:tc>
        <w:tc>
          <w:tcPr>
            <w:tcW w:w="1489" w:type="dxa"/>
            <w:noWrap w:val="0"/>
            <w:vAlign w:val="center"/>
          </w:tcPr>
          <w:p w14:paraId="3113A286">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szCs w:val="21"/>
              </w:rPr>
              <w:t>XB220A</w:t>
            </w:r>
          </w:p>
        </w:tc>
        <w:tc>
          <w:tcPr>
            <w:tcW w:w="693" w:type="dxa"/>
            <w:noWrap w:val="0"/>
            <w:vAlign w:val="center"/>
          </w:tcPr>
          <w:p w14:paraId="77DF8F32">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175" w:type="dxa"/>
            <w:noWrap w:val="0"/>
            <w:vAlign w:val="center"/>
          </w:tcPr>
          <w:p w14:paraId="4C55E53F">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检定</w:t>
            </w:r>
          </w:p>
        </w:tc>
        <w:tc>
          <w:tcPr>
            <w:tcW w:w="1950" w:type="dxa"/>
            <w:noWrap w:val="0"/>
            <w:vAlign w:val="center"/>
          </w:tcPr>
          <w:p w14:paraId="1EC2D203">
            <w:pPr>
              <w:jc w:val="center"/>
              <w:rPr>
                <w:rFonts w:hint="eastAsia" w:ascii="宋体" w:hAnsi="宋体" w:eastAsia="宋体" w:cs="宋体"/>
                <w:color w:val="auto"/>
                <w:spacing w:val="7"/>
                <w:kern w:val="2"/>
                <w:sz w:val="21"/>
                <w:szCs w:val="21"/>
                <w:highlight w:val="none"/>
                <w:shd w:val="clear" w:color="auto" w:fill="FFFFFF"/>
                <w:vertAlign w:val="baseline"/>
                <w:lang w:val="en-US" w:eastAsia="zh-CN" w:bidi="ar-SA"/>
              </w:rPr>
            </w:pPr>
            <w:r>
              <w:rPr>
                <w:rFonts w:hint="eastAsia" w:ascii="宋体" w:hAnsi="宋体" w:eastAsia="宋体" w:cs="宋体"/>
                <w:color w:val="auto"/>
                <w:sz w:val="21"/>
                <w:szCs w:val="21"/>
                <w:highlight w:val="none"/>
              </w:rPr>
              <w:t>JJG 1036-20</w:t>
            </w: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《电子天平检定</w:t>
            </w:r>
            <w:r>
              <w:rPr>
                <w:rFonts w:hint="eastAsia" w:ascii="宋体" w:hAnsi="宋体" w:eastAsia="宋体" w:cs="宋体"/>
                <w:color w:val="auto"/>
                <w:sz w:val="21"/>
                <w:szCs w:val="21"/>
                <w:highlight w:val="none"/>
                <w:lang w:val="en-US" w:eastAsia="zh-CN"/>
              </w:rPr>
              <w:t>程</w:t>
            </w:r>
            <w:r>
              <w:rPr>
                <w:rFonts w:hint="eastAsia" w:ascii="宋体" w:hAnsi="宋体" w:eastAsia="宋体" w:cs="宋体"/>
                <w:color w:val="auto"/>
                <w:sz w:val="21"/>
                <w:szCs w:val="21"/>
                <w:highlight w:val="none"/>
              </w:rPr>
              <w:t>》</w:t>
            </w:r>
          </w:p>
        </w:tc>
        <w:tc>
          <w:tcPr>
            <w:tcW w:w="1350" w:type="dxa"/>
            <w:noWrap w:val="0"/>
            <w:vAlign w:val="center"/>
          </w:tcPr>
          <w:p w14:paraId="51CFF888">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413</w:t>
            </w:r>
          </w:p>
        </w:tc>
      </w:tr>
      <w:tr w14:paraId="5885B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3" w:type="dxa"/>
            <w:noWrap w:val="0"/>
            <w:vAlign w:val="center"/>
          </w:tcPr>
          <w:p w14:paraId="4937757B">
            <w:pPr>
              <w:pStyle w:val="20"/>
              <w:spacing w:before="265" w:line="183" w:lineRule="auto"/>
              <w:jc w:val="center"/>
              <w:rPr>
                <w:rFonts w:hint="default" w:ascii="宋体" w:hAnsi="宋体" w:eastAsia="宋体" w:cs="宋体"/>
                <w:color w:val="auto"/>
                <w:spacing w:val="7"/>
                <w:sz w:val="21"/>
                <w:szCs w:val="21"/>
                <w:highlight w:val="none"/>
                <w:shd w:val="clear" w:color="auto" w:fill="FFFFFF"/>
                <w:vertAlign w:val="baseline"/>
                <w:lang w:val="en-US" w:eastAsia="zh-CN"/>
              </w:rPr>
            </w:pPr>
            <w:r>
              <w:rPr>
                <w:rFonts w:hint="eastAsia" w:cs="宋体"/>
                <w:color w:val="auto"/>
                <w:spacing w:val="7"/>
                <w:sz w:val="21"/>
                <w:szCs w:val="21"/>
                <w:highlight w:val="none"/>
                <w:shd w:val="clear" w:color="auto" w:fill="FFFFFF"/>
                <w:vertAlign w:val="baseline"/>
                <w:lang w:val="en-US" w:eastAsia="zh-CN"/>
              </w:rPr>
              <w:t>40</w:t>
            </w:r>
          </w:p>
        </w:tc>
        <w:tc>
          <w:tcPr>
            <w:tcW w:w="1488" w:type="dxa"/>
            <w:noWrap w:val="0"/>
            <w:vAlign w:val="center"/>
          </w:tcPr>
          <w:p w14:paraId="5FF79AD5">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电子</w:t>
            </w:r>
            <w:r>
              <w:rPr>
                <w:rFonts w:hint="eastAsia" w:ascii="宋体" w:hAnsi="宋体" w:eastAsia="宋体" w:cs="宋体"/>
                <w:color w:val="auto"/>
                <w:sz w:val="21"/>
                <w:szCs w:val="21"/>
                <w:highlight w:val="none"/>
                <w:lang w:val="en-US" w:eastAsia="zh-CN"/>
              </w:rPr>
              <w:t>分析</w:t>
            </w:r>
            <w:r>
              <w:rPr>
                <w:rFonts w:hint="eastAsia" w:ascii="宋体" w:hAnsi="宋体" w:eastAsia="宋体" w:cs="宋体"/>
                <w:color w:val="auto"/>
                <w:sz w:val="21"/>
                <w:szCs w:val="21"/>
                <w:highlight w:val="none"/>
              </w:rPr>
              <w:t>天平</w:t>
            </w:r>
          </w:p>
        </w:tc>
        <w:tc>
          <w:tcPr>
            <w:tcW w:w="1489" w:type="dxa"/>
            <w:noWrap w:val="0"/>
            <w:vAlign w:val="center"/>
          </w:tcPr>
          <w:p w14:paraId="4D632878">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szCs w:val="21"/>
              </w:rPr>
              <w:t>AL204</w:t>
            </w:r>
          </w:p>
        </w:tc>
        <w:tc>
          <w:tcPr>
            <w:tcW w:w="693" w:type="dxa"/>
            <w:noWrap w:val="0"/>
            <w:vAlign w:val="center"/>
          </w:tcPr>
          <w:p w14:paraId="66E2B004">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175" w:type="dxa"/>
            <w:noWrap w:val="0"/>
            <w:vAlign w:val="center"/>
          </w:tcPr>
          <w:p w14:paraId="3B234617">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检定</w:t>
            </w:r>
          </w:p>
        </w:tc>
        <w:tc>
          <w:tcPr>
            <w:tcW w:w="1950" w:type="dxa"/>
            <w:noWrap w:val="0"/>
            <w:vAlign w:val="center"/>
          </w:tcPr>
          <w:p w14:paraId="02CD3053">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JJG 1036-20</w:t>
            </w: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《电子天平检定</w:t>
            </w:r>
            <w:r>
              <w:rPr>
                <w:rFonts w:hint="eastAsia" w:ascii="宋体" w:hAnsi="宋体" w:eastAsia="宋体" w:cs="宋体"/>
                <w:color w:val="auto"/>
                <w:sz w:val="21"/>
                <w:szCs w:val="21"/>
                <w:highlight w:val="none"/>
                <w:lang w:val="en-US" w:eastAsia="zh-CN"/>
              </w:rPr>
              <w:t>程</w:t>
            </w:r>
            <w:r>
              <w:rPr>
                <w:rFonts w:hint="eastAsia" w:ascii="宋体" w:hAnsi="宋体" w:eastAsia="宋体" w:cs="宋体"/>
                <w:color w:val="auto"/>
                <w:sz w:val="21"/>
                <w:szCs w:val="21"/>
                <w:highlight w:val="none"/>
              </w:rPr>
              <w:t>》</w:t>
            </w:r>
          </w:p>
        </w:tc>
        <w:tc>
          <w:tcPr>
            <w:tcW w:w="1350" w:type="dxa"/>
            <w:noWrap w:val="0"/>
            <w:vAlign w:val="center"/>
          </w:tcPr>
          <w:p w14:paraId="0BE40F53">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413</w:t>
            </w:r>
          </w:p>
        </w:tc>
      </w:tr>
      <w:tr w14:paraId="5C264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3" w:type="dxa"/>
            <w:noWrap w:val="0"/>
            <w:vAlign w:val="center"/>
          </w:tcPr>
          <w:p w14:paraId="132500FC">
            <w:pPr>
              <w:pStyle w:val="20"/>
              <w:spacing w:before="265" w:line="183" w:lineRule="auto"/>
              <w:jc w:val="center"/>
              <w:rPr>
                <w:rFonts w:hint="default" w:ascii="宋体" w:hAnsi="宋体" w:eastAsia="宋体" w:cs="宋体"/>
                <w:color w:val="auto"/>
                <w:spacing w:val="7"/>
                <w:sz w:val="21"/>
                <w:szCs w:val="21"/>
                <w:highlight w:val="none"/>
                <w:shd w:val="clear" w:color="auto" w:fill="FFFFFF"/>
                <w:vertAlign w:val="baseline"/>
                <w:lang w:val="en-US" w:eastAsia="zh-CN"/>
              </w:rPr>
            </w:pPr>
            <w:r>
              <w:rPr>
                <w:rFonts w:hint="eastAsia" w:cs="宋体"/>
                <w:color w:val="auto"/>
                <w:spacing w:val="7"/>
                <w:sz w:val="21"/>
                <w:szCs w:val="21"/>
                <w:highlight w:val="none"/>
                <w:shd w:val="clear" w:color="auto" w:fill="FFFFFF"/>
                <w:vertAlign w:val="baseline"/>
                <w:lang w:val="en-US" w:eastAsia="zh-CN"/>
              </w:rPr>
              <w:t>41</w:t>
            </w:r>
          </w:p>
        </w:tc>
        <w:tc>
          <w:tcPr>
            <w:tcW w:w="1488" w:type="dxa"/>
            <w:noWrap w:val="0"/>
            <w:vAlign w:val="center"/>
          </w:tcPr>
          <w:p w14:paraId="0E53CA1B">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电子</w:t>
            </w:r>
            <w:r>
              <w:rPr>
                <w:rFonts w:hint="eastAsia" w:ascii="宋体" w:hAnsi="宋体" w:eastAsia="宋体" w:cs="宋体"/>
                <w:color w:val="auto"/>
                <w:sz w:val="21"/>
                <w:szCs w:val="21"/>
                <w:highlight w:val="none"/>
                <w:lang w:val="en-US" w:eastAsia="zh-CN"/>
              </w:rPr>
              <w:t>分析</w:t>
            </w:r>
            <w:r>
              <w:rPr>
                <w:rFonts w:hint="eastAsia" w:ascii="宋体" w:hAnsi="宋体" w:eastAsia="宋体" w:cs="宋体"/>
                <w:color w:val="auto"/>
                <w:sz w:val="21"/>
                <w:szCs w:val="21"/>
                <w:highlight w:val="none"/>
              </w:rPr>
              <w:t>天平</w:t>
            </w:r>
          </w:p>
        </w:tc>
        <w:tc>
          <w:tcPr>
            <w:tcW w:w="1489" w:type="dxa"/>
            <w:noWrap w:val="0"/>
            <w:vAlign w:val="center"/>
          </w:tcPr>
          <w:p w14:paraId="3907BAAE">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szCs w:val="21"/>
              </w:rPr>
              <w:t>AL204-IC</w:t>
            </w:r>
          </w:p>
        </w:tc>
        <w:tc>
          <w:tcPr>
            <w:tcW w:w="693" w:type="dxa"/>
            <w:noWrap w:val="0"/>
            <w:vAlign w:val="center"/>
          </w:tcPr>
          <w:p w14:paraId="15C2BCEC">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175" w:type="dxa"/>
            <w:noWrap w:val="0"/>
            <w:vAlign w:val="center"/>
          </w:tcPr>
          <w:p w14:paraId="5F9EBB7D">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检定</w:t>
            </w:r>
          </w:p>
        </w:tc>
        <w:tc>
          <w:tcPr>
            <w:tcW w:w="1950" w:type="dxa"/>
            <w:noWrap w:val="0"/>
            <w:vAlign w:val="center"/>
          </w:tcPr>
          <w:p w14:paraId="68303FE9">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JJG 1036-20</w:t>
            </w: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《电子天平检定</w:t>
            </w:r>
            <w:r>
              <w:rPr>
                <w:rFonts w:hint="eastAsia" w:ascii="宋体" w:hAnsi="宋体" w:eastAsia="宋体" w:cs="宋体"/>
                <w:color w:val="auto"/>
                <w:sz w:val="21"/>
                <w:szCs w:val="21"/>
                <w:highlight w:val="none"/>
                <w:lang w:val="en-US" w:eastAsia="zh-CN"/>
              </w:rPr>
              <w:t>程</w:t>
            </w:r>
            <w:r>
              <w:rPr>
                <w:rFonts w:hint="eastAsia" w:ascii="宋体" w:hAnsi="宋体" w:eastAsia="宋体" w:cs="宋体"/>
                <w:color w:val="auto"/>
                <w:sz w:val="21"/>
                <w:szCs w:val="21"/>
                <w:highlight w:val="none"/>
              </w:rPr>
              <w:t>》</w:t>
            </w:r>
          </w:p>
        </w:tc>
        <w:tc>
          <w:tcPr>
            <w:tcW w:w="1350" w:type="dxa"/>
            <w:noWrap w:val="0"/>
            <w:vAlign w:val="center"/>
          </w:tcPr>
          <w:p w14:paraId="10AC9C0D">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413</w:t>
            </w:r>
          </w:p>
        </w:tc>
      </w:tr>
      <w:tr w14:paraId="32807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3" w:type="dxa"/>
            <w:noWrap w:val="0"/>
            <w:vAlign w:val="center"/>
          </w:tcPr>
          <w:p w14:paraId="31057D5D">
            <w:pPr>
              <w:pStyle w:val="20"/>
              <w:spacing w:before="265" w:line="183" w:lineRule="auto"/>
              <w:jc w:val="center"/>
              <w:rPr>
                <w:rFonts w:hint="default" w:ascii="宋体" w:hAnsi="宋体" w:eastAsia="宋体" w:cs="宋体"/>
                <w:color w:val="auto"/>
                <w:spacing w:val="7"/>
                <w:sz w:val="21"/>
                <w:szCs w:val="21"/>
                <w:highlight w:val="none"/>
                <w:shd w:val="clear" w:color="auto" w:fill="FFFFFF"/>
                <w:vertAlign w:val="baseline"/>
                <w:lang w:val="en-US" w:eastAsia="zh-CN"/>
              </w:rPr>
            </w:pPr>
            <w:r>
              <w:rPr>
                <w:rFonts w:hint="eastAsia" w:cs="宋体"/>
                <w:color w:val="auto"/>
                <w:spacing w:val="7"/>
                <w:sz w:val="21"/>
                <w:szCs w:val="21"/>
                <w:highlight w:val="none"/>
                <w:shd w:val="clear" w:color="auto" w:fill="FFFFFF"/>
                <w:vertAlign w:val="baseline"/>
                <w:lang w:val="en-US" w:eastAsia="zh-CN"/>
              </w:rPr>
              <w:t>42</w:t>
            </w:r>
          </w:p>
        </w:tc>
        <w:tc>
          <w:tcPr>
            <w:tcW w:w="1488" w:type="dxa"/>
            <w:noWrap w:val="0"/>
            <w:vAlign w:val="center"/>
          </w:tcPr>
          <w:p w14:paraId="1B4096F4">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电子</w:t>
            </w:r>
            <w:r>
              <w:rPr>
                <w:rFonts w:hint="eastAsia" w:ascii="宋体" w:hAnsi="宋体" w:eastAsia="宋体" w:cs="宋体"/>
                <w:color w:val="auto"/>
                <w:sz w:val="21"/>
                <w:szCs w:val="21"/>
                <w:highlight w:val="none"/>
                <w:lang w:val="en-US" w:eastAsia="zh-CN"/>
              </w:rPr>
              <w:t>分析</w:t>
            </w:r>
            <w:r>
              <w:rPr>
                <w:rFonts w:hint="eastAsia" w:ascii="宋体" w:hAnsi="宋体" w:eastAsia="宋体" w:cs="宋体"/>
                <w:color w:val="auto"/>
                <w:sz w:val="21"/>
                <w:szCs w:val="21"/>
                <w:highlight w:val="none"/>
              </w:rPr>
              <w:t>天平</w:t>
            </w:r>
          </w:p>
        </w:tc>
        <w:tc>
          <w:tcPr>
            <w:tcW w:w="1489" w:type="dxa"/>
            <w:noWrap w:val="0"/>
            <w:vAlign w:val="center"/>
          </w:tcPr>
          <w:p w14:paraId="2E79FA9C">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szCs w:val="21"/>
              </w:rPr>
              <w:t>ATX224R</w:t>
            </w:r>
          </w:p>
        </w:tc>
        <w:tc>
          <w:tcPr>
            <w:tcW w:w="693" w:type="dxa"/>
            <w:noWrap w:val="0"/>
            <w:vAlign w:val="center"/>
          </w:tcPr>
          <w:p w14:paraId="7A24C44D">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175" w:type="dxa"/>
            <w:noWrap w:val="0"/>
            <w:vAlign w:val="center"/>
          </w:tcPr>
          <w:p w14:paraId="12577930">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检定</w:t>
            </w:r>
          </w:p>
        </w:tc>
        <w:tc>
          <w:tcPr>
            <w:tcW w:w="1950" w:type="dxa"/>
            <w:noWrap w:val="0"/>
            <w:vAlign w:val="center"/>
          </w:tcPr>
          <w:p w14:paraId="0867479B">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JJG 1036-20</w:t>
            </w: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《电子天平检定</w:t>
            </w:r>
            <w:r>
              <w:rPr>
                <w:rFonts w:hint="eastAsia" w:ascii="宋体" w:hAnsi="宋体" w:eastAsia="宋体" w:cs="宋体"/>
                <w:color w:val="auto"/>
                <w:sz w:val="21"/>
                <w:szCs w:val="21"/>
                <w:highlight w:val="none"/>
                <w:lang w:val="en-US" w:eastAsia="zh-CN"/>
              </w:rPr>
              <w:t>程</w:t>
            </w:r>
            <w:r>
              <w:rPr>
                <w:rFonts w:hint="eastAsia" w:ascii="宋体" w:hAnsi="宋体" w:eastAsia="宋体" w:cs="宋体"/>
                <w:color w:val="auto"/>
                <w:sz w:val="21"/>
                <w:szCs w:val="21"/>
                <w:highlight w:val="none"/>
              </w:rPr>
              <w:t>》</w:t>
            </w:r>
          </w:p>
        </w:tc>
        <w:tc>
          <w:tcPr>
            <w:tcW w:w="1350" w:type="dxa"/>
            <w:noWrap w:val="0"/>
            <w:vAlign w:val="center"/>
          </w:tcPr>
          <w:p w14:paraId="497BEFE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413</w:t>
            </w:r>
          </w:p>
        </w:tc>
      </w:tr>
      <w:tr w14:paraId="6A02F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3" w:type="dxa"/>
            <w:noWrap w:val="0"/>
            <w:vAlign w:val="center"/>
          </w:tcPr>
          <w:p w14:paraId="163919C2">
            <w:pPr>
              <w:pStyle w:val="20"/>
              <w:spacing w:before="265" w:line="183" w:lineRule="auto"/>
              <w:jc w:val="center"/>
              <w:rPr>
                <w:rFonts w:hint="default" w:ascii="宋体" w:hAnsi="宋体" w:eastAsia="宋体" w:cs="宋体"/>
                <w:color w:val="auto"/>
                <w:spacing w:val="7"/>
                <w:sz w:val="21"/>
                <w:szCs w:val="21"/>
                <w:highlight w:val="none"/>
                <w:shd w:val="clear" w:color="auto" w:fill="FFFFFF"/>
                <w:vertAlign w:val="baseline"/>
                <w:lang w:val="en-US" w:eastAsia="zh-CN"/>
              </w:rPr>
            </w:pPr>
            <w:r>
              <w:rPr>
                <w:rFonts w:hint="eastAsia" w:cs="宋体"/>
                <w:color w:val="auto"/>
                <w:spacing w:val="7"/>
                <w:sz w:val="21"/>
                <w:szCs w:val="21"/>
                <w:highlight w:val="none"/>
                <w:shd w:val="clear" w:color="auto" w:fill="FFFFFF"/>
                <w:vertAlign w:val="baseline"/>
                <w:lang w:val="en-US" w:eastAsia="zh-CN"/>
              </w:rPr>
              <w:t>43</w:t>
            </w:r>
          </w:p>
        </w:tc>
        <w:tc>
          <w:tcPr>
            <w:tcW w:w="1488" w:type="dxa"/>
            <w:noWrap w:val="0"/>
            <w:vAlign w:val="center"/>
          </w:tcPr>
          <w:p w14:paraId="0D1A0609">
            <w:pPr>
              <w:jc w:val="center"/>
              <w:rPr>
                <w:rFonts w:hint="eastAsia" w:ascii="宋体" w:hAnsi="宋体" w:eastAsia="宋体" w:cs="宋体"/>
                <w:color w:val="auto"/>
                <w:spacing w:val="7"/>
                <w:kern w:val="2"/>
                <w:sz w:val="21"/>
                <w:szCs w:val="21"/>
                <w:highlight w:val="none"/>
                <w:shd w:val="clear" w:color="auto" w:fill="FFFFFF"/>
                <w:vertAlign w:val="baseline"/>
                <w:lang w:val="en-US" w:eastAsia="zh-CN" w:bidi="ar-SA"/>
              </w:rPr>
            </w:pPr>
            <w:r>
              <w:rPr>
                <w:rFonts w:hint="eastAsia" w:ascii="宋体" w:hAnsi="宋体" w:eastAsia="宋体" w:cs="宋体"/>
                <w:color w:val="auto"/>
                <w:sz w:val="21"/>
                <w:szCs w:val="21"/>
                <w:highlight w:val="none"/>
                <w:lang w:val="en-US" w:eastAsia="zh-CN"/>
              </w:rPr>
              <w:t>FL点型气体探测器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氢气）</w:t>
            </w:r>
          </w:p>
        </w:tc>
        <w:tc>
          <w:tcPr>
            <w:tcW w:w="1489" w:type="dxa"/>
            <w:noWrap w:val="0"/>
            <w:vAlign w:val="center"/>
          </w:tcPr>
          <w:p w14:paraId="367286BC">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693" w:type="dxa"/>
            <w:noWrap w:val="0"/>
            <w:vAlign w:val="center"/>
          </w:tcPr>
          <w:p w14:paraId="17B721AD">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1175" w:type="dxa"/>
            <w:noWrap w:val="0"/>
            <w:vAlign w:val="center"/>
          </w:tcPr>
          <w:p w14:paraId="15D5E909">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检定</w:t>
            </w:r>
          </w:p>
        </w:tc>
        <w:tc>
          <w:tcPr>
            <w:tcW w:w="1950" w:type="dxa"/>
            <w:noWrap w:val="0"/>
            <w:vAlign w:val="center"/>
          </w:tcPr>
          <w:p w14:paraId="7E91FE86">
            <w:pPr>
              <w:jc w:val="center"/>
              <w:rPr>
                <w:rFonts w:hint="eastAsia" w:ascii="宋体" w:hAnsi="宋体" w:eastAsia="宋体" w:cs="宋体"/>
                <w:color w:val="auto"/>
                <w:spacing w:val="7"/>
                <w:kern w:val="2"/>
                <w:sz w:val="21"/>
                <w:szCs w:val="21"/>
                <w:highlight w:val="none"/>
                <w:shd w:val="clear" w:color="auto" w:fill="FFFFFF"/>
                <w:vertAlign w:val="baseline"/>
                <w:lang w:val="en-US" w:eastAsia="zh-CN" w:bidi="ar-SA"/>
              </w:rPr>
            </w:pPr>
            <w:r>
              <w:rPr>
                <w:rFonts w:hint="eastAsia" w:ascii="宋体" w:hAnsi="宋体" w:eastAsia="宋体" w:cs="宋体"/>
                <w:color w:val="auto"/>
                <w:sz w:val="21"/>
                <w:szCs w:val="21"/>
                <w:highlight w:val="none"/>
              </w:rPr>
              <w:t>JJG</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693-2011《可燃气体检测报警器 检定规程》</w:t>
            </w:r>
          </w:p>
        </w:tc>
        <w:tc>
          <w:tcPr>
            <w:tcW w:w="1350" w:type="dxa"/>
            <w:noWrap w:val="0"/>
            <w:vAlign w:val="center"/>
          </w:tcPr>
          <w:p w14:paraId="006C6862">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550</w:t>
            </w:r>
          </w:p>
        </w:tc>
      </w:tr>
      <w:tr w14:paraId="43BB3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3" w:type="dxa"/>
            <w:noWrap w:val="0"/>
            <w:vAlign w:val="center"/>
          </w:tcPr>
          <w:p w14:paraId="3138F237">
            <w:pPr>
              <w:pStyle w:val="20"/>
              <w:spacing w:before="265" w:line="183" w:lineRule="auto"/>
              <w:jc w:val="center"/>
              <w:rPr>
                <w:rFonts w:hint="default" w:ascii="宋体" w:hAnsi="宋体" w:eastAsia="宋体" w:cs="宋体"/>
                <w:color w:val="auto"/>
                <w:spacing w:val="7"/>
                <w:sz w:val="21"/>
                <w:szCs w:val="21"/>
                <w:highlight w:val="none"/>
                <w:shd w:val="clear" w:color="auto" w:fill="FFFFFF"/>
                <w:vertAlign w:val="baseline"/>
                <w:lang w:val="en-US" w:eastAsia="zh-CN"/>
              </w:rPr>
            </w:pPr>
            <w:r>
              <w:rPr>
                <w:rFonts w:hint="eastAsia" w:cs="宋体"/>
                <w:color w:val="auto"/>
                <w:spacing w:val="7"/>
                <w:sz w:val="21"/>
                <w:szCs w:val="21"/>
                <w:highlight w:val="none"/>
                <w:shd w:val="clear" w:color="auto" w:fill="FFFFFF"/>
                <w:vertAlign w:val="baseline"/>
                <w:lang w:val="en-US" w:eastAsia="zh-CN"/>
              </w:rPr>
              <w:t>44</w:t>
            </w:r>
          </w:p>
        </w:tc>
        <w:tc>
          <w:tcPr>
            <w:tcW w:w="1488" w:type="dxa"/>
            <w:noWrap w:val="0"/>
            <w:vAlign w:val="center"/>
          </w:tcPr>
          <w:p w14:paraId="14057FD4">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FL点型气体探测器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乙炔）</w:t>
            </w:r>
          </w:p>
        </w:tc>
        <w:tc>
          <w:tcPr>
            <w:tcW w:w="1489" w:type="dxa"/>
            <w:noWrap w:val="0"/>
            <w:vAlign w:val="center"/>
          </w:tcPr>
          <w:p w14:paraId="4AB4FC30">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693" w:type="dxa"/>
            <w:noWrap w:val="0"/>
            <w:vAlign w:val="center"/>
          </w:tcPr>
          <w:p w14:paraId="75AE5D89">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1175" w:type="dxa"/>
            <w:noWrap w:val="0"/>
            <w:vAlign w:val="center"/>
          </w:tcPr>
          <w:p w14:paraId="06411ADA">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2"/>
                <w:sz w:val="21"/>
                <w:szCs w:val="21"/>
                <w:highlight w:val="none"/>
                <w:u w:val="none"/>
                <w:lang w:val="en-US" w:eastAsia="zh-CN" w:bidi="ar-SA"/>
              </w:rPr>
              <w:t>检定</w:t>
            </w:r>
          </w:p>
        </w:tc>
        <w:tc>
          <w:tcPr>
            <w:tcW w:w="1950" w:type="dxa"/>
            <w:noWrap w:val="0"/>
            <w:vAlign w:val="center"/>
          </w:tcPr>
          <w:p w14:paraId="67470C06">
            <w:pPr>
              <w:jc w:val="center"/>
              <w:rPr>
                <w:rFonts w:hint="eastAsia" w:ascii="宋体" w:hAnsi="宋体" w:eastAsia="宋体" w:cs="宋体"/>
                <w:color w:val="auto"/>
                <w:spacing w:val="7"/>
                <w:kern w:val="2"/>
                <w:sz w:val="21"/>
                <w:szCs w:val="21"/>
                <w:highlight w:val="none"/>
                <w:shd w:val="clear" w:color="auto" w:fill="FFFFFF"/>
                <w:vertAlign w:val="baseline"/>
                <w:lang w:val="en-US" w:eastAsia="zh-CN" w:bidi="ar-SA"/>
              </w:rPr>
            </w:pPr>
            <w:r>
              <w:rPr>
                <w:rFonts w:hint="eastAsia" w:ascii="宋体" w:hAnsi="宋体" w:eastAsia="宋体" w:cs="宋体"/>
                <w:color w:val="auto"/>
                <w:sz w:val="21"/>
                <w:szCs w:val="21"/>
                <w:highlight w:val="none"/>
              </w:rPr>
              <w:t>JJG</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693-2011《可燃气体检测报警器 检定规程》</w:t>
            </w:r>
          </w:p>
        </w:tc>
        <w:tc>
          <w:tcPr>
            <w:tcW w:w="1350" w:type="dxa"/>
            <w:noWrap w:val="0"/>
            <w:vAlign w:val="center"/>
          </w:tcPr>
          <w:p w14:paraId="0623A4EB">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550</w:t>
            </w:r>
          </w:p>
        </w:tc>
      </w:tr>
    </w:tbl>
    <w:p w14:paraId="370FA1A4">
      <w:pPr>
        <w:tabs>
          <w:tab w:val="left" w:pos="753"/>
        </w:tabs>
        <w:adjustRightInd w:val="0"/>
        <w:snapToGrid w:val="0"/>
        <w:spacing w:line="560" w:lineRule="exact"/>
        <w:ind w:firstLine="480" w:firstLineChars="200"/>
        <w:rPr>
          <w:rFonts w:hint="eastAsia" w:ascii="宋体" w:hAnsi="宋体" w:eastAsia="宋体" w:cs="宋体"/>
          <w:b w:val="0"/>
          <w:bCs w:val="0"/>
          <w:sz w:val="24"/>
          <w:szCs w:val="24"/>
          <w:highlight w:val="none"/>
          <w:lang w:val="zh-CN" w:eastAsia="zh-CN"/>
        </w:rPr>
      </w:pPr>
      <w:r>
        <w:rPr>
          <w:rFonts w:hint="eastAsia" w:ascii="宋体" w:hAnsi="宋体" w:eastAsia="宋体" w:cs="宋体"/>
          <w:b w:val="0"/>
          <w:bCs w:val="0"/>
          <w:sz w:val="24"/>
          <w:szCs w:val="24"/>
          <w:highlight w:val="none"/>
          <w:lang w:val="zh-CN"/>
        </w:rPr>
        <w:t>说明：</w:t>
      </w:r>
      <w:r>
        <w:rPr>
          <w:rFonts w:hint="eastAsia" w:ascii="宋体" w:hAnsi="宋体" w:eastAsia="宋体" w:cs="宋体"/>
          <w:b w:val="0"/>
          <w:bCs w:val="0"/>
          <w:sz w:val="24"/>
          <w:szCs w:val="24"/>
          <w:highlight w:val="none"/>
          <w:lang w:val="zh-CN" w:eastAsia="zh-CN"/>
        </w:rPr>
        <w:t>1.本项目采用综合下浮率报价，下浮率最多保留小数点后一位（示例：10.1%，10.5%），结算单价=单价最高限价×（1-中标下浮率）（结算单价保留两位小数）。</w:t>
      </w:r>
    </w:p>
    <w:p w14:paraId="176804D4">
      <w:pPr>
        <w:tabs>
          <w:tab w:val="left" w:pos="753"/>
        </w:tabs>
        <w:adjustRightInd w:val="0"/>
        <w:snapToGrid w:val="0"/>
        <w:spacing w:line="560" w:lineRule="exact"/>
        <w:ind w:firstLine="480" w:firstLineChars="200"/>
        <w:rPr>
          <w:rFonts w:hint="eastAsia" w:ascii="宋体" w:hAnsi="宋体" w:eastAsia="宋体" w:cs="宋体"/>
          <w:sz w:val="24"/>
          <w:szCs w:val="24"/>
          <w:highlight w:val="none"/>
          <w:lang w:val="zh-CN" w:eastAsia="zh-CN"/>
        </w:rPr>
      </w:pPr>
      <w:r>
        <w:rPr>
          <w:rFonts w:hint="eastAsia" w:ascii="宋体" w:hAnsi="宋体" w:eastAsia="宋体" w:cs="宋体"/>
          <w:b w:val="0"/>
          <w:bCs w:val="0"/>
          <w:sz w:val="24"/>
          <w:szCs w:val="24"/>
          <w:highlight w:val="none"/>
          <w:lang w:val="zh-CN" w:eastAsia="zh-CN"/>
        </w:rPr>
        <w:t>2.</w:t>
      </w:r>
      <w:r>
        <w:rPr>
          <w:rFonts w:hint="eastAsia" w:ascii="宋体" w:hAnsi="宋体" w:eastAsia="宋体" w:cs="宋体"/>
          <w:b w:val="0"/>
          <w:bCs w:val="0"/>
          <w:sz w:val="24"/>
          <w:szCs w:val="24"/>
          <w:highlight w:val="none"/>
          <w:lang w:val="zh-CN"/>
        </w:rPr>
        <w:t>以上</w:t>
      </w:r>
      <w:r>
        <w:rPr>
          <w:rFonts w:hint="eastAsia" w:ascii="宋体" w:hAnsi="宋体" w:eastAsia="宋体" w:cs="宋体"/>
          <w:b w:val="0"/>
          <w:bCs w:val="0"/>
          <w:sz w:val="24"/>
          <w:szCs w:val="24"/>
          <w:highlight w:val="none"/>
          <w:lang w:val="en-US" w:eastAsia="zh-CN"/>
        </w:rPr>
        <w:t>仪器</w:t>
      </w:r>
      <w:r>
        <w:rPr>
          <w:rFonts w:hint="eastAsia" w:ascii="宋体" w:hAnsi="宋体" w:eastAsia="宋体" w:cs="宋体"/>
          <w:b w:val="0"/>
          <w:bCs w:val="0"/>
          <w:sz w:val="24"/>
          <w:szCs w:val="24"/>
          <w:highlight w:val="none"/>
          <w:lang w:val="zh-CN"/>
        </w:rPr>
        <w:t>为采购人现有</w:t>
      </w:r>
      <w:r>
        <w:rPr>
          <w:rFonts w:hint="eastAsia" w:ascii="宋体" w:hAnsi="宋体" w:eastAsia="宋体" w:cs="宋体"/>
          <w:b w:val="0"/>
          <w:bCs w:val="0"/>
          <w:sz w:val="24"/>
          <w:szCs w:val="24"/>
          <w:highlight w:val="none"/>
          <w:lang w:val="en-US" w:eastAsia="zh-CN"/>
        </w:rPr>
        <w:t>仪器</w:t>
      </w:r>
      <w:r>
        <w:rPr>
          <w:rFonts w:hint="eastAsia" w:ascii="宋体" w:hAnsi="宋体" w:eastAsia="宋体" w:cs="宋体"/>
          <w:b w:val="0"/>
          <w:bCs w:val="0"/>
          <w:sz w:val="24"/>
          <w:szCs w:val="24"/>
          <w:highlight w:val="none"/>
          <w:lang w:val="zh-CN"/>
        </w:rPr>
        <w:t>类型，最终检测数量为采购人各批次送检数量为准。结算总价按合同有效期内所有计量器具检测成交单价和实际完成的数量计算，合同清单所列计量器具的检测</w:t>
      </w:r>
      <w:r>
        <w:rPr>
          <w:rFonts w:hint="eastAsia" w:ascii="宋体" w:hAnsi="宋体" w:eastAsia="宋体" w:cs="宋体"/>
          <w:b w:val="0"/>
          <w:bCs w:val="0"/>
          <w:sz w:val="24"/>
          <w:szCs w:val="24"/>
          <w:highlight w:val="none"/>
          <w:lang w:val="zh-CN" w:eastAsia="zh-CN"/>
        </w:rPr>
        <w:t>成交</w:t>
      </w:r>
      <w:r>
        <w:rPr>
          <w:rFonts w:hint="eastAsia" w:ascii="宋体" w:hAnsi="宋体" w:eastAsia="宋体" w:cs="宋体"/>
          <w:b w:val="0"/>
          <w:bCs w:val="0"/>
          <w:sz w:val="24"/>
          <w:szCs w:val="24"/>
          <w:highlight w:val="none"/>
          <w:lang w:val="zh-CN"/>
        </w:rPr>
        <w:t>单价固定不变；</w:t>
      </w:r>
      <w:r>
        <w:rPr>
          <w:rFonts w:hint="eastAsia" w:ascii="宋体" w:hAnsi="宋体" w:eastAsia="宋体" w:cs="宋体"/>
          <w:b w:val="0"/>
          <w:bCs w:val="0"/>
          <w:sz w:val="24"/>
          <w:szCs w:val="24"/>
          <w:highlight w:val="none"/>
          <w:lang w:val="zh-CN" w:eastAsia="zh-CN"/>
        </w:rPr>
        <w:t>如有</w:t>
      </w:r>
      <w:r>
        <w:rPr>
          <w:rFonts w:hint="eastAsia" w:ascii="宋体" w:hAnsi="宋体" w:eastAsia="宋体" w:cs="宋体"/>
          <w:b w:val="0"/>
          <w:bCs w:val="0"/>
          <w:sz w:val="24"/>
          <w:szCs w:val="24"/>
          <w:highlight w:val="none"/>
          <w:lang w:val="zh-CN"/>
        </w:rPr>
        <w:t>合同清单外计量器具的检测单价，参照江苏省计量检定收费标准（2016年版）</w:t>
      </w:r>
      <w:r>
        <w:rPr>
          <w:rFonts w:hint="eastAsia" w:ascii="宋体" w:hAnsi="宋体" w:eastAsia="宋体" w:cs="宋体"/>
          <w:b w:val="0"/>
          <w:bCs w:val="0"/>
          <w:color w:val="000000"/>
          <w:sz w:val="24"/>
          <w:szCs w:val="24"/>
          <w:highlight w:val="none"/>
          <w:lang w:val="zh-CN" w:eastAsia="zh-CN"/>
        </w:rPr>
        <w:t>及本次中标下浮率</w:t>
      </w:r>
      <w:r>
        <w:rPr>
          <w:rFonts w:hint="eastAsia" w:ascii="宋体" w:hAnsi="宋体" w:eastAsia="宋体" w:cs="宋体"/>
          <w:b w:val="0"/>
          <w:bCs w:val="0"/>
          <w:sz w:val="24"/>
          <w:szCs w:val="24"/>
          <w:highlight w:val="none"/>
          <w:lang w:val="zh-CN" w:eastAsia="zh-CN"/>
        </w:rPr>
        <w:t>执</w:t>
      </w:r>
      <w:r>
        <w:rPr>
          <w:rFonts w:hint="eastAsia" w:ascii="宋体" w:hAnsi="宋体" w:eastAsia="宋体" w:cs="宋体"/>
          <w:b w:val="0"/>
          <w:bCs w:val="0"/>
          <w:sz w:val="24"/>
          <w:szCs w:val="24"/>
          <w:highlight w:val="none"/>
          <w:lang w:val="zh-CN"/>
        </w:rPr>
        <w:t>行。</w:t>
      </w:r>
    </w:p>
    <w:p w14:paraId="35A67671">
      <w:pPr>
        <w:spacing w:line="520" w:lineRule="exact"/>
        <w:ind w:firstLine="482" w:firstLineChars="200"/>
        <w:rPr>
          <w:rFonts w:hint="eastAsia" w:ascii="宋体" w:hAnsi="宋体" w:cs="宋体"/>
          <w:b/>
          <w:sz w:val="24"/>
        </w:rPr>
      </w:pPr>
      <w:r>
        <w:rPr>
          <w:rFonts w:hint="eastAsia" w:ascii="宋体" w:hAnsi="宋体" w:cs="宋体"/>
          <w:b/>
          <w:sz w:val="24"/>
        </w:rPr>
        <w:t>（</w:t>
      </w:r>
      <w:r>
        <w:rPr>
          <w:rFonts w:hint="eastAsia" w:ascii="宋体" w:hAnsi="宋体" w:cs="宋体"/>
          <w:b/>
          <w:sz w:val="24"/>
          <w:lang w:val="en-US" w:eastAsia="zh-CN"/>
        </w:rPr>
        <w:t>七</w:t>
      </w:r>
      <w:r>
        <w:rPr>
          <w:rFonts w:hint="eastAsia" w:ascii="宋体" w:hAnsi="宋体" w:cs="宋体"/>
          <w:b/>
          <w:sz w:val="24"/>
        </w:rPr>
        <w:t>）支付条件</w:t>
      </w:r>
    </w:p>
    <w:p w14:paraId="3676525A">
      <w:pPr>
        <w:tabs>
          <w:tab w:val="left" w:pos="753"/>
        </w:tabs>
        <w:adjustRightInd w:val="0"/>
        <w:snapToGrid w:val="0"/>
        <w:spacing w:line="560" w:lineRule="exact"/>
        <w:ind w:firstLine="480" w:firstLineChars="200"/>
        <w:rPr>
          <w:rFonts w:hint="eastAsia" w:ascii="宋体" w:hAnsi="宋体" w:cs="宋体"/>
          <w:kern w:val="0"/>
          <w:sz w:val="24"/>
        </w:rPr>
      </w:pPr>
      <w:r>
        <w:rPr>
          <w:rFonts w:hint="eastAsia" w:ascii="宋体" w:hAnsi="宋体" w:cs="宋体"/>
          <w:sz w:val="24"/>
          <w:lang w:val="zh-CN"/>
        </w:rPr>
        <w:t>供应商</w:t>
      </w:r>
      <w:r>
        <w:rPr>
          <w:rFonts w:hint="eastAsia" w:ascii="宋体" w:cs="宋体"/>
          <w:sz w:val="24"/>
        </w:rPr>
        <w:t>完成</w:t>
      </w:r>
      <w:r>
        <w:rPr>
          <w:rFonts w:hint="eastAsia" w:ascii="宋体" w:hAnsi="宋体" w:cs="宋体"/>
          <w:sz w:val="24"/>
        </w:rPr>
        <w:t>所有</w:t>
      </w:r>
      <w:r>
        <w:rPr>
          <w:rFonts w:hint="eastAsia" w:ascii="宋体" w:cs="宋体"/>
          <w:sz w:val="24"/>
        </w:rPr>
        <w:t>计量器具</w:t>
      </w:r>
      <w:r>
        <w:rPr>
          <w:rFonts w:hint="eastAsia" w:ascii="宋体" w:hAnsi="宋体" w:cs="宋体"/>
          <w:sz w:val="24"/>
        </w:rPr>
        <w:t>的检定/校准服务</w:t>
      </w:r>
      <w:r>
        <w:rPr>
          <w:rFonts w:hint="eastAsia" w:ascii="宋体" w:hAnsi="宋体" w:cs="宋体"/>
          <w:sz w:val="24"/>
          <w:lang w:val="en-US" w:eastAsia="zh-CN"/>
        </w:rPr>
        <w:t>并出具检定报告</w:t>
      </w:r>
      <w:r>
        <w:rPr>
          <w:rFonts w:hint="eastAsia" w:ascii="宋体" w:hAnsi="宋体" w:cs="宋体"/>
          <w:sz w:val="24"/>
        </w:rPr>
        <w:t>，</w:t>
      </w:r>
      <w:r>
        <w:rPr>
          <w:rFonts w:hint="eastAsia" w:ascii="宋体" w:hAnsi="宋体" w:cs="宋体"/>
          <w:sz w:val="24"/>
          <w:lang w:val="en-US" w:eastAsia="zh-CN"/>
        </w:rPr>
        <w:t>经采购人验收合格后，</w:t>
      </w:r>
      <w:r>
        <w:rPr>
          <w:rFonts w:hint="eastAsia" w:ascii="宋体" w:hAnsi="宋体" w:cs="宋体"/>
          <w:sz w:val="24"/>
          <w:lang w:val="zh-CN"/>
        </w:rPr>
        <w:t>采购</w:t>
      </w:r>
      <w:r>
        <w:rPr>
          <w:rFonts w:hint="eastAsia" w:ascii="宋体" w:cs="宋体"/>
          <w:sz w:val="24"/>
        </w:rPr>
        <w:t>方于</w:t>
      </w:r>
      <w:r>
        <w:rPr>
          <w:rFonts w:hint="eastAsia" w:ascii="宋体" w:cs="宋体"/>
          <w:sz w:val="24"/>
          <w:lang w:val="en-US" w:eastAsia="zh-CN"/>
        </w:rPr>
        <w:t>当年</w:t>
      </w:r>
      <w:r>
        <w:rPr>
          <w:rFonts w:hint="eastAsia" w:ascii="宋体" w:cs="宋体"/>
          <w:sz w:val="24"/>
        </w:rPr>
        <w:t>年12月20日前结清本年度合同约定的已完成且经验收合格的全部计量器具检定/校准的费用。</w:t>
      </w:r>
    </w:p>
    <w:p w14:paraId="23C8E783">
      <w:pPr>
        <w:spacing w:line="520" w:lineRule="exact"/>
        <w:ind w:firstLine="482" w:firstLineChars="200"/>
        <w:rPr>
          <w:rFonts w:hint="eastAsia" w:ascii="宋体" w:hAnsi="宋体" w:cs="宋体"/>
          <w:b/>
          <w:sz w:val="24"/>
        </w:rPr>
      </w:pPr>
      <w:r>
        <w:rPr>
          <w:rFonts w:hint="eastAsia" w:ascii="宋体" w:hAnsi="宋体" w:cs="宋体"/>
          <w:b/>
          <w:sz w:val="24"/>
        </w:rPr>
        <w:t>（</w:t>
      </w:r>
      <w:r>
        <w:rPr>
          <w:rFonts w:hint="eastAsia" w:ascii="宋体" w:hAnsi="宋体" w:cs="宋体"/>
          <w:b/>
          <w:sz w:val="24"/>
          <w:lang w:val="en-US" w:eastAsia="zh-CN"/>
        </w:rPr>
        <w:t>八</w:t>
      </w:r>
      <w:r>
        <w:rPr>
          <w:rFonts w:hint="eastAsia" w:ascii="宋体" w:hAnsi="宋体" w:cs="宋体"/>
          <w:b/>
          <w:sz w:val="24"/>
        </w:rPr>
        <w:t>）履约考核要求</w:t>
      </w:r>
    </w:p>
    <w:p w14:paraId="7D8A9D54">
      <w:pPr>
        <w:spacing w:line="520" w:lineRule="exact"/>
        <w:ind w:firstLine="480" w:firstLineChars="200"/>
        <w:rPr>
          <w:rFonts w:hint="eastAsia" w:ascii="宋体" w:hAnsi="宋体" w:cs="宋体"/>
          <w:sz w:val="24"/>
        </w:rPr>
      </w:pPr>
      <w:r>
        <w:rPr>
          <w:rFonts w:hint="eastAsia" w:ascii="宋体" w:hAnsi="宋体" w:cs="宋体"/>
          <w:sz w:val="24"/>
        </w:rPr>
        <w:t>1.供应商接受</w:t>
      </w:r>
      <w:bookmarkStart w:id="11" w:name="_Hlk122471376"/>
      <w:r>
        <w:rPr>
          <w:rFonts w:hint="eastAsia" w:ascii="宋体" w:hAnsi="宋体" w:cs="宋体"/>
          <w:sz w:val="24"/>
        </w:rPr>
        <w:t>南通市市政设施管理处</w:t>
      </w:r>
      <w:bookmarkEnd w:id="11"/>
      <w:r>
        <w:rPr>
          <w:rFonts w:hint="eastAsia" w:ascii="宋体" w:hAnsi="宋体" w:cs="宋体"/>
          <w:sz w:val="24"/>
        </w:rPr>
        <w:t>的日常考核和管理。</w:t>
      </w:r>
    </w:p>
    <w:p w14:paraId="31D563F8">
      <w:pPr>
        <w:spacing w:line="520" w:lineRule="exact"/>
        <w:ind w:firstLine="480" w:firstLineChars="200"/>
        <w:rPr>
          <w:rFonts w:hint="eastAsia" w:ascii="宋体" w:hAnsi="宋体" w:cs="宋体"/>
          <w:sz w:val="24"/>
        </w:rPr>
      </w:pPr>
      <w:r>
        <w:rPr>
          <w:rFonts w:hint="eastAsia" w:ascii="宋体" w:hAnsi="宋体" w:cs="宋体"/>
          <w:sz w:val="24"/>
        </w:rPr>
        <w:t>2.采购人根据考核评分表进行考核。在合同履约期限内，甲方可定期组织开展履约考核工作。具体内容如下：</w:t>
      </w:r>
    </w:p>
    <w:p w14:paraId="700DE50A">
      <w:pPr>
        <w:spacing w:line="520" w:lineRule="exact"/>
        <w:ind w:firstLine="482" w:firstLineChars="200"/>
        <w:jc w:val="center"/>
        <w:rPr>
          <w:rFonts w:hint="eastAsia" w:ascii="宋体" w:hAnsi="宋体" w:cs="宋体"/>
          <w:b/>
          <w:bCs/>
          <w:sz w:val="24"/>
        </w:rPr>
      </w:pPr>
      <w:r>
        <w:rPr>
          <w:rFonts w:hint="eastAsia" w:ascii="宋体" w:hAnsi="宋体" w:cs="宋体"/>
          <w:b/>
          <w:bCs/>
          <w:sz w:val="24"/>
        </w:rPr>
        <w:t>南通市市政设施管理处计量器具检定/校准采购项目履约考核评分表</w:t>
      </w:r>
    </w:p>
    <w:p w14:paraId="516BFED4">
      <w:pPr>
        <w:spacing w:line="520" w:lineRule="exact"/>
        <w:rPr>
          <w:rFonts w:hint="eastAsia" w:ascii="宋体" w:hAnsi="宋体" w:cs="宋体"/>
          <w:sz w:val="24"/>
        </w:rPr>
      </w:pPr>
      <w:r>
        <w:rPr>
          <w:rFonts w:hint="eastAsia" w:ascii="宋体" w:hAnsi="宋体" w:cs="宋体"/>
          <w:sz w:val="24"/>
        </w:rPr>
        <w:t xml:space="preserve">供应商名称：                                        </w:t>
      </w:r>
    </w:p>
    <w:p w14:paraId="5898E229">
      <w:pPr>
        <w:spacing w:line="520" w:lineRule="exact"/>
        <w:rPr>
          <w:rFonts w:hint="eastAsia" w:ascii="宋体" w:hAnsi="宋体" w:cs="宋体"/>
          <w:sz w:val="24"/>
        </w:rPr>
      </w:pPr>
      <w:r>
        <w:rPr>
          <w:rFonts w:hint="eastAsia" w:ascii="宋体" w:hAnsi="宋体" w:cs="宋体"/>
          <w:sz w:val="24"/>
        </w:rPr>
        <w:t>合同编号：                                          考核日期：   年   月    日</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3435"/>
        <w:gridCol w:w="3090"/>
        <w:gridCol w:w="1530"/>
      </w:tblGrid>
      <w:tr w14:paraId="7B2BC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blHeader/>
          <w:jc w:val="center"/>
        </w:trPr>
        <w:tc>
          <w:tcPr>
            <w:tcW w:w="792" w:type="dxa"/>
            <w:noWrap w:val="0"/>
            <w:vAlign w:val="center"/>
          </w:tcPr>
          <w:p w14:paraId="1D2987CA">
            <w:pPr>
              <w:spacing w:line="360" w:lineRule="auto"/>
              <w:jc w:val="center"/>
              <w:rPr>
                <w:rFonts w:ascii="宋体" w:hAnsi="宋体"/>
                <w:b/>
                <w:bCs/>
                <w:szCs w:val="21"/>
              </w:rPr>
            </w:pPr>
            <w:r>
              <w:rPr>
                <w:rFonts w:hint="eastAsia" w:ascii="宋体" w:hAnsi="宋体"/>
                <w:b/>
                <w:bCs/>
                <w:szCs w:val="21"/>
              </w:rPr>
              <w:t>序号</w:t>
            </w:r>
          </w:p>
        </w:tc>
        <w:tc>
          <w:tcPr>
            <w:tcW w:w="3435" w:type="dxa"/>
            <w:noWrap w:val="0"/>
            <w:vAlign w:val="center"/>
          </w:tcPr>
          <w:p w14:paraId="23460D34">
            <w:pPr>
              <w:spacing w:line="360" w:lineRule="auto"/>
              <w:jc w:val="center"/>
              <w:rPr>
                <w:rFonts w:ascii="宋体" w:hAnsi="宋体"/>
                <w:b/>
                <w:bCs/>
                <w:szCs w:val="21"/>
              </w:rPr>
            </w:pPr>
            <w:r>
              <w:rPr>
                <w:rFonts w:hint="eastAsia" w:ascii="宋体" w:hAnsi="宋体"/>
                <w:b/>
                <w:bCs/>
                <w:szCs w:val="21"/>
              </w:rPr>
              <w:t>考核内容</w:t>
            </w:r>
          </w:p>
        </w:tc>
        <w:tc>
          <w:tcPr>
            <w:tcW w:w="3090" w:type="dxa"/>
            <w:noWrap w:val="0"/>
            <w:vAlign w:val="center"/>
          </w:tcPr>
          <w:p w14:paraId="53B9605D">
            <w:pPr>
              <w:spacing w:line="360" w:lineRule="auto"/>
              <w:jc w:val="center"/>
              <w:rPr>
                <w:rFonts w:ascii="宋体" w:hAnsi="宋体"/>
                <w:b/>
                <w:bCs/>
                <w:szCs w:val="21"/>
              </w:rPr>
            </w:pPr>
            <w:r>
              <w:rPr>
                <w:rFonts w:hint="eastAsia" w:ascii="宋体" w:hAnsi="宋体"/>
                <w:b/>
                <w:bCs/>
                <w:szCs w:val="21"/>
              </w:rPr>
              <w:t>评分标准</w:t>
            </w:r>
          </w:p>
        </w:tc>
        <w:tc>
          <w:tcPr>
            <w:tcW w:w="1530" w:type="dxa"/>
            <w:noWrap w:val="0"/>
            <w:vAlign w:val="center"/>
          </w:tcPr>
          <w:p w14:paraId="5C26622A">
            <w:pPr>
              <w:spacing w:line="360" w:lineRule="auto"/>
              <w:jc w:val="center"/>
              <w:rPr>
                <w:rFonts w:ascii="宋体" w:hAnsi="宋体"/>
                <w:b/>
                <w:bCs/>
                <w:szCs w:val="21"/>
              </w:rPr>
            </w:pPr>
            <w:r>
              <w:rPr>
                <w:rFonts w:hint="eastAsia" w:ascii="宋体" w:hAnsi="宋体"/>
                <w:b/>
                <w:bCs/>
                <w:szCs w:val="21"/>
              </w:rPr>
              <w:t>考核扣分</w:t>
            </w:r>
          </w:p>
        </w:tc>
      </w:tr>
      <w:tr w14:paraId="1567F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noWrap w:val="0"/>
            <w:vAlign w:val="center"/>
          </w:tcPr>
          <w:p w14:paraId="546A6B48">
            <w:pPr>
              <w:spacing w:line="360" w:lineRule="auto"/>
              <w:jc w:val="center"/>
              <w:rPr>
                <w:rFonts w:ascii="宋体" w:hAnsi="宋体"/>
                <w:szCs w:val="21"/>
              </w:rPr>
            </w:pPr>
            <w:r>
              <w:rPr>
                <w:rFonts w:hint="eastAsia" w:ascii="宋体" w:hAnsi="宋体"/>
                <w:szCs w:val="21"/>
              </w:rPr>
              <w:t>1</w:t>
            </w:r>
          </w:p>
        </w:tc>
        <w:tc>
          <w:tcPr>
            <w:tcW w:w="3435" w:type="dxa"/>
            <w:noWrap w:val="0"/>
            <w:vAlign w:val="center"/>
          </w:tcPr>
          <w:p w14:paraId="7AB01DE1">
            <w:pPr>
              <w:spacing w:line="360" w:lineRule="auto"/>
              <w:rPr>
                <w:rFonts w:ascii="宋体" w:hAnsi="宋体"/>
                <w:kern w:val="0"/>
                <w:szCs w:val="21"/>
              </w:rPr>
            </w:pPr>
            <w:r>
              <w:rPr>
                <w:rFonts w:hint="eastAsia" w:ascii="宋体" w:hAnsi="宋体"/>
                <w:kern w:val="0"/>
                <w:szCs w:val="21"/>
              </w:rPr>
              <w:t>2 个工作日内安排上门取货，送检后的仪器设备如无特殊原因，计量完毕2个工作日内送回。</w:t>
            </w:r>
          </w:p>
        </w:tc>
        <w:tc>
          <w:tcPr>
            <w:tcW w:w="3090" w:type="dxa"/>
            <w:noWrap w:val="0"/>
            <w:vAlign w:val="center"/>
          </w:tcPr>
          <w:p w14:paraId="60DBE179">
            <w:pPr>
              <w:spacing w:line="360" w:lineRule="auto"/>
              <w:rPr>
                <w:rFonts w:ascii="宋体" w:hAnsi="宋体"/>
                <w:szCs w:val="21"/>
              </w:rPr>
            </w:pPr>
            <w:r>
              <w:rPr>
                <w:rFonts w:hint="eastAsia" w:ascii="宋体" w:hAnsi="宋体"/>
                <w:szCs w:val="21"/>
              </w:rPr>
              <w:t>无特殊原因出现1次超时扣3分。</w:t>
            </w:r>
          </w:p>
        </w:tc>
        <w:tc>
          <w:tcPr>
            <w:tcW w:w="1530" w:type="dxa"/>
            <w:noWrap w:val="0"/>
            <w:vAlign w:val="top"/>
          </w:tcPr>
          <w:p w14:paraId="79222F49">
            <w:pPr>
              <w:spacing w:line="360" w:lineRule="auto"/>
              <w:rPr>
                <w:rFonts w:ascii="宋体" w:hAnsi="宋体"/>
                <w:szCs w:val="21"/>
              </w:rPr>
            </w:pPr>
          </w:p>
        </w:tc>
      </w:tr>
      <w:tr w14:paraId="696EB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noWrap w:val="0"/>
            <w:vAlign w:val="center"/>
          </w:tcPr>
          <w:p w14:paraId="3E545180">
            <w:pPr>
              <w:spacing w:line="360" w:lineRule="auto"/>
              <w:jc w:val="center"/>
              <w:rPr>
                <w:rFonts w:ascii="宋体" w:hAnsi="宋体"/>
                <w:szCs w:val="21"/>
              </w:rPr>
            </w:pPr>
            <w:r>
              <w:rPr>
                <w:rFonts w:hint="eastAsia" w:ascii="宋体" w:hAnsi="宋体"/>
                <w:szCs w:val="21"/>
              </w:rPr>
              <w:t>2</w:t>
            </w:r>
          </w:p>
        </w:tc>
        <w:tc>
          <w:tcPr>
            <w:tcW w:w="3435" w:type="dxa"/>
            <w:noWrap w:val="0"/>
            <w:vAlign w:val="center"/>
          </w:tcPr>
          <w:p w14:paraId="048820D9">
            <w:pPr>
              <w:spacing w:line="360" w:lineRule="auto"/>
              <w:rPr>
                <w:rFonts w:ascii="宋体" w:hAnsi="宋体"/>
                <w:kern w:val="0"/>
                <w:szCs w:val="21"/>
              </w:rPr>
            </w:pPr>
            <w:r>
              <w:rPr>
                <w:rFonts w:hint="eastAsia" w:ascii="宋体" w:hAnsi="宋体"/>
                <w:kern w:val="0"/>
                <w:szCs w:val="21"/>
              </w:rPr>
              <w:t>接收到仪器委托送检，正常7个工作日完成检测，温度类10个工作日，压力表15个工作日。</w:t>
            </w:r>
          </w:p>
        </w:tc>
        <w:tc>
          <w:tcPr>
            <w:tcW w:w="3090" w:type="dxa"/>
            <w:noWrap w:val="0"/>
            <w:vAlign w:val="center"/>
          </w:tcPr>
          <w:p w14:paraId="4A071521">
            <w:pPr>
              <w:spacing w:line="360" w:lineRule="auto"/>
              <w:rPr>
                <w:rFonts w:ascii="宋体" w:hAnsi="宋体"/>
                <w:szCs w:val="21"/>
              </w:rPr>
            </w:pPr>
            <w:r>
              <w:rPr>
                <w:rFonts w:hint="eastAsia" w:ascii="宋体" w:hAnsi="宋体"/>
                <w:szCs w:val="21"/>
              </w:rPr>
              <w:t>出现1次超时扣3分。</w:t>
            </w:r>
          </w:p>
        </w:tc>
        <w:tc>
          <w:tcPr>
            <w:tcW w:w="1530" w:type="dxa"/>
            <w:noWrap w:val="0"/>
            <w:vAlign w:val="top"/>
          </w:tcPr>
          <w:p w14:paraId="2BF3B789">
            <w:pPr>
              <w:spacing w:line="360" w:lineRule="auto"/>
              <w:rPr>
                <w:rFonts w:ascii="宋体" w:hAnsi="宋体"/>
                <w:szCs w:val="21"/>
              </w:rPr>
            </w:pPr>
          </w:p>
        </w:tc>
      </w:tr>
      <w:tr w14:paraId="6F226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noWrap w:val="0"/>
            <w:vAlign w:val="center"/>
          </w:tcPr>
          <w:p w14:paraId="3256AD45">
            <w:pPr>
              <w:spacing w:line="360" w:lineRule="auto"/>
              <w:jc w:val="center"/>
              <w:rPr>
                <w:rFonts w:ascii="宋体" w:hAnsi="宋体"/>
                <w:szCs w:val="21"/>
              </w:rPr>
            </w:pPr>
            <w:r>
              <w:rPr>
                <w:rFonts w:hint="eastAsia" w:ascii="宋体" w:hAnsi="宋体"/>
                <w:szCs w:val="21"/>
              </w:rPr>
              <w:t>3</w:t>
            </w:r>
          </w:p>
        </w:tc>
        <w:tc>
          <w:tcPr>
            <w:tcW w:w="3435" w:type="dxa"/>
            <w:noWrap w:val="0"/>
            <w:vAlign w:val="center"/>
          </w:tcPr>
          <w:p w14:paraId="7206802D">
            <w:pPr>
              <w:spacing w:line="360" w:lineRule="auto"/>
              <w:rPr>
                <w:rFonts w:ascii="宋体" w:hAnsi="宋体"/>
                <w:kern w:val="0"/>
                <w:szCs w:val="21"/>
              </w:rPr>
            </w:pPr>
            <w:r>
              <w:rPr>
                <w:rFonts w:hint="eastAsia" w:ascii="宋体" w:hAnsi="宋体"/>
                <w:kern w:val="0"/>
                <w:szCs w:val="21"/>
              </w:rPr>
              <w:t>根</w:t>
            </w:r>
            <w:r>
              <w:rPr>
                <w:rFonts w:hint="eastAsia" w:ascii="宋体" w:hAnsi="宋体"/>
                <w:kern w:val="0"/>
                <w:szCs w:val="21"/>
                <w:highlight w:val="none"/>
              </w:rPr>
              <w:t>据</w:t>
            </w:r>
            <w:r>
              <w:rPr>
                <w:rFonts w:hint="eastAsia" w:ascii="宋体" w:hAnsi="宋体"/>
                <w:kern w:val="0"/>
                <w:szCs w:val="21"/>
                <w:highlight w:val="none"/>
                <w:lang w:eastAsia="zh-CN"/>
              </w:rPr>
              <w:t>采购人</w:t>
            </w:r>
            <w:r>
              <w:rPr>
                <w:rFonts w:hint="eastAsia" w:ascii="宋体" w:hAnsi="宋体"/>
                <w:kern w:val="0"/>
                <w:szCs w:val="21"/>
                <w:highlight w:val="none"/>
              </w:rPr>
              <w:t>的</w:t>
            </w:r>
            <w:r>
              <w:rPr>
                <w:rFonts w:hint="eastAsia" w:ascii="宋体" w:hAnsi="宋体"/>
                <w:kern w:val="0"/>
                <w:szCs w:val="21"/>
              </w:rPr>
              <w:t>校准周期，当</w:t>
            </w:r>
            <w:r>
              <w:rPr>
                <w:rFonts w:hint="eastAsia" w:ascii="宋体" w:hAnsi="宋体"/>
                <w:kern w:val="0"/>
                <w:szCs w:val="21"/>
                <w:lang w:eastAsia="zh-CN"/>
              </w:rPr>
              <w:t>采购人</w:t>
            </w:r>
            <w:r>
              <w:rPr>
                <w:rFonts w:hint="eastAsia" w:ascii="宋体" w:hAnsi="宋体"/>
                <w:kern w:val="0"/>
                <w:szCs w:val="21"/>
              </w:rPr>
              <w:t>向本所提交校准需求后，应在1周内安排现场检定/校准服务。如遇到特殊紧急校准计划，应尽力配合</w:t>
            </w:r>
            <w:r>
              <w:rPr>
                <w:rFonts w:hint="eastAsia" w:ascii="宋体" w:hAnsi="宋体"/>
                <w:kern w:val="0"/>
                <w:szCs w:val="21"/>
                <w:lang w:eastAsia="zh-CN"/>
              </w:rPr>
              <w:t>采购人</w:t>
            </w:r>
            <w:r>
              <w:rPr>
                <w:rFonts w:hint="eastAsia" w:ascii="宋体" w:hAnsi="宋体"/>
                <w:kern w:val="0"/>
                <w:szCs w:val="21"/>
              </w:rPr>
              <w:t>的校准需求，并于当天或者3日内尽快安排现场检定/校准。</w:t>
            </w:r>
          </w:p>
        </w:tc>
        <w:tc>
          <w:tcPr>
            <w:tcW w:w="3090" w:type="dxa"/>
            <w:noWrap w:val="0"/>
            <w:vAlign w:val="center"/>
          </w:tcPr>
          <w:p w14:paraId="4B7DB646">
            <w:pPr>
              <w:spacing w:line="360" w:lineRule="auto"/>
              <w:rPr>
                <w:rFonts w:ascii="宋体" w:hAnsi="宋体"/>
                <w:szCs w:val="21"/>
              </w:rPr>
            </w:pPr>
            <w:r>
              <w:rPr>
                <w:rFonts w:hint="eastAsia" w:ascii="宋体" w:hAnsi="宋体"/>
                <w:szCs w:val="21"/>
              </w:rPr>
              <w:t>出现1次超时扣3分。</w:t>
            </w:r>
          </w:p>
        </w:tc>
        <w:tc>
          <w:tcPr>
            <w:tcW w:w="1530" w:type="dxa"/>
            <w:noWrap w:val="0"/>
            <w:vAlign w:val="top"/>
          </w:tcPr>
          <w:p w14:paraId="7370814A">
            <w:pPr>
              <w:spacing w:line="360" w:lineRule="auto"/>
              <w:rPr>
                <w:rFonts w:ascii="宋体" w:hAnsi="宋体"/>
                <w:szCs w:val="21"/>
              </w:rPr>
            </w:pPr>
          </w:p>
        </w:tc>
      </w:tr>
      <w:tr w14:paraId="625B0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noWrap w:val="0"/>
            <w:vAlign w:val="center"/>
          </w:tcPr>
          <w:p w14:paraId="29FC24F1">
            <w:pPr>
              <w:spacing w:line="360" w:lineRule="auto"/>
              <w:jc w:val="center"/>
              <w:rPr>
                <w:rFonts w:ascii="宋体" w:hAnsi="宋体"/>
                <w:szCs w:val="21"/>
              </w:rPr>
            </w:pPr>
            <w:r>
              <w:rPr>
                <w:rFonts w:hint="eastAsia" w:ascii="宋体" w:hAnsi="宋体"/>
                <w:szCs w:val="21"/>
              </w:rPr>
              <w:t>4</w:t>
            </w:r>
          </w:p>
        </w:tc>
        <w:tc>
          <w:tcPr>
            <w:tcW w:w="3435" w:type="dxa"/>
            <w:noWrap w:val="0"/>
            <w:vAlign w:val="center"/>
          </w:tcPr>
          <w:p w14:paraId="4687D314">
            <w:pPr>
              <w:spacing w:line="360" w:lineRule="auto"/>
              <w:rPr>
                <w:rFonts w:ascii="宋体" w:hAnsi="宋体"/>
                <w:kern w:val="0"/>
                <w:szCs w:val="21"/>
              </w:rPr>
            </w:pPr>
            <w:r>
              <w:rPr>
                <w:rFonts w:hint="eastAsia" w:ascii="宋体" w:hAnsi="宋体"/>
                <w:kern w:val="0"/>
                <w:szCs w:val="21"/>
              </w:rPr>
              <w:t>对</w:t>
            </w:r>
            <w:r>
              <w:rPr>
                <w:rFonts w:hint="eastAsia" w:ascii="宋体" w:hAnsi="宋体"/>
                <w:kern w:val="0"/>
                <w:szCs w:val="21"/>
                <w:lang w:eastAsia="zh-CN"/>
              </w:rPr>
              <w:t>采购人</w:t>
            </w:r>
            <w:r>
              <w:rPr>
                <w:rFonts w:hint="eastAsia" w:ascii="宋体" w:hAnsi="宋体"/>
                <w:kern w:val="0"/>
                <w:szCs w:val="21"/>
              </w:rPr>
              <w:t>的证书修改申请，应于申请当天给予答复，并于2日内完成证书的修改工作。</w:t>
            </w:r>
          </w:p>
        </w:tc>
        <w:tc>
          <w:tcPr>
            <w:tcW w:w="3090" w:type="dxa"/>
            <w:noWrap w:val="0"/>
            <w:vAlign w:val="center"/>
          </w:tcPr>
          <w:p w14:paraId="3B888866">
            <w:pPr>
              <w:spacing w:line="360" w:lineRule="auto"/>
              <w:rPr>
                <w:rFonts w:ascii="宋体" w:hAnsi="宋体"/>
                <w:szCs w:val="21"/>
              </w:rPr>
            </w:pPr>
            <w:r>
              <w:rPr>
                <w:rFonts w:hint="eastAsia" w:ascii="宋体" w:hAnsi="宋体"/>
                <w:szCs w:val="21"/>
              </w:rPr>
              <w:t>出现1次超时扣3分。</w:t>
            </w:r>
          </w:p>
        </w:tc>
        <w:tc>
          <w:tcPr>
            <w:tcW w:w="1530" w:type="dxa"/>
            <w:noWrap w:val="0"/>
            <w:vAlign w:val="top"/>
          </w:tcPr>
          <w:p w14:paraId="3B31C5CB">
            <w:pPr>
              <w:spacing w:line="360" w:lineRule="auto"/>
              <w:rPr>
                <w:rFonts w:ascii="宋体" w:hAnsi="宋体"/>
                <w:szCs w:val="21"/>
              </w:rPr>
            </w:pPr>
          </w:p>
        </w:tc>
      </w:tr>
      <w:tr w14:paraId="16387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noWrap w:val="0"/>
            <w:vAlign w:val="center"/>
          </w:tcPr>
          <w:p w14:paraId="73B3327B">
            <w:pPr>
              <w:spacing w:line="360" w:lineRule="auto"/>
              <w:jc w:val="center"/>
              <w:rPr>
                <w:rFonts w:ascii="宋体" w:hAnsi="宋体"/>
                <w:szCs w:val="21"/>
              </w:rPr>
            </w:pPr>
            <w:r>
              <w:rPr>
                <w:rFonts w:hint="eastAsia" w:ascii="宋体" w:hAnsi="宋体"/>
                <w:szCs w:val="21"/>
              </w:rPr>
              <w:t>5</w:t>
            </w:r>
          </w:p>
        </w:tc>
        <w:tc>
          <w:tcPr>
            <w:tcW w:w="3435" w:type="dxa"/>
            <w:noWrap w:val="0"/>
            <w:vAlign w:val="center"/>
          </w:tcPr>
          <w:p w14:paraId="25E42EEA">
            <w:pPr>
              <w:spacing w:line="360" w:lineRule="auto"/>
              <w:rPr>
                <w:rFonts w:ascii="宋体" w:hAnsi="宋体"/>
                <w:kern w:val="0"/>
                <w:szCs w:val="21"/>
              </w:rPr>
            </w:pPr>
            <w:r>
              <w:rPr>
                <w:rFonts w:hint="eastAsia" w:ascii="宋体" w:hAnsi="宋体"/>
                <w:kern w:val="0"/>
                <w:szCs w:val="21"/>
              </w:rPr>
              <w:t>依据现行有效的国家检定规程（JJG）、国家校准规范（JJF）、行业标准以及特定要求对仪器设备进行计量并出具检定/校准证书。</w:t>
            </w:r>
          </w:p>
        </w:tc>
        <w:tc>
          <w:tcPr>
            <w:tcW w:w="3090" w:type="dxa"/>
            <w:noWrap w:val="0"/>
            <w:vAlign w:val="center"/>
          </w:tcPr>
          <w:p w14:paraId="255F2067">
            <w:pPr>
              <w:spacing w:line="360" w:lineRule="auto"/>
              <w:rPr>
                <w:rFonts w:ascii="宋体" w:hAnsi="宋体"/>
                <w:szCs w:val="21"/>
              </w:rPr>
            </w:pPr>
            <w:r>
              <w:rPr>
                <w:rFonts w:hint="eastAsia" w:ascii="宋体" w:hAnsi="宋体"/>
                <w:szCs w:val="21"/>
              </w:rPr>
              <w:t>出现1次未按要求</w:t>
            </w:r>
            <w:r>
              <w:rPr>
                <w:rFonts w:hint="eastAsia" w:ascii="宋体" w:hAnsi="宋体"/>
                <w:kern w:val="0"/>
                <w:szCs w:val="21"/>
              </w:rPr>
              <w:t>对仪器设备进行计量出具证书</w:t>
            </w:r>
            <w:r>
              <w:rPr>
                <w:rFonts w:hint="eastAsia" w:ascii="宋体" w:hAnsi="宋体"/>
                <w:szCs w:val="21"/>
              </w:rPr>
              <w:t>扣10分。</w:t>
            </w:r>
          </w:p>
        </w:tc>
        <w:tc>
          <w:tcPr>
            <w:tcW w:w="1530" w:type="dxa"/>
            <w:noWrap w:val="0"/>
            <w:vAlign w:val="top"/>
          </w:tcPr>
          <w:p w14:paraId="58932015">
            <w:pPr>
              <w:spacing w:line="360" w:lineRule="auto"/>
              <w:rPr>
                <w:rFonts w:ascii="宋体" w:hAnsi="宋体"/>
                <w:szCs w:val="21"/>
              </w:rPr>
            </w:pPr>
          </w:p>
        </w:tc>
      </w:tr>
      <w:tr w14:paraId="25177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noWrap w:val="0"/>
            <w:vAlign w:val="center"/>
          </w:tcPr>
          <w:p w14:paraId="0F36311F">
            <w:pPr>
              <w:spacing w:line="360" w:lineRule="auto"/>
              <w:jc w:val="center"/>
              <w:rPr>
                <w:rFonts w:ascii="宋体" w:hAnsi="宋体"/>
                <w:szCs w:val="21"/>
              </w:rPr>
            </w:pPr>
            <w:r>
              <w:rPr>
                <w:rFonts w:hint="eastAsia" w:ascii="宋体" w:hAnsi="宋体"/>
                <w:szCs w:val="21"/>
              </w:rPr>
              <w:t>6</w:t>
            </w:r>
          </w:p>
        </w:tc>
        <w:tc>
          <w:tcPr>
            <w:tcW w:w="3435" w:type="dxa"/>
            <w:noWrap w:val="0"/>
            <w:vAlign w:val="center"/>
          </w:tcPr>
          <w:p w14:paraId="4FE55139">
            <w:pPr>
              <w:spacing w:line="360" w:lineRule="auto"/>
              <w:rPr>
                <w:rFonts w:ascii="宋体" w:hAnsi="宋体"/>
                <w:kern w:val="0"/>
                <w:szCs w:val="21"/>
              </w:rPr>
            </w:pPr>
            <w:r>
              <w:rPr>
                <w:rFonts w:hint="eastAsia" w:ascii="宋体" w:hAnsi="宋体"/>
                <w:kern w:val="0"/>
                <w:szCs w:val="21"/>
              </w:rPr>
              <w:t>由于乙方原因造成甲方计量器具损坏的，由乙方赔偿损失。</w:t>
            </w:r>
          </w:p>
        </w:tc>
        <w:tc>
          <w:tcPr>
            <w:tcW w:w="3090" w:type="dxa"/>
            <w:noWrap w:val="0"/>
            <w:vAlign w:val="center"/>
          </w:tcPr>
          <w:p w14:paraId="035A8769">
            <w:pPr>
              <w:spacing w:line="360" w:lineRule="auto"/>
              <w:rPr>
                <w:rFonts w:ascii="宋体" w:hAnsi="宋体"/>
                <w:szCs w:val="21"/>
              </w:rPr>
            </w:pPr>
            <w:r>
              <w:rPr>
                <w:rFonts w:hint="eastAsia" w:ascii="宋体" w:hAnsi="宋体"/>
                <w:szCs w:val="21"/>
              </w:rPr>
              <w:t>出现1次损坏扣5分。</w:t>
            </w:r>
          </w:p>
        </w:tc>
        <w:tc>
          <w:tcPr>
            <w:tcW w:w="1530" w:type="dxa"/>
            <w:noWrap w:val="0"/>
            <w:vAlign w:val="top"/>
          </w:tcPr>
          <w:p w14:paraId="5257AC56">
            <w:pPr>
              <w:spacing w:line="360" w:lineRule="auto"/>
              <w:rPr>
                <w:rFonts w:ascii="宋体" w:hAnsi="宋体"/>
                <w:szCs w:val="21"/>
              </w:rPr>
            </w:pPr>
          </w:p>
        </w:tc>
      </w:tr>
      <w:tr w14:paraId="2A11B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847" w:type="dxa"/>
            <w:gridSpan w:val="4"/>
            <w:noWrap w:val="0"/>
            <w:vAlign w:val="center"/>
          </w:tcPr>
          <w:p w14:paraId="1BCD461B">
            <w:pPr>
              <w:spacing w:line="360" w:lineRule="auto"/>
              <w:rPr>
                <w:rFonts w:ascii="宋体" w:hAnsi="宋体"/>
                <w:szCs w:val="21"/>
              </w:rPr>
            </w:pPr>
            <w:r>
              <w:rPr>
                <w:rFonts w:hint="eastAsia" w:ascii="宋体" w:hAnsi="宋体"/>
                <w:b/>
                <w:bCs/>
                <w:szCs w:val="21"/>
              </w:rPr>
              <w:t>考核得分：</w:t>
            </w:r>
          </w:p>
        </w:tc>
      </w:tr>
    </w:tbl>
    <w:p w14:paraId="47A106AC">
      <w:pPr>
        <w:widowControl/>
        <w:spacing w:before="100" w:after="100" w:line="360" w:lineRule="auto"/>
        <w:ind w:firstLine="482" w:firstLineChars="200"/>
        <w:jc w:val="left"/>
        <w:rPr>
          <w:rFonts w:ascii="宋体" w:hAnsi="宋体" w:cs="宋体"/>
          <w:b/>
          <w:bCs/>
          <w:kern w:val="0"/>
          <w:sz w:val="24"/>
        </w:rPr>
      </w:pPr>
      <w:r>
        <w:rPr>
          <w:rFonts w:hint="eastAsia" w:ascii="宋体" w:hAnsi="宋体" w:cs="宋体"/>
          <w:b/>
          <w:bCs/>
          <w:kern w:val="0"/>
          <w:sz w:val="24"/>
        </w:rPr>
        <w:t>说明：考核得分=100分－扣分项。</w:t>
      </w:r>
    </w:p>
    <w:p w14:paraId="610A050A">
      <w:pPr>
        <w:widowControl/>
        <w:spacing w:before="100" w:after="100" w:line="360" w:lineRule="auto"/>
        <w:ind w:firstLine="480" w:firstLineChars="200"/>
        <w:jc w:val="left"/>
        <w:rPr>
          <w:rFonts w:ascii="宋体" w:hAnsi="宋体" w:cs="宋体"/>
          <w:bCs/>
          <w:kern w:val="0"/>
          <w:sz w:val="24"/>
        </w:rPr>
      </w:pPr>
      <w:r>
        <w:rPr>
          <w:rFonts w:hint="eastAsia" w:ascii="宋体" w:hAnsi="宋体" w:cs="宋体"/>
          <w:bCs/>
          <w:kern w:val="0"/>
          <w:sz w:val="24"/>
        </w:rPr>
        <w:t>3.考核结果应用</w:t>
      </w:r>
    </w:p>
    <w:p w14:paraId="60C57D5A">
      <w:pPr>
        <w:widowControl/>
        <w:spacing w:before="100" w:after="100" w:line="360" w:lineRule="auto"/>
        <w:ind w:firstLine="480" w:firstLineChars="200"/>
        <w:jc w:val="left"/>
        <w:rPr>
          <w:rFonts w:ascii="宋体" w:hAnsi="宋体" w:cs="宋体"/>
          <w:bCs/>
          <w:kern w:val="0"/>
          <w:sz w:val="24"/>
        </w:rPr>
      </w:pPr>
      <w:r>
        <w:rPr>
          <w:rFonts w:hint="eastAsia" w:ascii="宋体" w:hAnsi="宋体" w:cs="宋体"/>
          <w:bCs/>
          <w:kern w:val="0"/>
          <w:sz w:val="24"/>
        </w:rPr>
        <w:t>（1）单次考核总分值100分：</w:t>
      </w:r>
    </w:p>
    <w:p w14:paraId="58C9B58D">
      <w:pPr>
        <w:widowControl/>
        <w:spacing w:before="100" w:after="100" w:line="360" w:lineRule="auto"/>
        <w:ind w:firstLine="480" w:firstLineChars="200"/>
        <w:jc w:val="left"/>
        <w:rPr>
          <w:rFonts w:ascii="宋体" w:hAnsi="宋体" w:cs="宋体"/>
          <w:bCs/>
          <w:kern w:val="0"/>
          <w:sz w:val="24"/>
        </w:rPr>
      </w:pPr>
      <w:r>
        <w:rPr>
          <w:rFonts w:hint="eastAsia" w:ascii="宋体" w:hAnsi="宋体" w:cs="宋体"/>
          <w:bCs/>
          <w:kern w:val="0"/>
          <w:sz w:val="24"/>
        </w:rPr>
        <w:t>①得分80分（含）以上的不扣</w:t>
      </w:r>
      <w:r>
        <w:rPr>
          <w:rFonts w:hint="eastAsia" w:ascii="宋体" w:hAnsi="宋体" w:cs="宋体"/>
          <w:bCs/>
          <w:kern w:val="0"/>
          <w:sz w:val="24"/>
          <w:lang w:val="en-US" w:eastAsia="zh-CN"/>
        </w:rPr>
        <w:t>款</w:t>
      </w:r>
      <w:r>
        <w:rPr>
          <w:rFonts w:hint="eastAsia" w:ascii="宋体" w:hAnsi="宋体" w:cs="宋体"/>
          <w:bCs/>
          <w:kern w:val="0"/>
          <w:sz w:val="24"/>
        </w:rPr>
        <w:t>；</w:t>
      </w:r>
    </w:p>
    <w:p w14:paraId="3260C6A4">
      <w:pPr>
        <w:widowControl/>
        <w:spacing w:before="100" w:after="100" w:line="360" w:lineRule="auto"/>
        <w:ind w:firstLine="480" w:firstLineChars="200"/>
        <w:jc w:val="left"/>
        <w:rPr>
          <w:rFonts w:ascii="宋体" w:hAnsi="宋体" w:cs="宋体"/>
          <w:bCs/>
          <w:kern w:val="0"/>
          <w:sz w:val="24"/>
        </w:rPr>
      </w:pPr>
      <w:r>
        <w:rPr>
          <w:rFonts w:hint="eastAsia" w:ascii="宋体" w:hAnsi="宋体" w:cs="宋体"/>
          <w:bCs/>
          <w:kern w:val="0"/>
          <w:sz w:val="24"/>
        </w:rPr>
        <w:t>②得分在80-70分（含）之间的扣</w:t>
      </w:r>
      <w:r>
        <w:rPr>
          <w:rFonts w:hint="eastAsia" w:ascii="宋体" w:hAnsi="宋体" w:cs="宋体"/>
          <w:bCs/>
          <w:kern w:val="0"/>
          <w:sz w:val="24"/>
          <w:lang w:val="en-US" w:eastAsia="zh-CN"/>
        </w:rPr>
        <w:t>款</w:t>
      </w:r>
      <w:r>
        <w:rPr>
          <w:rFonts w:hint="eastAsia" w:ascii="宋体" w:hAnsi="宋体" w:cs="宋体"/>
          <w:bCs/>
          <w:kern w:val="0"/>
          <w:sz w:val="24"/>
        </w:rPr>
        <w:t>1000元/次；</w:t>
      </w:r>
    </w:p>
    <w:p w14:paraId="675DE512">
      <w:pPr>
        <w:widowControl/>
        <w:spacing w:before="100" w:after="100" w:line="360" w:lineRule="auto"/>
        <w:ind w:firstLine="480" w:firstLineChars="200"/>
        <w:jc w:val="left"/>
        <w:rPr>
          <w:rFonts w:ascii="宋体" w:hAnsi="宋体" w:cs="宋体"/>
          <w:bCs/>
          <w:kern w:val="0"/>
          <w:sz w:val="24"/>
        </w:rPr>
      </w:pPr>
      <w:r>
        <w:rPr>
          <w:rFonts w:hint="eastAsia" w:ascii="宋体" w:hAnsi="宋体" w:cs="宋体"/>
          <w:bCs/>
          <w:kern w:val="0"/>
          <w:sz w:val="24"/>
        </w:rPr>
        <w:t>③得分低于70分的扣</w:t>
      </w:r>
      <w:r>
        <w:rPr>
          <w:rFonts w:hint="eastAsia" w:ascii="宋体" w:hAnsi="宋体" w:cs="宋体"/>
          <w:bCs/>
          <w:kern w:val="0"/>
          <w:sz w:val="24"/>
          <w:lang w:val="en-US" w:eastAsia="zh-CN"/>
        </w:rPr>
        <w:t>款</w:t>
      </w:r>
      <w:r>
        <w:rPr>
          <w:rFonts w:hint="eastAsia" w:ascii="宋体" w:hAnsi="宋体" w:cs="宋体"/>
          <w:bCs/>
          <w:kern w:val="0"/>
          <w:sz w:val="24"/>
        </w:rPr>
        <w:t>3000元，并且直接解除合同。</w:t>
      </w:r>
    </w:p>
    <w:p w14:paraId="3D10A919">
      <w:pPr>
        <w:widowControl/>
        <w:spacing w:before="100" w:after="100" w:line="360" w:lineRule="auto"/>
        <w:ind w:firstLine="480" w:firstLineChars="200"/>
        <w:jc w:val="left"/>
        <w:rPr>
          <w:rFonts w:ascii="宋体" w:hAnsi="宋体" w:cs="宋体"/>
          <w:bCs/>
          <w:kern w:val="0"/>
          <w:sz w:val="24"/>
        </w:rPr>
      </w:pPr>
      <w:r>
        <w:rPr>
          <w:rFonts w:hint="eastAsia" w:ascii="宋体" w:hAnsi="宋体" w:cs="宋体"/>
          <w:bCs/>
          <w:kern w:val="0"/>
          <w:sz w:val="24"/>
        </w:rPr>
        <w:t>（2）最终考核等次依据为历次考核得分平均分，考核等次纳入采购人的供应商信用评价体系：</w:t>
      </w:r>
    </w:p>
    <w:p w14:paraId="748361CE">
      <w:pPr>
        <w:widowControl/>
        <w:spacing w:before="100" w:after="100" w:line="360" w:lineRule="auto"/>
        <w:ind w:firstLine="480" w:firstLineChars="200"/>
        <w:jc w:val="left"/>
        <w:rPr>
          <w:rFonts w:ascii="宋体" w:hAnsi="宋体" w:cs="宋体"/>
          <w:bCs/>
          <w:kern w:val="0"/>
          <w:sz w:val="24"/>
        </w:rPr>
      </w:pPr>
      <w:r>
        <w:rPr>
          <w:rFonts w:hint="eastAsia" w:ascii="宋体" w:hAnsi="宋体" w:cs="宋体"/>
          <w:bCs/>
          <w:kern w:val="0"/>
          <w:sz w:val="24"/>
        </w:rPr>
        <w:t>①得分90分（含）以上的为优秀；</w:t>
      </w:r>
    </w:p>
    <w:p w14:paraId="66092855">
      <w:pPr>
        <w:widowControl/>
        <w:spacing w:before="100" w:after="100" w:line="360" w:lineRule="auto"/>
        <w:ind w:firstLine="480" w:firstLineChars="200"/>
        <w:jc w:val="left"/>
        <w:rPr>
          <w:rFonts w:ascii="宋体" w:hAnsi="宋体" w:cs="宋体"/>
          <w:bCs/>
          <w:kern w:val="0"/>
          <w:sz w:val="24"/>
        </w:rPr>
      </w:pPr>
      <w:r>
        <w:rPr>
          <w:rFonts w:hint="eastAsia" w:ascii="宋体" w:hAnsi="宋体" w:cs="宋体"/>
          <w:bCs/>
          <w:kern w:val="0"/>
          <w:sz w:val="24"/>
        </w:rPr>
        <w:t>②考核得分在90-80分（含）之间的为良好；</w:t>
      </w:r>
    </w:p>
    <w:p w14:paraId="767BEB7B">
      <w:pPr>
        <w:widowControl/>
        <w:spacing w:before="100" w:after="100" w:line="360" w:lineRule="auto"/>
        <w:ind w:firstLine="480" w:firstLineChars="200"/>
        <w:jc w:val="left"/>
        <w:rPr>
          <w:rFonts w:ascii="宋体" w:hAnsi="宋体" w:cs="宋体"/>
          <w:bCs/>
          <w:kern w:val="0"/>
          <w:sz w:val="24"/>
        </w:rPr>
      </w:pPr>
      <w:r>
        <w:rPr>
          <w:rFonts w:hint="eastAsia" w:ascii="宋体" w:hAnsi="宋体" w:cs="宋体"/>
          <w:bCs/>
          <w:kern w:val="0"/>
          <w:sz w:val="24"/>
        </w:rPr>
        <w:t>③考核得分在80-70分（含）之间的为合格；</w:t>
      </w:r>
    </w:p>
    <w:p w14:paraId="2DAEA955">
      <w:pPr>
        <w:widowControl/>
        <w:spacing w:before="100" w:after="100" w:line="360" w:lineRule="auto"/>
        <w:ind w:firstLine="480" w:firstLineChars="200"/>
        <w:jc w:val="left"/>
        <w:rPr>
          <w:rFonts w:hint="eastAsia" w:ascii="宋体" w:hAnsi="宋体" w:cs="宋体"/>
          <w:b/>
          <w:sz w:val="24"/>
        </w:rPr>
      </w:pPr>
      <w:r>
        <w:rPr>
          <w:rFonts w:hint="eastAsia" w:ascii="宋体" w:hAnsi="宋体" w:cs="宋体"/>
          <w:bCs/>
          <w:kern w:val="0"/>
          <w:sz w:val="24"/>
        </w:rPr>
        <w:t>④得分低于70分为不合格。</w:t>
      </w:r>
    </w:p>
    <w:p w14:paraId="3AD5E908">
      <w:pPr>
        <w:spacing w:line="520" w:lineRule="exact"/>
        <w:ind w:firstLine="482" w:firstLineChars="200"/>
        <w:rPr>
          <w:rFonts w:hint="eastAsia" w:ascii="宋体" w:hAnsi="宋体" w:cs="宋体"/>
          <w:b/>
          <w:sz w:val="24"/>
        </w:rPr>
      </w:pPr>
      <w:r>
        <w:rPr>
          <w:rFonts w:hint="eastAsia" w:ascii="宋体" w:hAnsi="宋体" w:cs="宋体"/>
          <w:b/>
          <w:sz w:val="24"/>
        </w:rPr>
        <w:t>（</w:t>
      </w:r>
      <w:r>
        <w:rPr>
          <w:rFonts w:hint="eastAsia" w:ascii="宋体" w:hAnsi="宋体" w:cs="宋体"/>
          <w:b/>
          <w:sz w:val="24"/>
          <w:lang w:val="en-US" w:eastAsia="zh-CN"/>
        </w:rPr>
        <w:t>九</w:t>
      </w:r>
      <w:r>
        <w:rPr>
          <w:rFonts w:hint="eastAsia" w:ascii="宋体" w:hAnsi="宋体" w:cs="宋体"/>
          <w:b/>
          <w:sz w:val="24"/>
        </w:rPr>
        <w:t>）履约保证金</w:t>
      </w:r>
    </w:p>
    <w:p w14:paraId="7D20B6D1">
      <w:pPr>
        <w:spacing w:line="520" w:lineRule="exact"/>
        <w:ind w:firstLine="480" w:firstLineChars="200"/>
        <w:rPr>
          <w:rFonts w:hint="eastAsia" w:ascii="宋体" w:hAnsi="宋体" w:cs="宋体"/>
          <w:sz w:val="24"/>
        </w:rPr>
      </w:pPr>
      <w:r>
        <w:rPr>
          <w:rFonts w:hint="eastAsia" w:ascii="宋体" w:hAnsi="宋体" w:cs="宋体"/>
          <w:sz w:val="24"/>
        </w:rPr>
        <w:t>1、本项目成交后的履约保证</w:t>
      </w:r>
      <w:r>
        <w:rPr>
          <w:rFonts w:hint="eastAsia" w:ascii="宋体" w:hAnsi="宋体" w:cs="宋体"/>
          <w:sz w:val="24"/>
          <w:highlight w:val="none"/>
        </w:rPr>
        <w:t>金为</w:t>
      </w:r>
      <w:r>
        <w:rPr>
          <w:rFonts w:hint="eastAsia" w:ascii="宋体" w:hAnsi="宋体" w:cs="宋体"/>
          <w:b/>
          <w:bCs/>
          <w:sz w:val="24"/>
          <w:highlight w:val="none"/>
          <w:u w:val="single"/>
        </w:rPr>
        <w:t>项目</w:t>
      </w:r>
      <w:r>
        <w:rPr>
          <w:rFonts w:hint="eastAsia" w:ascii="宋体" w:hAnsi="宋体" w:cs="宋体"/>
          <w:b/>
          <w:bCs/>
          <w:sz w:val="24"/>
          <w:highlight w:val="none"/>
          <w:u w:val="single"/>
          <w:lang w:val="en-US" w:eastAsia="zh-CN"/>
        </w:rPr>
        <w:t>预算价</w:t>
      </w:r>
      <w:r>
        <w:rPr>
          <w:rFonts w:hint="eastAsia" w:ascii="宋体" w:hAnsi="宋体" w:cs="宋体"/>
          <w:b/>
          <w:bCs/>
          <w:sz w:val="24"/>
          <w:highlight w:val="none"/>
          <w:u w:val="single"/>
        </w:rPr>
        <w:t>的5%</w:t>
      </w:r>
      <w:r>
        <w:rPr>
          <w:rFonts w:hint="eastAsia" w:ascii="宋体" w:hAnsi="宋体" w:cs="宋体"/>
          <w:sz w:val="24"/>
          <w:highlight w:val="none"/>
        </w:rPr>
        <w:t>，中标</w:t>
      </w:r>
      <w:r>
        <w:rPr>
          <w:rFonts w:hint="eastAsia" w:ascii="宋体" w:hAnsi="宋体" w:cs="宋体"/>
          <w:sz w:val="24"/>
        </w:rPr>
        <w:t>单位的履约保证金须在成交通知书发出之日起至合同签订前汇入采购单位账户（应当以数字人民币、支票、汇票或者金融机构、担保机构出具的保函等非现金形式提交），中标单位凭成交通知书与采购单位签订合同。超期或未有协商，则视为自动放弃成交资格；</w:t>
      </w:r>
    </w:p>
    <w:p w14:paraId="7DE6E019">
      <w:pPr>
        <w:spacing w:line="520" w:lineRule="exact"/>
        <w:ind w:firstLine="480" w:firstLineChars="200"/>
        <w:rPr>
          <w:rFonts w:hint="eastAsia" w:ascii="宋体" w:hAnsi="宋体" w:cs="宋体"/>
          <w:sz w:val="24"/>
        </w:rPr>
      </w:pPr>
      <w:r>
        <w:rPr>
          <w:rFonts w:hint="eastAsia" w:ascii="宋体" w:hAnsi="宋体" w:cs="宋体"/>
          <w:sz w:val="24"/>
        </w:rPr>
        <w:t>2、服务期满后，中标人全部履约合同义务，经采购人验收合格无质量、进度等问题的，中标人提交相应的申请材料，经采购人确认后15个工作日内一次性退还履约保证金（扣除相关违约费用的剩余部分，不计息）；</w:t>
      </w:r>
    </w:p>
    <w:p w14:paraId="503079E7">
      <w:pPr>
        <w:spacing w:line="520" w:lineRule="exact"/>
        <w:ind w:firstLine="480" w:firstLineChars="200"/>
        <w:rPr>
          <w:rFonts w:hint="eastAsia" w:ascii="宋体" w:hAnsi="宋体" w:cs="宋体"/>
          <w:sz w:val="24"/>
        </w:rPr>
      </w:pPr>
      <w:r>
        <w:rPr>
          <w:rFonts w:hint="eastAsia" w:ascii="宋体" w:hAnsi="宋体" w:cs="宋体"/>
          <w:sz w:val="24"/>
        </w:rPr>
        <w:t xml:space="preserve">3、发生以下情况的，履约保证金不予退还或部分退还： </w:t>
      </w:r>
    </w:p>
    <w:p w14:paraId="2935FDF9">
      <w:pPr>
        <w:spacing w:line="520" w:lineRule="exact"/>
        <w:ind w:firstLine="480" w:firstLineChars="200"/>
        <w:rPr>
          <w:rFonts w:hint="eastAsia" w:ascii="宋体" w:hAnsi="宋体" w:cs="宋体"/>
          <w:sz w:val="24"/>
        </w:rPr>
      </w:pPr>
      <w:r>
        <w:rPr>
          <w:rFonts w:hint="eastAsia" w:ascii="宋体" w:hAnsi="宋体" w:cs="宋体"/>
          <w:sz w:val="24"/>
        </w:rPr>
        <w:t>a.签订合同后，中标单位不履行合同义务的，采购单位有权全额扣除履约保证金，全额不予退还，同时采购单位亦有权终止合同，中标供应商还须承担相应的法律赔偿责任。</w:t>
      </w:r>
    </w:p>
    <w:p w14:paraId="26BAABCB">
      <w:pPr>
        <w:spacing w:line="520" w:lineRule="exact"/>
        <w:ind w:firstLine="480" w:firstLineChars="200"/>
        <w:rPr>
          <w:rFonts w:hint="eastAsia" w:ascii="宋体" w:hAnsi="宋体" w:cs="宋体"/>
          <w:sz w:val="24"/>
        </w:rPr>
      </w:pPr>
      <w:r>
        <w:rPr>
          <w:rFonts w:hint="eastAsia" w:ascii="宋体" w:hAnsi="宋体" w:cs="宋体"/>
          <w:sz w:val="24"/>
        </w:rPr>
        <w:t>b.中标单位在履约过程中发生违约行为，给采购单位造成损失的，采购单位有权在中标单位缴纳的履约保证金中予以扣款，以弥补采购单位经济损失，不足的部分中标单位另外补齐。</w:t>
      </w:r>
    </w:p>
    <w:p w14:paraId="273C587B">
      <w:pPr>
        <w:spacing w:line="520" w:lineRule="exact"/>
        <w:ind w:firstLine="480" w:firstLineChars="200"/>
        <w:rPr>
          <w:rFonts w:hint="eastAsia" w:ascii="宋体" w:hAnsi="宋体" w:cs="宋体"/>
          <w:sz w:val="24"/>
        </w:rPr>
      </w:pPr>
      <w:r>
        <w:rPr>
          <w:rFonts w:hint="eastAsia" w:ascii="宋体" w:hAnsi="宋体" w:cs="宋体"/>
          <w:sz w:val="24"/>
        </w:rPr>
        <w:t>4、甲方无正当理由逾期退还履约保证金的，则自逾期之日起向乙方支付违约金，违约金以逾期未还履约保证金为基数，按全国银行间同业拆借中心公布的一年期贷款市场报价利率计算。</w:t>
      </w:r>
    </w:p>
    <w:p w14:paraId="7692AD59">
      <w:pPr>
        <w:pageBreakBefore/>
        <w:snapToGrid w:val="0"/>
        <w:spacing w:line="460" w:lineRule="exact"/>
        <w:jc w:val="center"/>
        <w:outlineLvl w:val="0"/>
        <w:rPr>
          <w:rFonts w:hint="eastAsia" w:ascii="宋体" w:hAnsi="宋体" w:cs="宋体"/>
          <w:b/>
          <w:sz w:val="36"/>
          <w:szCs w:val="36"/>
        </w:rPr>
      </w:pPr>
      <w:r>
        <w:rPr>
          <w:rFonts w:hint="eastAsia" w:ascii="宋体" w:hAnsi="宋体" w:cs="宋体"/>
          <w:b/>
          <w:sz w:val="36"/>
          <w:szCs w:val="36"/>
        </w:rPr>
        <w:t>第四部分  开标和评标</w:t>
      </w:r>
    </w:p>
    <w:p w14:paraId="407367EA">
      <w:pPr>
        <w:tabs>
          <w:tab w:val="left" w:pos="3585"/>
        </w:tabs>
        <w:snapToGrid w:val="0"/>
        <w:spacing w:line="460" w:lineRule="exact"/>
        <w:ind w:firstLine="463" w:firstLineChars="192"/>
        <w:rPr>
          <w:rFonts w:hint="eastAsia" w:ascii="宋体" w:hAnsi="宋体" w:cs="宋体"/>
          <w:b/>
          <w:sz w:val="24"/>
        </w:rPr>
      </w:pPr>
      <w:r>
        <w:rPr>
          <w:rFonts w:hint="eastAsia" w:ascii="宋体" w:hAnsi="宋体" w:cs="宋体"/>
          <w:b/>
          <w:bCs/>
          <w:sz w:val="24"/>
        </w:rPr>
        <w:t>一、</w:t>
      </w:r>
      <w:r>
        <w:rPr>
          <w:rFonts w:hint="eastAsia" w:ascii="宋体" w:hAnsi="宋体" w:cs="宋体"/>
          <w:b/>
          <w:sz w:val="24"/>
        </w:rPr>
        <w:t>采购人组织开标。</w:t>
      </w:r>
    </w:p>
    <w:p w14:paraId="39EEEC95">
      <w:pPr>
        <w:tabs>
          <w:tab w:val="left" w:pos="3585"/>
        </w:tabs>
        <w:snapToGrid w:val="0"/>
        <w:spacing w:line="460" w:lineRule="exact"/>
        <w:ind w:firstLine="460" w:firstLineChars="192"/>
        <w:rPr>
          <w:rFonts w:hint="eastAsia" w:ascii="宋体" w:hAnsi="宋体" w:cs="宋体"/>
          <w:sz w:val="24"/>
        </w:rPr>
      </w:pPr>
      <w:r>
        <w:rPr>
          <w:rFonts w:hint="eastAsia" w:ascii="宋体" w:hAnsi="宋体" w:cs="宋体"/>
          <w:sz w:val="24"/>
        </w:rPr>
        <w:t>比选人的法定代表人或授权人参加现场开标会。</w:t>
      </w:r>
    </w:p>
    <w:p w14:paraId="5F84AE66">
      <w:pPr>
        <w:snapToGrid w:val="0"/>
        <w:spacing w:line="460" w:lineRule="exact"/>
        <w:ind w:firstLine="570"/>
        <w:rPr>
          <w:rFonts w:hint="eastAsia" w:ascii="宋体" w:hAnsi="宋体" w:cs="宋体"/>
          <w:bCs/>
          <w:sz w:val="24"/>
        </w:rPr>
      </w:pPr>
      <w:r>
        <w:rPr>
          <w:rFonts w:hint="eastAsia" w:ascii="宋体" w:hAnsi="宋体" w:cs="宋体"/>
          <w:b/>
          <w:bCs/>
          <w:sz w:val="24"/>
        </w:rPr>
        <w:t>二、</w:t>
      </w:r>
      <w:r>
        <w:rPr>
          <w:rFonts w:hint="eastAsia" w:ascii="宋体" w:hAnsi="宋体" w:cs="宋体"/>
          <w:b/>
          <w:sz w:val="24"/>
        </w:rPr>
        <w:t>评委会由</w:t>
      </w:r>
      <w:r>
        <w:rPr>
          <w:rFonts w:hint="eastAsia" w:ascii="宋体" w:hAnsi="宋体" w:cs="宋体"/>
          <w:b/>
          <w:bCs/>
          <w:sz w:val="24"/>
        </w:rPr>
        <w:t>有关专家和</w:t>
      </w:r>
      <w:r>
        <w:rPr>
          <w:rFonts w:hint="eastAsia" w:ascii="宋体" w:hAnsi="宋体" w:cs="宋体"/>
          <w:b/>
          <w:sz w:val="24"/>
        </w:rPr>
        <w:t>采购人代表</w:t>
      </w:r>
      <w:r>
        <w:rPr>
          <w:rFonts w:hint="eastAsia" w:ascii="宋体" w:hAnsi="宋体" w:cs="宋体"/>
          <w:b/>
          <w:bCs/>
          <w:sz w:val="24"/>
        </w:rPr>
        <w:t>组成</w:t>
      </w:r>
      <w:r>
        <w:rPr>
          <w:rFonts w:hint="eastAsia" w:ascii="宋体" w:hAnsi="宋体" w:cs="宋体"/>
          <w:sz w:val="24"/>
        </w:rPr>
        <w:t>，按照</w:t>
      </w:r>
      <w:r>
        <w:rPr>
          <w:rFonts w:hint="eastAsia" w:ascii="宋体" w:hAnsi="宋体" w:cs="宋体"/>
          <w:bCs/>
          <w:sz w:val="24"/>
        </w:rPr>
        <w:t>公平、公正、择优的原则进行</w:t>
      </w:r>
      <w:r>
        <w:rPr>
          <w:rFonts w:hint="eastAsia" w:ascii="宋体" w:hAnsi="宋体" w:cs="宋体"/>
          <w:sz w:val="24"/>
        </w:rPr>
        <w:t>独立</w:t>
      </w:r>
      <w:r>
        <w:rPr>
          <w:rFonts w:hint="eastAsia" w:ascii="宋体" w:hAnsi="宋体" w:cs="宋体"/>
          <w:bCs/>
          <w:sz w:val="24"/>
        </w:rPr>
        <w:t>评标。</w:t>
      </w:r>
    </w:p>
    <w:p w14:paraId="1225E197">
      <w:pPr>
        <w:tabs>
          <w:tab w:val="left" w:pos="3585"/>
        </w:tabs>
        <w:snapToGrid w:val="0"/>
        <w:spacing w:line="460" w:lineRule="exact"/>
        <w:ind w:firstLine="460" w:firstLineChars="192"/>
        <w:rPr>
          <w:rFonts w:hint="eastAsia" w:ascii="宋体" w:hAnsi="宋体" w:cs="宋体"/>
          <w:sz w:val="24"/>
        </w:rPr>
      </w:pPr>
      <w:r>
        <w:rPr>
          <w:rFonts w:hint="eastAsia" w:ascii="宋体" w:hAnsi="宋体" w:cs="宋体"/>
          <w:sz w:val="24"/>
        </w:rPr>
        <w:t>由采购人代表对比选人资格性审查，对未通过审查的供应商，应现场告知原因。评委会对合格供应商的比选响应文件进行评审。</w:t>
      </w:r>
    </w:p>
    <w:p w14:paraId="594A7EC3">
      <w:pPr>
        <w:snapToGrid w:val="0"/>
        <w:spacing w:line="460" w:lineRule="exact"/>
        <w:ind w:firstLine="482" w:firstLineChars="200"/>
        <w:rPr>
          <w:rFonts w:hint="eastAsia" w:ascii="宋体" w:hAnsi="宋体" w:cs="宋体"/>
          <w:b/>
          <w:sz w:val="24"/>
        </w:rPr>
      </w:pPr>
      <w:r>
        <w:rPr>
          <w:rFonts w:hint="eastAsia" w:ascii="宋体" w:hAnsi="宋体" w:cs="宋体"/>
          <w:b/>
          <w:sz w:val="24"/>
        </w:rPr>
        <w:t>（一）评审内容</w:t>
      </w:r>
    </w:p>
    <w:p w14:paraId="67D843D9">
      <w:pPr>
        <w:snapToGrid w:val="0"/>
        <w:spacing w:line="460" w:lineRule="exact"/>
        <w:ind w:firstLine="480" w:firstLineChars="200"/>
        <w:rPr>
          <w:rFonts w:hint="eastAsia" w:ascii="宋体" w:hAnsi="宋体" w:cs="宋体"/>
          <w:sz w:val="24"/>
        </w:rPr>
      </w:pPr>
      <w:r>
        <w:rPr>
          <w:rFonts w:hint="eastAsia" w:ascii="宋体" w:hAnsi="宋体" w:cs="宋体"/>
          <w:sz w:val="24"/>
        </w:rPr>
        <w:t>1.参选资格是否符合；</w:t>
      </w:r>
    </w:p>
    <w:p w14:paraId="22B775D2">
      <w:pPr>
        <w:snapToGrid w:val="0"/>
        <w:spacing w:line="460" w:lineRule="exact"/>
        <w:ind w:firstLine="480" w:firstLineChars="200"/>
        <w:rPr>
          <w:rFonts w:hint="eastAsia" w:ascii="宋体" w:hAnsi="宋体" w:cs="宋体"/>
          <w:sz w:val="24"/>
        </w:rPr>
      </w:pPr>
      <w:r>
        <w:rPr>
          <w:rFonts w:hint="eastAsia" w:ascii="宋体" w:hAnsi="宋体" w:cs="宋体"/>
          <w:sz w:val="24"/>
        </w:rPr>
        <w:t>2.比选响应文件是否完整；</w:t>
      </w:r>
    </w:p>
    <w:p w14:paraId="142AB7A1">
      <w:pPr>
        <w:snapToGrid w:val="0"/>
        <w:spacing w:line="460" w:lineRule="exact"/>
        <w:ind w:firstLine="480" w:firstLineChars="200"/>
        <w:rPr>
          <w:rFonts w:hint="eastAsia" w:ascii="宋体" w:hAnsi="宋体" w:cs="宋体"/>
          <w:sz w:val="24"/>
        </w:rPr>
      </w:pPr>
      <w:r>
        <w:rPr>
          <w:rFonts w:hint="eastAsia" w:ascii="宋体" w:hAnsi="宋体" w:cs="宋体"/>
          <w:sz w:val="24"/>
        </w:rPr>
        <w:t>3.比选响应文件是否恰当地签署；</w:t>
      </w:r>
    </w:p>
    <w:p w14:paraId="5510BDAE">
      <w:pPr>
        <w:snapToGrid w:val="0"/>
        <w:spacing w:line="460" w:lineRule="exact"/>
        <w:ind w:firstLine="540"/>
        <w:rPr>
          <w:rFonts w:hint="eastAsia" w:ascii="宋体" w:hAnsi="宋体" w:cs="宋体"/>
          <w:b/>
          <w:sz w:val="24"/>
        </w:rPr>
      </w:pPr>
      <w:r>
        <w:rPr>
          <w:rFonts w:hint="eastAsia" w:ascii="宋体" w:hAnsi="宋体" w:cs="宋体"/>
          <w:sz w:val="24"/>
        </w:rPr>
        <w:t>4.是否作出实质性响应（</w:t>
      </w:r>
      <w:r>
        <w:rPr>
          <w:rFonts w:hint="eastAsia" w:ascii="宋体" w:hAnsi="宋体" w:cs="宋体"/>
          <w:b/>
          <w:sz w:val="24"/>
        </w:rPr>
        <w:t>是否有实质性响应，只根据比选响应文件本身，而不寻求外部证据）；</w:t>
      </w:r>
    </w:p>
    <w:p w14:paraId="085D0BB3">
      <w:pPr>
        <w:snapToGrid w:val="0"/>
        <w:spacing w:line="460" w:lineRule="exact"/>
        <w:ind w:firstLine="480" w:firstLineChars="200"/>
        <w:rPr>
          <w:rFonts w:hint="eastAsia" w:ascii="宋体" w:hAnsi="宋体" w:cs="宋体"/>
          <w:sz w:val="24"/>
        </w:rPr>
      </w:pPr>
      <w:r>
        <w:rPr>
          <w:rFonts w:hint="eastAsia" w:ascii="宋体" w:hAnsi="宋体" w:cs="宋体"/>
          <w:sz w:val="24"/>
        </w:rPr>
        <w:t>5.是否有计算错误。</w:t>
      </w:r>
    </w:p>
    <w:p w14:paraId="66F29D88">
      <w:pPr>
        <w:snapToGrid w:val="0"/>
        <w:spacing w:line="460" w:lineRule="exact"/>
        <w:ind w:firstLine="482" w:firstLineChars="200"/>
        <w:rPr>
          <w:rFonts w:hint="eastAsia" w:ascii="宋体" w:hAnsi="宋体" w:cs="宋体"/>
          <w:b/>
          <w:bCs/>
          <w:sz w:val="24"/>
        </w:rPr>
      </w:pPr>
      <w:r>
        <w:rPr>
          <w:rFonts w:hint="eastAsia" w:ascii="宋体" w:hAnsi="宋体" w:cs="宋体"/>
          <w:b/>
          <w:bCs/>
          <w:sz w:val="24"/>
        </w:rPr>
        <w:t>（二）相应的规定</w:t>
      </w:r>
    </w:p>
    <w:p w14:paraId="5B5D2A37">
      <w:pPr>
        <w:snapToGrid w:val="0"/>
        <w:spacing w:line="460" w:lineRule="exact"/>
        <w:ind w:firstLine="480" w:firstLineChars="200"/>
        <w:rPr>
          <w:rFonts w:hint="eastAsia" w:ascii="宋体" w:hAnsi="宋体" w:cs="宋体"/>
          <w:sz w:val="24"/>
        </w:rPr>
      </w:pPr>
      <w:r>
        <w:rPr>
          <w:rFonts w:hint="eastAsia" w:ascii="宋体" w:hAnsi="宋体" w:cs="宋体"/>
          <w:bCs/>
          <w:sz w:val="24"/>
        </w:rPr>
        <w:t>1.</w:t>
      </w:r>
      <w:r>
        <w:rPr>
          <w:rFonts w:hint="eastAsia" w:ascii="宋体" w:hAnsi="宋体" w:cs="宋体"/>
          <w:sz w:val="24"/>
        </w:rPr>
        <w:t>如果单价汇总金额与总价金额有出入，以单价金额计算结果为准；</w:t>
      </w:r>
    </w:p>
    <w:p w14:paraId="2EB06A0F">
      <w:pPr>
        <w:snapToGrid w:val="0"/>
        <w:spacing w:line="460" w:lineRule="exact"/>
        <w:ind w:firstLine="480" w:firstLineChars="200"/>
        <w:rPr>
          <w:rFonts w:hint="eastAsia" w:ascii="宋体" w:hAnsi="宋体" w:cs="宋体"/>
          <w:sz w:val="24"/>
        </w:rPr>
      </w:pPr>
      <w:r>
        <w:rPr>
          <w:rFonts w:hint="eastAsia" w:ascii="宋体" w:hAnsi="宋体" w:cs="宋体"/>
          <w:sz w:val="24"/>
        </w:rPr>
        <w:t>2.单价金额小数点有明显错位的，应以总价为准；</w:t>
      </w:r>
    </w:p>
    <w:p w14:paraId="24D04E1B">
      <w:pPr>
        <w:snapToGrid w:val="0"/>
        <w:spacing w:line="460" w:lineRule="exact"/>
        <w:ind w:firstLine="480" w:firstLineChars="200"/>
        <w:rPr>
          <w:rFonts w:hint="eastAsia" w:ascii="宋体" w:hAnsi="宋体" w:cs="宋体"/>
          <w:sz w:val="24"/>
        </w:rPr>
      </w:pPr>
      <w:r>
        <w:rPr>
          <w:rFonts w:hint="eastAsia" w:ascii="宋体" w:hAnsi="宋体" w:cs="宋体"/>
          <w:sz w:val="24"/>
        </w:rPr>
        <w:t>3.正本与副本有矛盾的，以正本为准；</w:t>
      </w:r>
    </w:p>
    <w:p w14:paraId="4F60E448">
      <w:pPr>
        <w:snapToGrid w:val="0"/>
        <w:spacing w:line="460" w:lineRule="exact"/>
        <w:ind w:firstLine="480" w:firstLineChars="200"/>
        <w:rPr>
          <w:rFonts w:hint="eastAsia" w:ascii="宋体" w:hAnsi="宋体" w:cs="宋体"/>
          <w:sz w:val="24"/>
        </w:rPr>
      </w:pPr>
      <w:r>
        <w:rPr>
          <w:rFonts w:hint="eastAsia" w:ascii="宋体" w:hAnsi="宋体" w:cs="宋体"/>
          <w:sz w:val="24"/>
        </w:rPr>
        <w:t>4.若文件大写表示的数据与数字表示的有差别，以大写表示的数据为准。</w:t>
      </w:r>
    </w:p>
    <w:p w14:paraId="7D3FF239">
      <w:pPr>
        <w:tabs>
          <w:tab w:val="left" w:pos="3585"/>
        </w:tabs>
        <w:snapToGrid w:val="0"/>
        <w:spacing w:line="460" w:lineRule="exact"/>
        <w:ind w:firstLine="482" w:firstLineChars="200"/>
        <w:rPr>
          <w:rFonts w:hint="eastAsia" w:ascii="宋体" w:hAnsi="宋体" w:cs="宋体"/>
          <w:b/>
          <w:bCs/>
          <w:sz w:val="24"/>
        </w:rPr>
      </w:pPr>
      <w:r>
        <w:rPr>
          <w:rFonts w:hint="eastAsia" w:ascii="宋体" w:hAnsi="宋体" w:cs="宋体"/>
          <w:b/>
          <w:bCs/>
          <w:sz w:val="24"/>
        </w:rPr>
        <w:t>三、</w:t>
      </w:r>
      <w:r>
        <w:rPr>
          <w:rFonts w:hint="eastAsia" w:ascii="宋体" w:hAnsi="宋体" w:cs="宋体"/>
          <w:b/>
          <w:sz w:val="24"/>
        </w:rPr>
        <w:t>陈述、演示、</w:t>
      </w:r>
      <w:r>
        <w:rPr>
          <w:rFonts w:hint="eastAsia" w:ascii="宋体" w:hAnsi="宋体" w:cs="宋体"/>
          <w:b/>
          <w:bCs/>
          <w:sz w:val="24"/>
        </w:rPr>
        <w:t>答疑、澄清</w:t>
      </w:r>
    </w:p>
    <w:p w14:paraId="55F31EC7">
      <w:pPr>
        <w:snapToGrid w:val="0"/>
        <w:spacing w:line="460" w:lineRule="exact"/>
        <w:ind w:firstLine="570"/>
        <w:rPr>
          <w:rFonts w:hint="eastAsia" w:ascii="宋体" w:hAnsi="宋体" w:cs="宋体"/>
          <w:b/>
          <w:sz w:val="24"/>
        </w:rPr>
      </w:pPr>
      <w:r>
        <w:rPr>
          <w:rFonts w:hint="eastAsia" w:ascii="宋体" w:hAnsi="宋体" w:cs="宋体"/>
          <w:sz w:val="24"/>
          <w:shd w:val="clear" w:color="auto" w:fill="FFFFFF"/>
        </w:rPr>
        <w:t>如评委会认为有必要，比选人按评委会的要求作陈述、演示、</w:t>
      </w:r>
      <w:r>
        <w:rPr>
          <w:rFonts w:hint="eastAsia" w:ascii="宋体" w:hAnsi="宋体" w:cs="宋体"/>
          <w:sz w:val="24"/>
        </w:rPr>
        <w:t>答疑及澄清其比选内容。时间由评委会掌握。</w:t>
      </w:r>
    </w:p>
    <w:p w14:paraId="63198D80">
      <w:pPr>
        <w:snapToGrid w:val="0"/>
        <w:spacing w:line="460" w:lineRule="exact"/>
        <w:ind w:firstLine="570"/>
        <w:rPr>
          <w:rFonts w:hint="eastAsia" w:ascii="宋体" w:hAnsi="宋体" w:cs="宋体"/>
          <w:sz w:val="24"/>
        </w:rPr>
      </w:pPr>
      <w:r>
        <w:rPr>
          <w:rFonts w:hint="eastAsia" w:ascii="宋体" w:hAnsi="宋体" w:cs="宋体"/>
          <w:sz w:val="24"/>
        </w:rPr>
        <w:t>重要澄清答复应是书面的，但不得对比选内容进行实质性修改。</w:t>
      </w:r>
    </w:p>
    <w:p w14:paraId="54F81D2A">
      <w:pPr>
        <w:tabs>
          <w:tab w:val="left" w:pos="6555"/>
          <w:tab w:val="right" w:pos="8306"/>
        </w:tabs>
        <w:snapToGrid w:val="0"/>
        <w:spacing w:line="460" w:lineRule="exact"/>
        <w:ind w:firstLine="482" w:firstLineChars="200"/>
        <w:rPr>
          <w:rFonts w:hint="eastAsia" w:ascii="宋体" w:hAnsi="宋体" w:cs="宋体"/>
          <w:b/>
          <w:sz w:val="24"/>
        </w:rPr>
      </w:pPr>
      <w:r>
        <w:rPr>
          <w:rFonts w:hint="eastAsia" w:ascii="宋体" w:hAnsi="宋体" w:cs="宋体"/>
          <w:b/>
          <w:sz w:val="24"/>
        </w:rPr>
        <w:t>四、出现下列情形之一的，作无效比选处理</w:t>
      </w:r>
    </w:p>
    <w:p w14:paraId="0A84ADA8">
      <w:pPr>
        <w:tabs>
          <w:tab w:val="left" w:pos="6555"/>
        </w:tabs>
        <w:snapToGrid w:val="0"/>
        <w:spacing w:line="460" w:lineRule="exact"/>
        <w:ind w:firstLine="480" w:firstLineChars="200"/>
        <w:rPr>
          <w:rFonts w:hint="eastAsia" w:ascii="宋体" w:hAnsi="宋体" w:cs="宋体"/>
          <w:sz w:val="24"/>
        </w:rPr>
      </w:pPr>
      <w:r>
        <w:rPr>
          <w:rFonts w:hint="eastAsia" w:ascii="宋体" w:hAnsi="宋体" w:cs="宋体"/>
          <w:sz w:val="24"/>
        </w:rPr>
        <w:t>1.未按照采购文件规定要求签署、盖章的；</w:t>
      </w:r>
    </w:p>
    <w:p w14:paraId="2753A473">
      <w:pPr>
        <w:tabs>
          <w:tab w:val="left" w:pos="6555"/>
        </w:tabs>
        <w:snapToGrid w:val="0"/>
        <w:spacing w:line="460" w:lineRule="exact"/>
        <w:ind w:firstLine="480" w:firstLineChars="200"/>
        <w:rPr>
          <w:rFonts w:hint="eastAsia" w:ascii="宋体" w:hAnsi="宋体" w:cs="宋体"/>
          <w:sz w:val="24"/>
        </w:rPr>
      </w:pPr>
      <w:r>
        <w:rPr>
          <w:rFonts w:hint="eastAsia" w:ascii="宋体" w:hAnsi="宋体" w:cs="宋体"/>
          <w:sz w:val="24"/>
        </w:rPr>
        <w:t>2.不具备采购文件中规定的资格要求的；</w:t>
      </w:r>
    </w:p>
    <w:p w14:paraId="4E249DEC">
      <w:pPr>
        <w:tabs>
          <w:tab w:val="left" w:pos="6555"/>
        </w:tabs>
        <w:snapToGrid w:val="0"/>
        <w:spacing w:line="460" w:lineRule="exact"/>
        <w:ind w:firstLine="480" w:firstLineChars="200"/>
        <w:rPr>
          <w:rFonts w:hint="eastAsia" w:ascii="宋体" w:hAnsi="宋体" w:cs="宋体"/>
          <w:sz w:val="24"/>
        </w:rPr>
      </w:pPr>
      <w:r>
        <w:rPr>
          <w:rFonts w:hint="eastAsia" w:ascii="宋体" w:hAnsi="宋体" w:cs="宋体"/>
          <w:sz w:val="24"/>
        </w:rPr>
        <w:t>3.报价超过采购文件中规定的预算金额或者最高限价的；</w:t>
      </w:r>
    </w:p>
    <w:p w14:paraId="6E5E5262">
      <w:pPr>
        <w:tabs>
          <w:tab w:val="left" w:pos="6555"/>
        </w:tabs>
        <w:snapToGrid w:val="0"/>
        <w:spacing w:line="460" w:lineRule="exact"/>
        <w:ind w:firstLine="480" w:firstLineChars="200"/>
        <w:rPr>
          <w:rFonts w:hint="eastAsia" w:ascii="宋体" w:hAnsi="宋体" w:cs="宋体"/>
          <w:sz w:val="24"/>
        </w:rPr>
      </w:pPr>
      <w:r>
        <w:rPr>
          <w:rFonts w:hint="eastAsia" w:ascii="宋体" w:hAnsi="宋体" w:cs="宋体"/>
          <w:sz w:val="24"/>
        </w:rPr>
        <w:t>4.比选响应文件含有采购人不能接受的附加条件的；</w:t>
      </w:r>
    </w:p>
    <w:p w14:paraId="6396A0D6">
      <w:pPr>
        <w:snapToGrid w:val="0"/>
        <w:spacing w:line="460" w:lineRule="exact"/>
        <w:ind w:firstLine="570"/>
        <w:rPr>
          <w:rFonts w:hint="eastAsia" w:ascii="宋体" w:hAnsi="宋体" w:cs="宋体"/>
          <w:sz w:val="24"/>
        </w:rPr>
      </w:pPr>
      <w:r>
        <w:rPr>
          <w:rFonts w:hint="eastAsia" w:ascii="宋体" w:hAnsi="宋体" w:cs="宋体"/>
          <w:sz w:val="24"/>
        </w:rPr>
        <w:t>5.不符合采购文件中规定的其他实质性要求的。</w:t>
      </w:r>
    </w:p>
    <w:p w14:paraId="26D4B54F">
      <w:pPr>
        <w:snapToGrid w:val="0"/>
        <w:spacing w:line="460" w:lineRule="exact"/>
        <w:ind w:firstLine="570"/>
        <w:rPr>
          <w:rFonts w:hint="eastAsia" w:ascii="宋体" w:hAnsi="宋体" w:cs="宋体"/>
          <w:b/>
          <w:sz w:val="24"/>
        </w:rPr>
      </w:pPr>
      <w:r>
        <w:rPr>
          <w:rFonts w:hint="eastAsia" w:ascii="宋体" w:hAnsi="宋体" w:cs="宋体"/>
          <w:b/>
          <w:sz w:val="24"/>
        </w:rPr>
        <w:t>五、出现下列情形之一的，作废标处理</w:t>
      </w:r>
    </w:p>
    <w:p w14:paraId="7FC3030D">
      <w:pPr>
        <w:snapToGrid w:val="0"/>
        <w:spacing w:line="460" w:lineRule="exact"/>
        <w:ind w:firstLine="480" w:firstLineChars="200"/>
        <w:rPr>
          <w:rFonts w:hint="eastAsia" w:ascii="宋体" w:hAnsi="宋体" w:cs="宋体"/>
          <w:b/>
          <w:sz w:val="24"/>
        </w:rPr>
      </w:pPr>
      <w:r>
        <w:rPr>
          <w:rFonts w:hint="eastAsia" w:ascii="宋体" w:hAnsi="宋体" w:cs="宋体"/>
          <w:sz w:val="24"/>
        </w:rPr>
        <w:t>1.符合条件的供应商或者对比选文件作实质响应的供应商不足3家的</w:t>
      </w:r>
      <w:r>
        <w:rPr>
          <w:rFonts w:hint="eastAsia" w:ascii="宋体" w:hAnsi="宋体" w:cs="宋体"/>
          <w:sz w:val="24"/>
          <w:lang w:eastAsia="zh-CN"/>
        </w:rPr>
        <w:t>（</w:t>
      </w:r>
      <w:r>
        <w:rPr>
          <w:rFonts w:hint="eastAsia" w:ascii="宋体" w:hAnsi="宋体" w:cs="宋体"/>
          <w:sz w:val="24"/>
          <w:lang w:val="en-US" w:eastAsia="zh-CN"/>
        </w:rPr>
        <w:t>本次不适用</w:t>
      </w:r>
      <w:r>
        <w:rPr>
          <w:rFonts w:hint="eastAsia" w:ascii="宋体" w:hAnsi="宋体" w:cs="宋体"/>
          <w:sz w:val="24"/>
          <w:lang w:eastAsia="zh-CN"/>
        </w:rPr>
        <w:t>）</w:t>
      </w:r>
      <w:r>
        <w:rPr>
          <w:rFonts w:hint="eastAsia" w:ascii="宋体" w:hAnsi="宋体" w:cs="宋体"/>
          <w:sz w:val="24"/>
        </w:rPr>
        <w:t>；</w:t>
      </w:r>
    </w:p>
    <w:p w14:paraId="076DD7C8">
      <w:pPr>
        <w:snapToGrid w:val="0"/>
        <w:spacing w:line="460" w:lineRule="exact"/>
        <w:ind w:firstLine="570"/>
        <w:rPr>
          <w:rFonts w:hint="eastAsia" w:ascii="宋体" w:hAnsi="宋体" w:cs="宋体"/>
          <w:b/>
          <w:sz w:val="24"/>
        </w:rPr>
      </w:pPr>
      <w:r>
        <w:rPr>
          <w:rFonts w:hint="eastAsia" w:ascii="宋体" w:hAnsi="宋体" w:cs="宋体"/>
          <w:bCs/>
          <w:sz w:val="24"/>
        </w:rPr>
        <w:t>2</w:t>
      </w:r>
      <w:r>
        <w:rPr>
          <w:rFonts w:hint="eastAsia" w:ascii="宋体" w:hAnsi="宋体" w:cs="宋体"/>
          <w:b/>
          <w:sz w:val="24"/>
        </w:rPr>
        <w:t>.</w:t>
      </w:r>
      <w:r>
        <w:rPr>
          <w:rFonts w:hint="eastAsia" w:ascii="宋体" w:hAnsi="宋体" w:cs="宋体"/>
          <w:sz w:val="24"/>
        </w:rPr>
        <w:t>出现影响采购公正的违法违规行为的；</w:t>
      </w:r>
    </w:p>
    <w:p w14:paraId="514FA97E">
      <w:pPr>
        <w:snapToGrid w:val="0"/>
        <w:spacing w:line="460" w:lineRule="exact"/>
        <w:ind w:firstLine="555"/>
        <w:rPr>
          <w:rFonts w:hint="eastAsia" w:ascii="宋体" w:hAnsi="宋体" w:cs="宋体"/>
          <w:sz w:val="24"/>
        </w:rPr>
      </w:pPr>
      <w:r>
        <w:rPr>
          <w:rFonts w:hint="eastAsia" w:ascii="宋体" w:hAnsi="宋体" w:cs="宋体"/>
          <w:sz w:val="24"/>
        </w:rPr>
        <w:t>3.比选人的报价均超过了采购预算，采购人不能支付的；</w:t>
      </w:r>
    </w:p>
    <w:p w14:paraId="299F0D2E">
      <w:pPr>
        <w:snapToGrid w:val="0"/>
        <w:spacing w:line="460" w:lineRule="exact"/>
        <w:ind w:firstLine="555"/>
        <w:rPr>
          <w:rFonts w:hint="eastAsia" w:ascii="宋体" w:hAnsi="宋体" w:cs="宋体"/>
          <w:sz w:val="24"/>
        </w:rPr>
      </w:pPr>
      <w:r>
        <w:rPr>
          <w:rFonts w:hint="eastAsia" w:ascii="宋体" w:hAnsi="宋体" w:cs="宋体"/>
          <w:sz w:val="24"/>
        </w:rPr>
        <w:t>4.因重大变故，采购任务取消的。</w:t>
      </w:r>
    </w:p>
    <w:p w14:paraId="7B3718A1">
      <w:pPr>
        <w:snapToGrid w:val="0"/>
        <w:spacing w:line="460" w:lineRule="exact"/>
        <w:ind w:firstLine="555"/>
        <w:rPr>
          <w:rFonts w:hint="eastAsia" w:ascii="宋体" w:hAnsi="宋体" w:cs="宋体"/>
          <w:sz w:val="24"/>
        </w:rPr>
      </w:pPr>
      <w:r>
        <w:rPr>
          <w:rFonts w:hint="eastAsia" w:ascii="宋体" w:hAnsi="宋体" w:cs="宋体"/>
          <w:sz w:val="24"/>
        </w:rPr>
        <w:t>上述均保留评委会认定可以确定为无效比选或废标的其他情况。</w:t>
      </w:r>
    </w:p>
    <w:p w14:paraId="59FC458B">
      <w:pPr>
        <w:snapToGrid w:val="0"/>
        <w:spacing w:line="460" w:lineRule="exact"/>
        <w:ind w:firstLine="570"/>
        <w:rPr>
          <w:rFonts w:hint="eastAsia" w:ascii="宋体" w:hAnsi="宋体" w:cs="宋体"/>
          <w:b/>
          <w:sz w:val="24"/>
        </w:rPr>
      </w:pPr>
      <w:r>
        <w:rPr>
          <w:rFonts w:hint="eastAsia" w:ascii="宋体" w:hAnsi="宋体" w:cs="宋体"/>
          <w:b/>
          <w:sz w:val="24"/>
        </w:rPr>
        <w:t>六、</w:t>
      </w:r>
      <w:bookmarkStart w:id="12" w:name="评标程序"/>
      <w:r>
        <w:rPr>
          <w:rFonts w:hint="eastAsia" w:ascii="宋体" w:hAnsi="宋体" w:cs="宋体"/>
          <w:b/>
          <w:sz w:val="24"/>
        </w:rPr>
        <w:t>评标程序</w:t>
      </w:r>
    </w:p>
    <w:bookmarkEnd w:id="12"/>
    <w:p w14:paraId="74737392">
      <w:pPr>
        <w:snapToGrid w:val="0"/>
        <w:spacing w:line="460" w:lineRule="exact"/>
        <w:ind w:firstLine="555"/>
        <w:rPr>
          <w:rFonts w:hint="eastAsia" w:ascii="宋体" w:hAnsi="宋体" w:cs="宋体"/>
          <w:b/>
          <w:sz w:val="24"/>
        </w:rPr>
      </w:pPr>
      <w:r>
        <w:rPr>
          <w:rFonts w:hint="eastAsia" w:ascii="宋体" w:hAnsi="宋体" w:cs="宋体"/>
          <w:b/>
          <w:sz w:val="24"/>
        </w:rPr>
        <w:t>资格审查→价格标评审→确定中标候选人</w:t>
      </w:r>
    </w:p>
    <w:p w14:paraId="3F2EAE36">
      <w:pPr>
        <w:pStyle w:val="2"/>
        <w:ind w:firstLine="482" w:firstLineChars="200"/>
        <w:rPr>
          <w:rFonts w:hint="eastAsia"/>
        </w:rPr>
      </w:pPr>
      <w:r>
        <w:rPr>
          <w:rFonts w:hint="eastAsia" w:ascii="宋体" w:cs="Calibri"/>
          <w:b/>
          <w:bCs w:val="0"/>
          <w:color w:val="auto"/>
          <w:sz w:val="24"/>
          <w:highlight w:val="none"/>
          <w:u w:val="single"/>
          <w:lang w:val="en-US" w:eastAsia="zh-CN"/>
        </w:rPr>
        <w:t>投标当天若有效投标单位不足三家时，开标活动继续进行，以判方式确定中标单位。</w:t>
      </w:r>
    </w:p>
    <w:p w14:paraId="2ADC5A6A">
      <w:pPr>
        <w:snapToGrid w:val="0"/>
        <w:spacing w:line="460" w:lineRule="exact"/>
        <w:ind w:firstLine="555"/>
        <w:rPr>
          <w:rFonts w:ascii="宋体" w:hAnsi="宋体" w:cs="宋体"/>
          <w:b/>
          <w:sz w:val="24"/>
        </w:rPr>
      </w:pPr>
      <w:r>
        <w:rPr>
          <w:rFonts w:hint="eastAsia" w:ascii="宋体" w:hAnsi="宋体" w:cs="宋体"/>
          <w:b/>
          <w:sz w:val="24"/>
        </w:rPr>
        <w:t>七、资格审查</w:t>
      </w:r>
    </w:p>
    <w:p w14:paraId="266CD361">
      <w:pPr>
        <w:spacing w:line="360" w:lineRule="auto"/>
        <w:ind w:firstLine="480" w:firstLineChars="200"/>
        <w:rPr>
          <w:rFonts w:ascii="宋体" w:hAnsi="宋体" w:cs="宋体"/>
          <w:sz w:val="24"/>
        </w:rPr>
      </w:pPr>
      <w:r>
        <w:rPr>
          <w:rFonts w:hint="eastAsia" w:ascii="宋体" w:hAnsi="宋体" w:cs="宋体"/>
          <w:sz w:val="24"/>
        </w:rPr>
        <w:t>1、采购人将委托评委会对各供应商的资格进行审查，审查通过方可参与项目价格审查。</w:t>
      </w:r>
    </w:p>
    <w:p w14:paraId="0B4B3BE2">
      <w:pPr>
        <w:spacing w:line="360" w:lineRule="auto"/>
        <w:ind w:firstLine="480" w:firstLineChars="200"/>
        <w:rPr>
          <w:rFonts w:ascii="宋体" w:hAnsi="宋体" w:cs="宋体"/>
          <w:sz w:val="24"/>
        </w:rPr>
      </w:pPr>
      <w:r>
        <w:rPr>
          <w:rFonts w:hint="eastAsia" w:ascii="宋体" w:hAnsi="宋体" w:cs="宋体"/>
          <w:sz w:val="24"/>
        </w:rPr>
        <w:t>2、资格审查合格的供应商进入价格标评审。</w:t>
      </w:r>
    </w:p>
    <w:p w14:paraId="35EEE5DE">
      <w:pPr>
        <w:adjustRightInd w:val="0"/>
        <w:snapToGrid w:val="0"/>
        <w:spacing w:line="400" w:lineRule="exact"/>
        <w:ind w:firstLine="484" w:firstLineChars="202"/>
        <w:rPr>
          <w:rFonts w:ascii="宋体" w:hAnsi="宋体" w:cs="宋体"/>
          <w:sz w:val="24"/>
        </w:rPr>
      </w:pPr>
      <w:r>
        <w:rPr>
          <w:rFonts w:hint="eastAsia" w:ascii="宋体" w:hAnsi="宋体" w:cs="宋体"/>
          <w:sz w:val="24"/>
        </w:rPr>
        <w:t>3、</w:t>
      </w:r>
      <w:bookmarkStart w:id="13" w:name="资格审查标准"/>
      <w:r>
        <w:rPr>
          <w:rFonts w:hint="eastAsia" w:ascii="宋体" w:hAnsi="宋体" w:cs="宋体"/>
          <w:sz w:val="24"/>
        </w:rPr>
        <w:t>资格审查标准</w:t>
      </w:r>
      <w:bookmarkEnd w:id="13"/>
      <w:r>
        <w:rPr>
          <w:rFonts w:hint="eastAsia" w:ascii="宋体" w:hAnsi="宋体" w:cs="宋体"/>
          <w:sz w:val="24"/>
        </w:rPr>
        <w:t>：</w:t>
      </w:r>
    </w:p>
    <w:tbl>
      <w:tblPr>
        <w:tblStyle w:val="14"/>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6606"/>
        <w:gridCol w:w="2324"/>
      </w:tblGrid>
      <w:tr w14:paraId="25313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blHeader/>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327F46B5">
            <w:pPr>
              <w:spacing w:line="400" w:lineRule="exact"/>
              <w:jc w:val="center"/>
              <w:rPr>
                <w:rFonts w:ascii="宋体" w:cs="宋体"/>
                <w:sz w:val="24"/>
              </w:rPr>
            </w:pPr>
            <w:r>
              <w:rPr>
                <w:rFonts w:hint="eastAsia" w:ascii="宋体" w:cs="宋体"/>
                <w:sz w:val="24"/>
              </w:rPr>
              <w:t>序号</w:t>
            </w:r>
          </w:p>
        </w:tc>
        <w:tc>
          <w:tcPr>
            <w:tcW w:w="6606" w:type="dxa"/>
            <w:tcBorders>
              <w:top w:val="single" w:color="auto" w:sz="4" w:space="0"/>
              <w:left w:val="single" w:color="auto" w:sz="4" w:space="0"/>
              <w:bottom w:val="single" w:color="auto" w:sz="4" w:space="0"/>
              <w:right w:val="single" w:color="auto" w:sz="4" w:space="0"/>
            </w:tcBorders>
            <w:noWrap/>
            <w:vAlign w:val="center"/>
          </w:tcPr>
          <w:p w14:paraId="6C157EA8">
            <w:pPr>
              <w:spacing w:line="400" w:lineRule="exact"/>
              <w:jc w:val="center"/>
              <w:rPr>
                <w:rFonts w:ascii="宋体" w:cs="宋体"/>
                <w:sz w:val="24"/>
              </w:rPr>
            </w:pPr>
            <w:r>
              <w:rPr>
                <w:rFonts w:hint="eastAsia" w:ascii="宋体" w:cs="宋体"/>
                <w:sz w:val="24"/>
              </w:rPr>
              <w:t>资格后审材料文件清单</w:t>
            </w:r>
          </w:p>
        </w:tc>
        <w:tc>
          <w:tcPr>
            <w:tcW w:w="2324" w:type="dxa"/>
            <w:tcBorders>
              <w:top w:val="single" w:color="auto" w:sz="4" w:space="0"/>
              <w:left w:val="single" w:color="auto" w:sz="4" w:space="0"/>
              <w:bottom w:val="single" w:color="auto" w:sz="4" w:space="0"/>
              <w:right w:val="single" w:color="auto" w:sz="4" w:space="0"/>
            </w:tcBorders>
            <w:noWrap/>
            <w:vAlign w:val="center"/>
          </w:tcPr>
          <w:p w14:paraId="45FCDF1E">
            <w:pPr>
              <w:spacing w:line="400" w:lineRule="exact"/>
              <w:jc w:val="center"/>
              <w:rPr>
                <w:rFonts w:ascii="宋体" w:cs="宋体"/>
                <w:sz w:val="24"/>
              </w:rPr>
            </w:pPr>
            <w:r>
              <w:rPr>
                <w:rFonts w:hint="eastAsia" w:ascii="宋体" w:cs="宋体"/>
                <w:sz w:val="24"/>
              </w:rPr>
              <w:t>标准：唯一性判断条件是与否（在对应的括号内打勾）</w:t>
            </w:r>
          </w:p>
        </w:tc>
      </w:tr>
      <w:tr w14:paraId="4BE68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6C06220A">
            <w:pPr>
              <w:spacing w:line="400" w:lineRule="exact"/>
              <w:jc w:val="center"/>
              <w:rPr>
                <w:rFonts w:ascii="宋体" w:cs="宋体"/>
                <w:sz w:val="24"/>
              </w:rPr>
            </w:pPr>
            <w:r>
              <w:rPr>
                <w:rFonts w:hint="eastAsia" w:ascii="宋体" w:cs="宋体"/>
                <w:sz w:val="24"/>
              </w:rPr>
              <w:t>1</w:t>
            </w:r>
          </w:p>
        </w:tc>
        <w:tc>
          <w:tcPr>
            <w:tcW w:w="6606" w:type="dxa"/>
            <w:tcBorders>
              <w:top w:val="single" w:color="auto" w:sz="4" w:space="0"/>
              <w:left w:val="single" w:color="auto" w:sz="4" w:space="0"/>
              <w:bottom w:val="single" w:color="auto" w:sz="4" w:space="0"/>
              <w:right w:val="single" w:color="auto" w:sz="4" w:space="0"/>
            </w:tcBorders>
            <w:noWrap/>
            <w:vAlign w:val="center"/>
          </w:tcPr>
          <w:p w14:paraId="67FC202A">
            <w:pPr>
              <w:snapToGrid w:val="0"/>
              <w:spacing w:line="400" w:lineRule="exact"/>
              <w:jc w:val="left"/>
              <w:rPr>
                <w:rFonts w:ascii="宋体" w:cs="宋体"/>
                <w:kern w:val="0"/>
                <w:sz w:val="24"/>
                <w:lang w:val="zh-CN"/>
              </w:rPr>
            </w:pPr>
            <w:r>
              <w:rPr>
                <w:rFonts w:hint="eastAsia" w:ascii="宋体" w:cs="宋体"/>
                <w:sz w:val="24"/>
                <w:lang w:val="zh-CN"/>
              </w:rPr>
              <w:t>供应商符合资格条件的声明函（</w:t>
            </w:r>
            <w:r>
              <w:rPr>
                <w:rFonts w:hint="eastAsia" w:ascii="宋体" w:cs="宋体"/>
                <w:sz w:val="24"/>
              </w:rPr>
              <w:t>格式见附件）</w:t>
            </w:r>
          </w:p>
        </w:tc>
        <w:tc>
          <w:tcPr>
            <w:tcW w:w="2324" w:type="dxa"/>
            <w:tcBorders>
              <w:top w:val="single" w:color="auto" w:sz="4" w:space="0"/>
              <w:left w:val="single" w:color="auto" w:sz="4" w:space="0"/>
              <w:bottom w:val="single" w:color="auto" w:sz="4" w:space="0"/>
              <w:right w:val="single" w:color="auto" w:sz="4" w:space="0"/>
            </w:tcBorders>
            <w:noWrap/>
            <w:vAlign w:val="center"/>
          </w:tcPr>
          <w:p w14:paraId="5F8F6A16">
            <w:pPr>
              <w:spacing w:line="400" w:lineRule="exact"/>
              <w:jc w:val="center"/>
              <w:rPr>
                <w:rFonts w:ascii="宋体" w:cs="宋体"/>
                <w:sz w:val="24"/>
              </w:rPr>
            </w:pPr>
            <w:r>
              <w:rPr>
                <w:rFonts w:hint="eastAsia" w:ascii="宋体" w:cs="宋体"/>
                <w:sz w:val="24"/>
              </w:rPr>
              <w:t>是（）否（）</w:t>
            </w:r>
          </w:p>
        </w:tc>
      </w:tr>
      <w:tr w14:paraId="5D541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2CC850B7">
            <w:pPr>
              <w:spacing w:line="400" w:lineRule="exact"/>
              <w:jc w:val="center"/>
              <w:rPr>
                <w:rFonts w:ascii="宋体" w:cs="宋体"/>
                <w:sz w:val="24"/>
              </w:rPr>
            </w:pPr>
            <w:r>
              <w:rPr>
                <w:rFonts w:hint="eastAsia" w:ascii="宋体" w:cs="宋体"/>
                <w:sz w:val="24"/>
              </w:rPr>
              <w:t>2</w:t>
            </w:r>
          </w:p>
        </w:tc>
        <w:tc>
          <w:tcPr>
            <w:tcW w:w="6606" w:type="dxa"/>
            <w:tcBorders>
              <w:top w:val="single" w:color="auto" w:sz="4" w:space="0"/>
              <w:left w:val="single" w:color="auto" w:sz="4" w:space="0"/>
              <w:bottom w:val="single" w:color="auto" w:sz="4" w:space="0"/>
              <w:right w:val="single" w:color="auto" w:sz="4" w:space="0"/>
            </w:tcBorders>
            <w:noWrap/>
            <w:vAlign w:val="center"/>
          </w:tcPr>
          <w:p w14:paraId="06EB3E5F">
            <w:pPr>
              <w:snapToGrid w:val="0"/>
              <w:spacing w:line="400" w:lineRule="exact"/>
              <w:jc w:val="left"/>
              <w:rPr>
                <w:rFonts w:ascii="宋体" w:cs="宋体"/>
                <w:kern w:val="0"/>
                <w:sz w:val="24"/>
                <w:lang w:val="zh-CN"/>
              </w:rPr>
            </w:pPr>
            <w:r>
              <w:rPr>
                <w:rFonts w:hint="eastAsia" w:ascii="宋体" w:cs="仿宋_GB2312"/>
                <w:sz w:val="24"/>
              </w:rPr>
              <w:t>提供投标供应商的营业执照副本复印件加盖公章</w:t>
            </w:r>
            <w:r>
              <w:rPr>
                <w:rFonts w:ascii="宋体" w:cs="宋体"/>
                <w:kern w:val="0"/>
                <w:sz w:val="24"/>
                <w:lang w:val="zh-CN"/>
              </w:rPr>
              <w:t xml:space="preserve"> </w:t>
            </w:r>
          </w:p>
        </w:tc>
        <w:tc>
          <w:tcPr>
            <w:tcW w:w="2324" w:type="dxa"/>
            <w:tcBorders>
              <w:top w:val="single" w:color="auto" w:sz="4" w:space="0"/>
              <w:left w:val="single" w:color="auto" w:sz="4" w:space="0"/>
              <w:bottom w:val="single" w:color="auto" w:sz="4" w:space="0"/>
              <w:right w:val="single" w:color="auto" w:sz="4" w:space="0"/>
            </w:tcBorders>
            <w:noWrap/>
            <w:vAlign w:val="center"/>
          </w:tcPr>
          <w:p w14:paraId="7775CDB5">
            <w:pPr>
              <w:spacing w:line="400" w:lineRule="exact"/>
              <w:jc w:val="center"/>
              <w:rPr>
                <w:rFonts w:ascii="宋体" w:cs="宋体"/>
                <w:sz w:val="24"/>
              </w:rPr>
            </w:pPr>
            <w:r>
              <w:rPr>
                <w:rFonts w:hint="eastAsia" w:ascii="宋体" w:cs="宋体"/>
                <w:sz w:val="24"/>
              </w:rPr>
              <w:t>是（）否（）</w:t>
            </w:r>
          </w:p>
        </w:tc>
      </w:tr>
      <w:tr w14:paraId="43172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0BCD562B">
            <w:pPr>
              <w:spacing w:line="400" w:lineRule="exact"/>
              <w:jc w:val="center"/>
              <w:rPr>
                <w:rFonts w:ascii="宋体" w:cs="宋体"/>
                <w:sz w:val="24"/>
              </w:rPr>
            </w:pPr>
            <w:r>
              <w:rPr>
                <w:rFonts w:hint="eastAsia" w:ascii="宋体" w:cs="宋体"/>
                <w:sz w:val="24"/>
              </w:rPr>
              <w:t>3</w:t>
            </w:r>
          </w:p>
        </w:tc>
        <w:tc>
          <w:tcPr>
            <w:tcW w:w="6606" w:type="dxa"/>
            <w:tcBorders>
              <w:top w:val="single" w:color="auto" w:sz="4" w:space="0"/>
              <w:left w:val="single" w:color="auto" w:sz="4" w:space="0"/>
              <w:bottom w:val="single" w:color="auto" w:sz="4" w:space="0"/>
              <w:right w:val="single" w:color="auto" w:sz="4" w:space="0"/>
            </w:tcBorders>
            <w:noWrap/>
            <w:vAlign w:val="center"/>
          </w:tcPr>
          <w:p w14:paraId="79605C73">
            <w:pPr>
              <w:snapToGrid w:val="0"/>
              <w:spacing w:line="400" w:lineRule="exact"/>
              <w:rPr>
                <w:rFonts w:ascii="宋体" w:cs="宋体"/>
                <w:kern w:val="0"/>
                <w:sz w:val="24"/>
                <w:lang w:val="zh-CN"/>
              </w:rPr>
            </w:pPr>
            <w:r>
              <w:rPr>
                <w:rFonts w:hint="eastAsia" w:ascii="宋体" w:cs="仿宋_GB2312"/>
                <w:sz w:val="24"/>
              </w:rPr>
              <w:t>法定代表人参加投标的，提供法定代表人身份证明及本人身份证复印件加盖公章；非法定代表人参加的，提供法定代表人授权委托书、被授权人身份证复印件</w:t>
            </w:r>
            <w:r>
              <w:rPr>
                <w:rFonts w:hint="eastAsia" w:ascii="宋体" w:cs="宋体"/>
                <w:sz w:val="24"/>
                <w:lang w:val="zh-CN"/>
              </w:rPr>
              <w:t>及被授权人在该</w:t>
            </w:r>
            <w:r>
              <w:rPr>
                <w:rFonts w:hint="eastAsia" w:ascii="宋体" w:cs="宋体"/>
                <w:color w:val="auto"/>
                <w:sz w:val="24"/>
                <w:lang w:val="zh-CN"/>
              </w:rPr>
              <w:t>单位2025年10月-2025年12月</w:t>
            </w:r>
            <w:r>
              <w:rPr>
                <w:rFonts w:hint="eastAsia" w:ascii="宋体" w:cs="宋体"/>
                <w:color w:val="auto"/>
                <w:sz w:val="24"/>
              </w:rPr>
              <w:t>任</w:t>
            </w:r>
            <w:r>
              <w:rPr>
                <w:rFonts w:hint="eastAsia" w:ascii="宋体" w:cs="宋体"/>
                <w:sz w:val="24"/>
              </w:rPr>
              <w:t>意一个月</w:t>
            </w:r>
            <w:r>
              <w:rPr>
                <w:rFonts w:hint="eastAsia" w:ascii="宋体" w:cs="宋体"/>
                <w:sz w:val="24"/>
                <w:lang w:val="zh-CN"/>
              </w:rPr>
              <w:t>的社保证明复印件加盖公章（</w:t>
            </w:r>
            <w:r>
              <w:rPr>
                <w:rFonts w:hint="eastAsia" w:ascii="宋体" w:cs="宋体"/>
                <w:sz w:val="24"/>
              </w:rPr>
              <w:t>格式见附件）</w:t>
            </w:r>
          </w:p>
        </w:tc>
        <w:tc>
          <w:tcPr>
            <w:tcW w:w="2324" w:type="dxa"/>
            <w:tcBorders>
              <w:top w:val="single" w:color="auto" w:sz="4" w:space="0"/>
              <w:left w:val="single" w:color="auto" w:sz="4" w:space="0"/>
              <w:bottom w:val="single" w:color="auto" w:sz="4" w:space="0"/>
              <w:right w:val="single" w:color="auto" w:sz="4" w:space="0"/>
            </w:tcBorders>
            <w:noWrap/>
            <w:vAlign w:val="center"/>
          </w:tcPr>
          <w:p w14:paraId="7C0F75C6">
            <w:pPr>
              <w:spacing w:line="400" w:lineRule="exact"/>
              <w:jc w:val="center"/>
              <w:rPr>
                <w:rFonts w:ascii="宋体" w:cs="宋体"/>
                <w:sz w:val="24"/>
              </w:rPr>
            </w:pPr>
            <w:r>
              <w:rPr>
                <w:rFonts w:hint="eastAsia" w:ascii="宋体" w:cs="宋体"/>
                <w:sz w:val="24"/>
              </w:rPr>
              <w:t>是（）否（）</w:t>
            </w:r>
          </w:p>
        </w:tc>
      </w:tr>
      <w:tr w14:paraId="0DEBC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27C2E840">
            <w:pPr>
              <w:spacing w:line="400" w:lineRule="exact"/>
              <w:jc w:val="center"/>
              <w:rPr>
                <w:rFonts w:ascii="宋体" w:cs="宋体"/>
                <w:sz w:val="24"/>
              </w:rPr>
            </w:pPr>
            <w:r>
              <w:rPr>
                <w:rFonts w:hint="eastAsia" w:ascii="宋体" w:cs="宋体"/>
                <w:sz w:val="24"/>
              </w:rPr>
              <w:t>4</w:t>
            </w:r>
          </w:p>
        </w:tc>
        <w:tc>
          <w:tcPr>
            <w:tcW w:w="6606" w:type="dxa"/>
            <w:tcBorders>
              <w:top w:val="single" w:color="auto" w:sz="4" w:space="0"/>
              <w:left w:val="single" w:color="auto" w:sz="4" w:space="0"/>
              <w:bottom w:val="single" w:color="auto" w:sz="4" w:space="0"/>
              <w:right w:val="single" w:color="auto" w:sz="4" w:space="0"/>
            </w:tcBorders>
            <w:noWrap/>
            <w:vAlign w:val="center"/>
          </w:tcPr>
          <w:p w14:paraId="4DA01843">
            <w:pPr>
              <w:widowControl/>
              <w:spacing w:line="400" w:lineRule="exact"/>
              <w:contextualSpacing/>
              <w:jc w:val="left"/>
              <w:rPr>
                <w:rFonts w:ascii="宋体" w:hAnsi="宋体"/>
                <w:sz w:val="24"/>
              </w:rPr>
            </w:pPr>
            <w:r>
              <w:rPr>
                <w:rFonts w:hint="eastAsia" w:ascii="宋体" w:hAnsi="宋体"/>
                <w:sz w:val="24"/>
              </w:rPr>
              <w:t>未被“信用中国”网站（www.creditchina.gov.cn）列入失信被执行人、重大税收违法案件当事人名单、政府采购严重失信行为记录名单</w:t>
            </w:r>
          </w:p>
        </w:tc>
        <w:tc>
          <w:tcPr>
            <w:tcW w:w="2324" w:type="dxa"/>
            <w:tcBorders>
              <w:top w:val="single" w:color="auto" w:sz="4" w:space="0"/>
              <w:left w:val="single" w:color="auto" w:sz="4" w:space="0"/>
              <w:bottom w:val="single" w:color="auto" w:sz="4" w:space="0"/>
              <w:right w:val="single" w:color="auto" w:sz="4" w:space="0"/>
            </w:tcBorders>
            <w:noWrap/>
            <w:vAlign w:val="center"/>
          </w:tcPr>
          <w:p w14:paraId="374F54EE">
            <w:pPr>
              <w:spacing w:line="400" w:lineRule="exact"/>
              <w:jc w:val="center"/>
              <w:rPr>
                <w:rFonts w:ascii="宋体" w:cs="宋体"/>
                <w:sz w:val="24"/>
              </w:rPr>
            </w:pPr>
            <w:r>
              <w:rPr>
                <w:rFonts w:hint="eastAsia" w:ascii="宋体" w:cs="宋体"/>
                <w:sz w:val="24"/>
              </w:rPr>
              <w:t>是（）否（）</w:t>
            </w:r>
          </w:p>
        </w:tc>
      </w:tr>
      <w:tr w14:paraId="0BACF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637AC486">
            <w:pPr>
              <w:spacing w:line="400" w:lineRule="exact"/>
              <w:jc w:val="center"/>
              <w:rPr>
                <w:rFonts w:ascii="宋体" w:cs="宋体"/>
                <w:sz w:val="24"/>
              </w:rPr>
            </w:pPr>
            <w:r>
              <w:rPr>
                <w:rFonts w:hint="eastAsia" w:ascii="宋体" w:cs="宋体"/>
                <w:sz w:val="24"/>
              </w:rPr>
              <w:t>5</w:t>
            </w:r>
          </w:p>
        </w:tc>
        <w:tc>
          <w:tcPr>
            <w:tcW w:w="6606" w:type="dxa"/>
            <w:tcBorders>
              <w:top w:val="single" w:color="auto" w:sz="4" w:space="0"/>
              <w:left w:val="single" w:color="auto" w:sz="4" w:space="0"/>
              <w:bottom w:val="single" w:color="auto" w:sz="4" w:space="0"/>
              <w:right w:val="single" w:color="auto" w:sz="4" w:space="0"/>
            </w:tcBorders>
            <w:noWrap/>
            <w:vAlign w:val="center"/>
          </w:tcPr>
          <w:p w14:paraId="2762F247">
            <w:pPr>
              <w:spacing w:line="480" w:lineRule="exact"/>
              <w:rPr>
                <w:rFonts w:ascii="宋体" w:hAnsi="宋体" w:cs="宋体"/>
                <w:sz w:val="24"/>
              </w:rPr>
            </w:pPr>
            <w:r>
              <w:rPr>
                <w:rFonts w:hint="eastAsia" w:ascii="宋体" w:hAnsi="宋体" w:cs="宋体"/>
                <w:sz w:val="24"/>
              </w:rPr>
              <w:t>供应商应具有出具相应证书的能力（证书形式见项目明细表）：具有中国合格评定国家认可委员会（CNAS）的实验室认可有效证书，具备计量校准证书出具资质；并可针对明细表内检定项目，规范出具相应检定证书；（须提供有效资质证书的复印件或扫描件）</w:t>
            </w:r>
          </w:p>
        </w:tc>
        <w:tc>
          <w:tcPr>
            <w:tcW w:w="2324" w:type="dxa"/>
            <w:tcBorders>
              <w:top w:val="single" w:color="auto" w:sz="4" w:space="0"/>
              <w:left w:val="single" w:color="auto" w:sz="4" w:space="0"/>
              <w:bottom w:val="single" w:color="auto" w:sz="4" w:space="0"/>
              <w:right w:val="single" w:color="auto" w:sz="4" w:space="0"/>
            </w:tcBorders>
            <w:noWrap/>
            <w:vAlign w:val="center"/>
          </w:tcPr>
          <w:p w14:paraId="6899FD66">
            <w:pPr>
              <w:spacing w:line="400" w:lineRule="exact"/>
              <w:jc w:val="center"/>
              <w:rPr>
                <w:rFonts w:ascii="宋体" w:cs="宋体"/>
                <w:sz w:val="24"/>
              </w:rPr>
            </w:pPr>
            <w:r>
              <w:rPr>
                <w:rFonts w:hint="eastAsia" w:ascii="宋体" w:cs="宋体"/>
                <w:sz w:val="24"/>
              </w:rPr>
              <w:t>是（）否（）</w:t>
            </w:r>
          </w:p>
        </w:tc>
      </w:tr>
      <w:tr w14:paraId="73557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7474AD30">
            <w:pPr>
              <w:spacing w:line="400" w:lineRule="exact"/>
              <w:jc w:val="center"/>
              <w:rPr>
                <w:rFonts w:ascii="宋体" w:cs="宋体"/>
                <w:sz w:val="24"/>
              </w:rPr>
            </w:pPr>
            <w:r>
              <w:rPr>
                <w:rFonts w:hint="eastAsia" w:ascii="宋体" w:cs="宋体"/>
                <w:sz w:val="24"/>
              </w:rPr>
              <w:t>6</w:t>
            </w:r>
          </w:p>
        </w:tc>
        <w:tc>
          <w:tcPr>
            <w:tcW w:w="6606" w:type="dxa"/>
            <w:tcBorders>
              <w:top w:val="single" w:color="auto" w:sz="4" w:space="0"/>
              <w:left w:val="single" w:color="auto" w:sz="4" w:space="0"/>
              <w:bottom w:val="single" w:color="auto" w:sz="4" w:space="0"/>
              <w:right w:val="single" w:color="auto" w:sz="4" w:space="0"/>
            </w:tcBorders>
            <w:noWrap/>
            <w:vAlign w:val="center"/>
          </w:tcPr>
          <w:p w14:paraId="75B86379">
            <w:pPr>
              <w:spacing w:line="400" w:lineRule="exact"/>
              <w:jc w:val="left"/>
              <w:rPr>
                <w:rFonts w:hint="eastAsia" w:ascii="宋体" w:cs="宋体"/>
                <w:sz w:val="24"/>
                <w:lang w:val="zh-CN"/>
              </w:rPr>
            </w:pPr>
            <w:r>
              <w:rPr>
                <w:rFonts w:hint="eastAsia" w:ascii="宋体" w:cs="宋体"/>
                <w:sz w:val="24"/>
                <w:lang w:val="zh-CN"/>
              </w:rPr>
              <w:t>无重大违法记录声明（格式见附件）</w:t>
            </w:r>
          </w:p>
        </w:tc>
        <w:tc>
          <w:tcPr>
            <w:tcW w:w="2324" w:type="dxa"/>
            <w:tcBorders>
              <w:top w:val="single" w:color="auto" w:sz="4" w:space="0"/>
              <w:left w:val="single" w:color="auto" w:sz="4" w:space="0"/>
              <w:bottom w:val="single" w:color="auto" w:sz="4" w:space="0"/>
              <w:right w:val="single" w:color="auto" w:sz="4" w:space="0"/>
            </w:tcBorders>
            <w:noWrap/>
            <w:vAlign w:val="center"/>
          </w:tcPr>
          <w:p w14:paraId="094997EB">
            <w:pPr>
              <w:spacing w:line="400" w:lineRule="exact"/>
              <w:jc w:val="center"/>
              <w:rPr>
                <w:rFonts w:hint="eastAsia" w:ascii="宋体" w:cs="宋体"/>
                <w:sz w:val="24"/>
              </w:rPr>
            </w:pPr>
            <w:r>
              <w:rPr>
                <w:rFonts w:hint="eastAsia" w:ascii="宋体" w:cs="宋体"/>
                <w:sz w:val="24"/>
              </w:rPr>
              <w:t>是（）否（）</w:t>
            </w:r>
          </w:p>
        </w:tc>
      </w:tr>
      <w:tr w14:paraId="49FDC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0443BFE6">
            <w:pPr>
              <w:spacing w:line="400" w:lineRule="exact"/>
              <w:jc w:val="center"/>
              <w:rPr>
                <w:rFonts w:hint="eastAsia" w:ascii="宋体" w:cs="宋体"/>
                <w:sz w:val="24"/>
              </w:rPr>
            </w:pPr>
            <w:r>
              <w:rPr>
                <w:rFonts w:hint="eastAsia" w:ascii="宋体" w:cs="宋体"/>
                <w:sz w:val="24"/>
              </w:rPr>
              <w:t>7</w:t>
            </w:r>
          </w:p>
        </w:tc>
        <w:tc>
          <w:tcPr>
            <w:tcW w:w="6606" w:type="dxa"/>
            <w:tcBorders>
              <w:top w:val="single" w:color="auto" w:sz="4" w:space="0"/>
              <w:left w:val="single" w:color="auto" w:sz="4" w:space="0"/>
              <w:bottom w:val="single" w:color="auto" w:sz="4" w:space="0"/>
              <w:right w:val="single" w:color="auto" w:sz="4" w:space="0"/>
            </w:tcBorders>
            <w:noWrap/>
            <w:vAlign w:val="center"/>
          </w:tcPr>
          <w:p w14:paraId="3BC6A349">
            <w:pPr>
              <w:spacing w:line="400" w:lineRule="exact"/>
              <w:jc w:val="left"/>
              <w:rPr>
                <w:rFonts w:hint="eastAsia" w:ascii="宋体" w:cs="宋体"/>
                <w:kern w:val="0"/>
                <w:sz w:val="24"/>
                <w:lang w:val="zh-CN"/>
              </w:rPr>
            </w:pPr>
            <w:r>
              <w:rPr>
                <w:rFonts w:hint="eastAsia" w:ascii="宋体" w:cs="宋体"/>
                <w:sz w:val="24"/>
                <w:lang w:val="zh-CN"/>
              </w:rPr>
              <w:t>投标及履约承诺书（</w:t>
            </w:r>
            <w:r>
              <w:rPr>
                <w:rFonts w:hint="eastAsia" w:ascii="宋体" w:cs="宋体"/>
                <w:sz w:val="24"/>
              </w:rPr>
              <w:t>格式见附件）</w:t>
            </w:r>
          </w:p>
        </w:tc>
        <w:tc>
          <w:tcPr>
            <w:tcW w:w="2324" w:type="dxa"/>
            <w:tcBorders>
              <w:top w:val="single" w:color="auto" w:sz="4" w:space="0"/>
              <w:left w:val="single" w:color="auto" w:sz="4" w:space="0"/>
              <w:bottom w:val="single" w:color="auto" w:sz="4" w:space="0"/>
              <w:right w:val="single" w:color="auto" w:sz="4" w:space="0"/>
            </w:tcBorders>
            <w:noWrap/>
            <w:vAlign w:val="center"/>
          </w:tcPr>
          <w:p w14:paraId="19D81CFA">
            <w:pPr>
              <w:spacing w:line="400" w:lineRule="exact"/>
              <w:jc w:val="center"/>
              <w:rPr>
                <w:rFonts w:hint="eastAsia" w:ascii="宋体" w:cs="宋体"/>
                <w:sz w:val="24"/>
              </w:rPr>
            </w:pPr>
            <w:r>
              <w:rPr>
                <w:rFonts w:hint="eastAsia" w:ascii="宋体" w:cs="宋体"/>
                <w:sz w:val="24"/>
              </w:rPr>
              <w:t>是（）否（）</w:t>
            </w:r>
          </w:p>
        </w:tc>
      </w:tr>
      <w:tr w14:paraId="4CA2F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0539F34C">
            <w:pPr>
              <w:spacing w:line="400" w:lineRule="exact"/>
              <w:jc w:val="center"/>
              <w:rPr>
                <w:rFonts w:hint="eastAsia" w:ascii="宋体" w:cs="宋体"/>
                <w:sz w:val="24"/>
              </w:rPr>
            </w:pPr>
            <w:r>
              <w:rPr>
                <w:rFonts w:hint="eastAsia" w:ascii="宋体" w:cs="宋体"/>
                <w:sz w:val="24"/>
              </w:rPr>
              <w:t>8</w:t>
            </w:r>
          </w:p>
        </w:tc>
        <w:tc>
          <w:tcPr>
            <w:tcW w:w="6606" w:type="dxa"/>
            <w:tcBorders>
              <w:top w:val="single" w:color="auto" w:sz="4" w:space="0"/>
              <w:left w:val="single" w:color="auto" w:sz="4" w:space="0"/>
              <w:bottom w:val="single" w:color="auto" w:sz="4" w:space="0"/>
              <w:right w:val="single" w:color="auto" w:sz="4" w:space="0"/>
            </w:tcBorders>
            <w:noWrap/>
            <w:vAlign w:val="center"/>
          </w:tcPr>
          <w:p w14:paraId="7B4ABE2F">
            <w:pPr>
              <w:spacing w:line="400" w:lineRule="exact"/>
              <w:jc w:val="left"/>
              <w:rPr>
                <w:rFonts w:hint="eastAsia" w:ascii="宋体" w:cs="宋体"/>
                <w:sz w:val="24"/>
                <w:lang w:val="zh-CN"/>
              </w:rPr>
            </w:pPr>
            <w:r>
              <w:rPr>
                <w:rFonts w:hint="eastAsia" w:ascii="宋体" w:hAnsi="宋体" w:cs="宋体"/>
                <w:sz w:val="24"/>
              </w:rPr>
              <w:t>投标供应商与其他单位存在控股、管理关系情况表</w:t>
            </w:r>
            <w:r>
              <w:rPr>
                <w:rFonts w:hint="eastAsia" w:ascii="宋体" w:hAnsi="宋体" w:cs="宋体"/>
                <w:sz w:val="24"/>
                <w:lang w:val="zh-CN"/>
              </w:rPr>
              <w:t>（</w:t>
            </w:r>
            <w:r>
              <w:rPr>
                <w:rFonts w:hint="eastAsia" w:ascii="宋体" w:hAnsi="宋体" w:cs="宋体"/>
                <w:sz w:val="24"/>
              </w:rPr>
              <w:t>格式详见</w:t>
            </w:r>
            <w:r>
              <w:rPr>
                <w:rFonts w:hint="eastAsia" w:ascii="宋体" w:cs="宋体"/>
                <w:sz w:val="24"/>
              </w:rPr>
              <w:t>附件</w:t>
            </w:r>
            <w:r>
              <w:rPr>
                <w:rFonts w:hint="eastAsia" w:ascii="宋体" w:hAnsi="宋体" w:cs="宋体"/>
                <w:sz w:val="24"/>
              </w:rPr>
              <w:t>）</w:t>
            </w:r>
          </w:p>
        </w:tc>
        <w:tc>
          <w:tcPr>
            <w:tcW w:w="2324" w:type="dxa"/>
            <w:tcBorders>
              <w:top w:val="single" w:color="auto" w:sz="4" w:space="0"/>
              <w:left w:val="single" w:color="auto" w:sz="4" w:space="0"/>
              <w:bottom w:val="single" w:color="auto" w:sz="4" w:space="0"/>
              <w:right w:val="single" w:color="auto" w:sz="4" w:space="0"/>
            </w:tcBorders>
            <w:noWrap/>
            <w:vAlign w:val="center"/>
          </w:tcPr>
          <w:p w14:paraId="6C23F317">
            <w:pPr>
              <w:spacing w:line="400" w:lineRule="exact"/>
              <w:jc w:val="center"/>
              <w:rPr>
                <w:rFonts w:hint="eastAsia" w:ascii="宋体" w:cs="宋体"/>
                <w:sz w:val="24"/>
              </w:rPr>
            </w:pPr>
            <w:r>
              <w:rPr>
                <w:rFonts w:hint="eastAsia" w:ascii="宋体" w:cs="宋体"/>
                <w:sz w:val="24"/>
              </w:rPr>
              <w:t>是（）否（）</w:t>
            </w:r>
          </w:p>
        </w:tc>
      </w:tr>
    </w:tbl>
    <w:p w14:paraId="302180BC">
      <w:pPr>
        <w:snapToGrid w:val="0"/>
        <w:spacing w:line="360" w:lineRule="auto"/>
        <w:ind w:firstLine="482" w:firstLineChars="200"/>
        <w:outlineLvl w:val="2"/>
        <w:rPr>
          <w:rFonts w:ascii="宋体" w:cs="宋体"/>
          <w:b/>
          <w:sz w:val="24"/>
        </w:rPr>
      </w:pPr>
      <w:r>
        <w:rPr>
          <w:rFonts w:hint="eastAsia" w:ascii="宋体" w:cs="宋体"/>
          <w:b/>
          <w:sz w:val="24"/>
        </w:rPr>
        <w:t>八、评标</w:t>
      </w:r>
    </w:p>
    <w:p w14:paraId="607A111A">
      <w:pPr>
        <w:snapToGrid w:val="0"/>
        <w:spacing w:line="360" w:lineRule="auto"/>
        <w:ind w:firstLine="482" w:firstLineChars="200"/>
        <w:outlineLvl w:val="2"/>
        <w:rPr>
          <w:rFonts w:ascii="宋体" w:cs="宋体"/>
          <w:b/>
          <w:sz w:val="24"/>
        </w:rPr>
      </w:pPr>
      <w:r>
        <w:rPr>
          <w:rFonts w:hint="eastAsia" w:ascii="宋体" w:cs="宋体"/>
          <w:b/>
          <w:sz w:val="24"/>
        </w:rPr>
        <w:t>（一）评标事项</w:t>
      </w:r>
    </w:p>
    <w:p w14:paraId="2AB9AA20">
      <w:pPr>
        <w:snapToGrid w:val="0"/>
        <w:spacing w:line="360" w:lineRule="auto"/>
        <w:ind w:firstLine="480" w:firstLineChars="200"/>
        <w:rPr>
          <w:rFonts w:ascii="宋体" w:cs="宋体"/>
          <w:sz w:val="24"/>
        </w:rPr>
      </w:pPr>
      <w:r>
        <w:rPr>
          <w:rFonts w:hint="eastAsia" w:ascii="宋体" w:cs="宋体"/>
          <w:sz w:val="24"/>
        </w:rPr>
        <w:t>1、评标时间：</w:t>
      </w:r>
      <w:r>
        <w:rPr>
          <w:rFonts w:hint="eastAsia" w:ascii="宋体" w:cs="宋体"/>
          <w:b/>
          <w:sz w:val="24"/>
          <w:u w:val="thick" w:color="FF0000"/>
        </w:rPr>
        <w:t>资格审查通过后当即开始</w:t>
      </w:r>
      <w:r>
        <w:rPr>
          <w:rFonts w:hint="eastAsia" w:ascii="宋体" w:cs="宋体"/>
          <w:sz w:val="24"/>
        </w:rPr>
        <w:t>。</w:t>
      </w:r>
    </w:p>
    <w:p w14:paraId="619AB620">
      <w:pPr>
        <w:adjustRightInd w:val="0"/>
        <w:snapToGrid w:val="0"/>
        <w:spacing w:line="360" w:lineRule="auto"/>
        <w:ind w:firstLine="484" w:firstLineChars="202"/>
        <w:rPr>
          <w:rFonts w:ascii="宋体" w:cs="宋体"/>
          <w:sz w:val="24"/>
        </w:rPr>
      </w:pPr>
      <w:r>
        <w:rPr>
          <w:rFonts w:hint="eastAsia" w:ascii="宋体" w:cs="宋体"/>
          <w:sz w:val="24"/>
        </w:rPr>
        <w:t>2、评委会负责具体的评标事务，并独立履行以下职责：</w:t>
      </w:r>
    </w:p>
    <w:p w14:paraId="71F73753">
      <w:pPr>
        <w:adjustRightInd w:val="0"/>
        <w:snapToGrid w:val="0"/>
        <w:spacing w:line="360" w:lineRule="auto"/>
        <w:ind w:firstLine="484" w:firstLineChars="202"/>
        <w:rPr>
          <w:rFonts w:ascii="宋体" w:cs="宋体"/>
          <w:sz w:val="24"/>
        </w:rPr>
      </w:pPr>
      <w:r>
        <w:rPr>
          <w:rFonts w:hint="eastAsia" w:ascii="宋体" w:cs="宋体"/>
          <w:sz w:val="24"/>
        </w:rPr>
        <w:t>（1）响应文件是否符合采购文件的要求，并做出评价；</w:t>
      </w:r>
    </w:p>
    <w:p w14:paraId="17C05731">
      <w:pPr>
        <w:adjustRightInd w:val="0"/>
        <w:snapToGrid w:val="0"/>
        <w:spacing w:line="360" w:lineRule="auto"/>
        <w:ind w:firstLine="484" w:firstLineChars="202"/>
        <w:rPr>
          <w:rFonts w:ascii="宋体" w:cs="宋体"/>
          <w:sz w:val="24"/>
        </w:rPr>
      </w:pPr>
      <w:r>
        <w:rPr>
          <w:rFonts w:hint="eastAsia" w:ascii="宋体" w:cs="宋体"/>
          <w:sz w:val="24"/>
        </w:rPr>
        <w:t>（2）可以要求供应商对响应文件有关事项做出解释或澄清；</w:t>
      </w:r>
    </w:p>
    <w:p w14:paraId="4C203D93">
      <w:pPr>
        <w:adjustRightInd w:val="0"/>
        <w:snapToGrid w:val="0"/>
        <w:spacing w:line="360" w:lineRule="auto"/>
        <w:ind w:firstLine="484" w:firstLineChars="202"/>
        <w:rPr>
          <w:rFonts w:ascii="宋体" w:cs="宋体"/>
          <w:sz w:val="24"/>
        </w:rPr>
      </w:pPr>
      <w:r>
        <w:rPr>
          <w:rFonts w:hint="eastAsia" w:ascii="宋体" w:cs="宋体"/>
          <w:sz w:val="24"/>
        </w:rPr>
        <w:t>（3）按采购文件载明的方法</w:t>
      </w:r>
      <w:r>
        <w:rPr>
          <w:rFonts w:hint="eastAsia" w:ascii="宋体" w:cs="宋体"/>
          <w:b/>
          <w:sz w:val="24"/>
        </w:rPr>
        <w:t>，</w:t>
      </w:r>
      <w:r>
        <w:rPr>
          <w:rFonts w:hint="eastAsia" w:ascii="宋体" w:cs="宋体"/>
          <w:b/>
          <w:sz w:val="24"/>
          <w:u w:val="thick" w:color="FF0000"/>
        </w:rPr>
        <w:t>报价总价由低到高</w:t>
      </w:r>
      <w:r>
        <w:rPr>
          <w:rFonts w:hint="eastAsia" w:ascii="宋体" w:cs="宋体"/>
          <w:sz w:val="24"/>
        </w:rPr>
        <w:t>按次序排列，推荐排名第一的供应商为本项目成交人；</w:t>
      </w:r>
    </w:p>
    <w:p w14:paraId="51F3CE1A">
      <w:pPr>
        <w:adjustRightInd w:val="0"/>
        <w:snapToGrid w:val="0"/>
        <w:spacing w:line="360" w:lineRule="auto"/>
        <w:ind w:firstLine="484" w:firstLineChars="202"/>
        <w:rPr>
          <w:rFonts w:ascii="宋体" w:cs="宋体"/>
          <w:sz w:val="24"/>
        </w:rPr>
      </w:pPr>
      <w:r>
        <w:rPr>
          <w:rFonts w:hint="eastAsia" w:ascii="宋体" w:cs="宋体"/>
          <w:sz w:val="24"/>
        </w:rPr>
        <w:t>（4）采购活动开始后，直到发出成交通知书并授予成交人合同为止，凡属于评审、澄清、评价和比较响应的所有资料及有关授予合同等的相关信息，都不应向供应商或与评审比较工作无关的其第三方及人员泄露；</w:t>
      </w:r>
    </w:p>
    <w:p w14:paraId="02D0BFA0">
      <w:pPr>
        <w:adjustRightInd w:val="0"/>
        <w:snapToGrid w:val="0"/>
        <w:spacing w:line="360" w:lineRule="auto"/>
        <w:ind w:firstLine="484" w:firstLineChars="202"/>
        <w:rPr>
          <w:rFonts w:ascii="宋体" w:cs="宋体"/>
          <w:sz w:val="24"/>
        </w:rPr>
      </w:pPr>
      <w:r>
        <w:rPr>
          <w:rFonts w:hint="eastAsia" w:ascii="宋体" w:cs="宋体"/>
          <w:sz w:val="24"/>
        </w:rPr>
        <w:t>（5）在响应文件的评审、澄清、评价和比较以及最终授予合同的过程中，供应商对采购单位和评委会成员有施加影响的任何行为，都将取消其可能的成交资格。</w:t>
      </w:r>
    </w:p>
    <w:p w14:paraId="77DCC195">
      <w:pPr>
        <w:adjustRightInd w:val="0"/>
        <w:snapToGrid w:val="0"/>
        <w:spacing w:line="360" w:lineRule="auto"/>
        <w:ind w:firstLine="484" w:firstLineChars="202"/>
        <w:rPr>
          <w:rFonts w:ascii="宋体" w:cs="宋体"/>
          <w:sz w:val="24"/>
        </w:rPr>
      </w:pPr>
      <w:r>
        <w:rPr>
          <w:rFonts w:hint="eastAsia" w:ascii="宋体" w:cs="宋体"/>
          <w:sz w:val="24"/>
        </w:rPr>
        <w:t>3、评委会成员应当履行下列义务：</w:t>
      </w:r>
    </w:p>
    <w:p w14:paraId="3016E22F">
      <w:pPr>
        <w:adjustRightInd w:val="0"/>
        <w:snapToGrid w:val="0"/>
        <w:spacing w:line="360" w:lineRule="auto"/>
        <w:ind w:firstLine="484" w:firstLineChars="202"/>
        <w:rPr>
          <w:rFonts w:ascii="宋体" w:cs="宋体"/>
          <w:sz w:val="24"/>
        </w:rPr>
      </w:pPr>
      <w:r>
        <w:rPr>
          <w:rFonts w:hint="eastAsia" w:ascii="宋体" w:cs="宋体"/>
          <w:sz w:val="24"/>
        </w:rPr>
        <w:t>（1）遵纪守法，客观、公正、廉洁地履行职责；</w:t>
      </w:r>
    </w:p>
    <w:p w14:paraId="255D843E">
      <w:pPr>
        <w:adjustRightInd w:val="0"/>
        <w:snapToGrid w:val="0"/>
        <w:spacing w:line="360" w:lineRule="auto"/>
        <w:ind w:firstLine="484" w:firstLineChars="202"/>
        <w:rPr>
          <w:rFonts w:ascii="宋体" w:cs="宋体"/>
          <w:sz w:val="24"/>
        </w:rPr>
      </w:pPr>
      <w:r>
        <w:rPr>
          <w:rFonts w:hint="eastAsia" w:ascii="宋体" w:cs="宋体"/>
          <w:sz w:val="24"/>
        </w:rPr>
        <w:t>（2）按照采购文件规定的方法进行，对评审与比较的意见承担个人责任；</w:t>
      </w:r>
    </w:p>
    <w:p w14:paraId="487C8C63">
      <w:pPr>
        <w:adjustRightInd w:val="0"/>
        <w:snapToGrid w:val="0"/>
        <w:spacing w:line="360" w:lineRule="auto"/>
        <w:ind w:firstLine="484" w:firstLineChars="202"/>
        <w:rPr>
          <w:rFonts w:ascii="宋体" w:cs="宋体"/>
          <w:sz w:val="24"/>
        </w:rPr>
      </w:pPr>
      <w:r>
        <w:rPr>
          <w:rFonts w:hint="eastAsia" w:ascii="宋体" w:cs="宋体"/>
          <w:sz w:val="24"/>
        </w:rPr>
        <w:t>（3）对评审过程和结果，以及供应商的商业秘密保密；</w:t>
      </w:r>
    </w:p>
    <w:p w14:paraId="274528A8">
      <w:pPr>
        <w:adjustRightInd w:val="0"/>
        <w:snapToGrid w:val="0"/>
        <w:spacing w:line="360" w:lineRule="auto"/>
        <w:ind w:firstLine="484" w:firstLineChars="202"/>
        <w:rPr>
          <w:rFonts w:ascii="宋体" w:cs="宋体"/>
          <w:sz w:val="24"/>
        </w:rPr>
      </w:pPr>
      <w:r>
        <w:rPr>
          <w:rFonts w:hint="eastAsia" w:ascii="宋体" w:cs="宋体"/>
          <w:sz w:val="24"/>
        </w:rPr>
        <w:t>（4）配合相关部门进行的投诉处理工作；</w:t>
      </w:r>
    </w:p>
    <w:p w14:paraId="16A58488">
      <w:pPr>
        <w:adjustRightInd w:val="0"/>
        <w:snapToGrid w:val="0"/>
        <w:spacing w:line="360" w:lineRule="auto"/>
        <w:ind w:firstLine="484" w:firstLineChars="202"/>
        <w:rPr>
          <w:rFonts w:ascii="宋体" w:cs="宋体"/>
          <w:sz w:val="24"/>
        </w:rPr>
      </w:pPr>
      <w:r>
        <w:rPr>
          <w:rFonts w:hint="eastAsia" w:ascii="宋体" w:cs="宋体"/>
          <w:sz w:val="24"/>
        </w:rPr>
        <w:t>（5）配合采购单位答复供应商提出的质疑。</w:t>
      </w:r>
    </w:p>
    <w:p w14:paraId="22F1E03D">
      <w:pPr>
        <w:snapToGrid w:val="0"/>
        <w:spacing w:line="360" w:lineRule="auto"/>
        <w:ind w:firstLine="482" w:firstLineChars="200"/>
        <w:outlineLvl w:val="2"/>
        <w:rPr>
          <w:rFonts w:ascii="宋体" w:cs="宋体"/>
          <w:b/>
          <w:sz w:val="24"/>
        </w:rPr>
      </w:pPr>
      <w:r>
        <w:rPr>
          <w:rFonts w:hint="eastAsia" w:ascii="宋体" w:cs="宋体"/>
          <w:b/>
          <w:sz w:val="24"/>
        </w:rPr>
        <w:t>（二）评审方法</w:t>
      </w:r>
    </w:p>
    <w:p w14:paraId="10AB9647">
      <w:pPr>
        <w:snapToGrid w:val="0"/>
        <w:spacing w:line="360" w:lineRule="auto"/>
        <w:ind w:firstLine="484" w:firstLineChars="202"/>
        <w:rPr>
          <w:rFonts w:ascii="宋体" w:cs="宋体"/>
          <w:sz w:val="24"/>
        </w:rPr>
      </w:pPr>
      <w:r>
        <w:rPr>
          <w:rFonts w:hint="eastAsia" w:ascii="宋体" w:cs="宋体"/>
          <w:sz w:val="24"/>
        </w:rPr>
        <w:t>1、本项目采用</w:t>
      </w:r>
      <w:r>
        <w:rPr>
          <w:rFonts w:hint="eastAsia" w:ascii="宋体" w:cs="宋体"/>
          <w:b/>
          <w:bCs/>
          <w:sz w:val="24"/>
          <w:u w:val="single"/>
        </w:rPr>
        <w:t>最低价评标法</w:t>
      </w:r>
      <w:r>
        <w:rPr>
          <w:rFonts w:hint="eastAsia" w:ascii="宋体" w:cs="宋体"/>
          <w:sz w:val="24"/>
        </w:rPr>
        <w:t>。即指以价格为主要因素确定成交人的评标方法。原则即为：在全部满足采购文件实质性要求前提下，本着“公平、公正、诚信”的原则：</w:t>
      </w:r>
      <w:r>
        <w:rPr>
          <w:rFonts w:hint="eastAsia" w:ascii="宋体" w:cs="宋体"/>
          <w:sz w:val="24"/>
          <w:u w:val="thick" w:color="FF0000"/>
        </w:rPr>
        <w:t>依据《中华人民共和国政府采购法》第四十条第四款内“符合采购需求、质量和服务相等且报价最低的原则”，确定成交人。</w:t>
      </w:r>
    </w:p>
    <w:p w14:paraId="36E10DD9">
      <w:pPr>
        <w:snapToGrid w:val="0"/>
        <w:spacing w:line="360" w:lineRule="auto"/>
        <w:ind w:firstLine="484" w:firstLineChars="202"/>
        <w:rPr>
          <w:rFonts w:ascii="宋体" w:cs="宋体"/>
          <w:sz w:val="24"/>
        </w:rPr>
      </w:pPr>
      <w:r>
        <w:rPr>
          <w:rFonts w:hint="eastAsia" w:ascii="宋体" w:cs="宋体"/>
          <w:sz w:val="24"/>
        </w:rPr>
        <w:t>（1）本项目采用最低评标价法。</w:t>
      </w:r>
    </w:p>
    <w:p w14:paraId="7EE1F800">
      <w:pPr>
        <w:snapToGrid w:val="0"/>
        <w:spacing w:line="360" w:lineRule="auto"/>
        <w:ind w:firstLine="484" w:firstLineChars="202"/>
        <w:rPr>
          <w:rFonts w:ascii="宋体" w:cs="宋体"/>
          <w:sz w:val="24"/>
        </w:rPr>
      </w:pPr>
      <w:r>
        <w:rPr>
          <w:rFonts w:hint="eastAsia" w:ascii="宋体" w:cs="宋体"/>
          <w:sz w:val="24"/>
        </w:rPr>
        <w:t>（2）价格评审内容包括分析项目需求各产品单价是否合理，价格所含范围是否完整，有无重大错漏项。如果供应商的响应产品清单中有漏项并构成未实质性响应采购文件要求的，按无效投标处理。</w:t>
      </w:r>
    </w:p>
    <w:p w14:paraId="198B124C">
      <w:pPr>
        <w:snapToGrid w:val="0"/>
        <w:spacing w:line="360" w:lineRule="auto"/>
        <w:ind w:firstLine="487" w:firstLineChars="202"/>
        <w:rPr>
          <w:rFonts w:hint="eastAsia" w:ascii="宋体" w:cs="宋体"/>
          <w:b/>
          <w:bCs/>
          <w:sz w:val="24"/>
        </w:rPr>
      </w:pPr>
      <w:r>
        <w:rPr>
          <w:rFonts w:hint="eastAsia" w:ascii="宋体" w:cs="宋体"/>
          <w:b/>
          <w:bCs/>
          <w:sz w:val="24"/>
        </w:rPr>
        <w:t>（3）说明：根据苏财购〔2025〕62号文件要求，出现下列情形之一的，评标委员会应当启动异常低价投标审查程序:</w:t>
      </w:r>
    </w:p>
    <w:p w14:paraId="3C2802C2">
      <w:pPr>
        <w:snapToGrid w:val="0"/>
        <w:spacing w:line="360" w:lineRule="auto"/>
        <w:ind w:firstLine="487" w:firstLineChars="202"/>
        <w:rPr>
          <w:rFonts w:hint="eastAsia" w:ascii="宋体" w:cs="宋体"/>
          <w:b/>
          <w:bCs/>
          <w:sz w:val="24"/>
        </w:rPr>
      </w:pPr>
      <w:r>
        <w:rPr>
          <w:rFonts w:hint="eastAsia" w:ascii="宋体" w:cs="宋体"/>
          <w:b/>
          <w:bCs/>
          <w:sz w:val="24"/>
        </w:rPr>
        <w:t>①投标报价低于采购项目预算50%的，即投标(响应)报价&lt;采购项目预算x50%；</w:t>
      </w:r>
    </w:p>
    <w:p w14:paraId="6B226149">
      <w:pPr>
        <w:snapToGrid w:val="0"/>
        <w:spacing w:line="360" w:lineRule="auto"/>
        <w:ind w:firstLine="487" w:firstLineChars="202"/>
        <w:rPr>
          <w:rFonts w:hint="eastAsia" w:ascii="宋体" w:cs="宋体"/>
          <w:b/>
          <w:bCs/>
          <w:sz w:val="24"/>
        </w:rPr>
      </w:pPr>
      <w:r>
        <w:rPr>
          <w:rFonts w:hint="eastAsia" w:ascii="宋体" w:cs="宋体"/>
          <w:b/>
          <w:bCs/>
          <w:sz w:val="24"/>
        </w:rPr>
        <w:t>②投标报价低于采购项目最高限价45%的，即投标(响应)报价&lt;采购项目最高限价x45%；</w:t>
      </w:r>
    </w:p>
    <w:p w14:paraId="3002C6E4">
      <w:pPr>
        <w:snapToGrid w:val="0"/>
        <w:spacing w:line="360" w:lineRule="auto"/>
        <w:ind w:firstLine="487" w:firstLineChars="202"/>
        <w:rPr>
          <w:rFonts w:hint="eastAsia" w:ascii="宋体" w:cs="宋体"/>
          <w:b/>
          <w:bCs/>
          <w:sz w:val="24"/>
        </w:rPr>
      </w:pPr>
      <w:r>
        <w:rPr>
          <w:rFonts w:hint="eastAsia" w:ascii="宋体" w:cs="宋体"/>
          <w:b/>
          <w:bCs/>
          <w:sz w:val="24"/>
        </w:rPr>
        <w:t>③评审委员会认定的供应商报价过低、有可能影响产品质量或者不能诚信履约的其他情形，启动异常低价投标审查后，评审委员会将要求相关供应商在合理的时间内提供项目具体成本测算等与报价合理性相关的书面说明及相关证明材料，对投标价格作出解释，由评审委员会结合同类产品在主要电商平台的价格、该行业当地薪资水平等情况，依据专业经验对供应商报价合理性进行判断。</w:t>
      </w:r>
    </w:p>
    <w:p w14:paraId="632CBA56">
      <w:pPr>
        <w:snapToGrid w:val="0"/>
        <w:spacing w:line="360" w:lineRule="auto"/>
        <w:ind w:firstLine="487" w:firstLineChars="202"/>
        <w:rPr>
          <w:rFonts w:hint="eastAsia" w:ascii="宋体" w:cs="宋体"/>
          <w:b/>
          <w:bCs/>
          <w:sz w:val="24"/>
        </w:rPr>
      </w:pPr>
      <w:r>
        <w:rPr>
          <w:rFonts w:hint="eastAsia" w:ascii="宋体" w:cs="宋体"/>
          <w:b/>
          <w:bCs/>
          <w:sz w:val="24"/>
        </w:rPr>
        <w:t>投标供应商不提供书面说明、证明材料，或者提供的书面说明、证明材料不能证明其报价合理性的，评审委员会应当将其作为无效投标处理。审查相关情况应当在评审报告中进行记录。</w:t>
      </w:r>
    </w:p>
    <w:p w14:paraId="11400D4F">
      <w:pPr>
        <w:snapToGrid w:val="0"/>
        <w:spacing w:line="360" w:lineRule="auto"/>
        <w:ind w:firstLine="480" w:firstLineChars="200"/>
        <w:rPr>
          <w:rFonts w:ascii="宋体" w:cs="宋体"/>
          <w:sz w:val="24"/>
        </w:rPr>
      </w:pPr>
      <w:r>
        <w:rPr>
          <w:rFonts w:hint="eastAsia" w:ascii="宋体" w:cs="宋体"/>
          <w:sz w:val="24"/>
        </w:rPr>
        <w:t>2、评委会对响应文件的判定，只依据响应文件内容本身，不依靠采购评审活动开始后的任何外来证明。</w:t>
      </w:r>
    </w:p>
    <w:p w14:paraId="7BA8A15B">
      <w:pPr>
        <w:snapToGrid w:val="0"/>
        <w:spacing w:line="360" w:lineRule="auto"/>
        <w:ind w:firstLine="480" w:firstLineChars="200"/>
        <w:rPr>
          <w:rFonts w:ascii="宋体" w:cs="宋体"/>
          <w:sz w:val="24"/>
        </w:rPr>
      </w:pPr>
      <w:r>
        <w:rPr>
          <w:rFonts w:hint="eastAsia" w:ascii="宋体" w:cs="宋体"/>
          <w:sz w:val="24"/>
        </w:rPr>
        <w:t>3、评审活动开始后，评委会成员对采购文件的细则若有争议，由评委会成员集体讨论确定。评委会成员对需要共同认定的事项存在争议的，应当按照少数服从多数的原则作出结论。持不同意见的评委会成员应当在评标报告上签署不同意见及理由，否则视为同意评标报告。</w:t>
      </w:r>
    </w:p>
    <w:p w14:paraId="194F0B30">
      <w:pPr>
        <w:adjustRightInd w:val="0"/>
        <w:snapToGrid w:val="0"/>
        <w:spacing w:line="360" w:lineRule="auto"/>
        <w:ind w:firstLine="480" w:firstLineChars="200"/>
        <w:rPr>
          <w:rFonts w:ascii="宋体" w:cs="宋体"/>
          <w:sz w:val="24"/>
        </w:rPr>
      </w:pPr>
      <w:r>
        <w:rPr>
          <w:rFonts w:hint="eastAsia" w:ascii="宋体" w:cs="宋体"/>
          <w:sz w:val="24"/>
        </w:rPr>
        <w:t>4、评委会对评标未尽情况有最终解释权，且对落标的供应商不做落标原因的解释。</w:t>
      </w:r>
    </w:p>
    <w:p w14:paraId="50AF7593">
      <w:pPr>
        <w:snapToGrid w:val="0"/>
        <w:spacing w:line="360" w:lineRule="auto"/>
        <w:ind w:firstLine="477" w:firstLineChars="198"/>
        <w:rPr>
          <w:rFonts w:ascii="宋体" w:hAnsi="宋体" w:cs="宋体"/>
          <w:b/>
          <w:sz w:val="24"/>
        </w:rPr>
      </w:pPr>
      <w:r>
        <w:rPr>
          <w:rFonts w:hint="eastAsia" w:ascii="宋体" w:hAnsi="宋体" w:cs="宋体"/>
          <w:b/>
          <w:sz w:val="24"/>
        </w:rPr>
        <w:t>九、其他注意事项</w:t>
      </w:r>
    </w:p>
    <w:p w14:paraId="7740C3B9">
      <w:pPr>
        <w:snapToGrid w:val="0"/>
        <w:spacing w:line="360" w:lineRule="auto"/>
        <w:ind w:firstLine="570"/>
        <w:rPr>
          <w:rFonts w:ascii="宋体" w:hAnsi="宋体" w:cs="宋体"/>
          <w:sz w:val="24"/>
        </w:rPr>
      </w:pPr>
      <w:r>
        <w:rPr>
          <w:rFonts w:hint="eastAsia" w:ascii="宋体" w:hAnsi="宋体" w:cs="宋体"/>
          <w:sz w:val="24"/>
        </w:rPr>
        <w:t>1.在比选、开标时间，比选人不得向评委询问情况，不得进行旨在影响评标结果的活动。</w:t>
      </w:r>
    </w:p>
    <w:p w14:paraId="4B281746">
      <w:pPr>
        <w:snapToGrid w:val="0"/>
        <w:spacing w:line="360" w:lineRule="auto"/>
        <w:ind w:firstLine="570"/>
        <w:rPr>
          <w:rFonts w:ascii="宋体" w:hAnsi="宋体" w:cs="宋体"/>
          <w:sz w:val="24"/>
        </w:rPr>
      </w:pPr>
      <w:r>
        <w:rPr>
          <w:rFonts w:hint="eastAsia" w:ascii="宋体" w:hAnsi="宋体" w:cs="宋体"/>
          <w:sz w:val="24"/>
        </w:rPr>
        <w:t>2.评委会不得向比选人解释落标原因。</w:t>
      </w:r>
    </w:p>
    <w:p w14:paraId="6E46F8DE">
      <w:pPr>
        <w:snapToGrid w:val="0"/>
        <w:spacing w:line="360" w:lineRule="auto"/>
        <w:ind w:firstLine="570"/>
        <w:rPr>
          <w:rFonts w:ascii="宋体" w:hAnsi="宋体" w:cs="宋体"/>
          <w:sz w:val="24"/>
        </w:rPr>
      </w:pPr>
      <w:r>
        <w:rPr>
          <w:rFonts w:hint="eastAsia" w:ascii="宋体" w:hAnsi="宋体" w:cs="宋体"/>
          <w:sz w:val="24"/>
        </w:rPr>
        <w:t>3.在比选、评标过程中，如果比选人联合故意抬高报价或出现其他不正当行为，采购人有权中止比选或评标。</w:t>
      </w:r>
    </w:p>
    <w:p w14:paraId="5BB76575">
      <w:pPr>
        <w:snapToGrid w:val="0"/>
        <w:spacing w:line="360" w:lineRule="auto"/>
        <w:ind w:firstLine="570"/>
        <w:rPr>
          <w:rFonts w:ascii="宋体" w:hAnsi="宋体" w:cs="宋体"/>
          <w:sz w:val="24"/>
        </w:rPr>
      </w:pPr>
      <w:r>
        <w:rPr>
          <w:rFonts w:hint="eastAsia" w:ascii="宋体" w:hAnsi="宋体" w:cs="宋体"/>
          <w:sz w:val="24"/>
        </w:rPr>
        <w:t>4.凡在比选、开标过程中，采购人已提示是否异议的事项，比选人当时没有提出异议的，事后比选人不得针对上述事项提出质询。比如：采购人在开标中提示评委是否回避，比选人现场未提出异议的，事后不得针对评委回避事项提出质询。</w:t>
      </w:r>
    </w:p>
    <w:p w14:paraId="76CBBC86">
      <w:pPr>
        <w:adjustRightInd w:val="0"/>
        <w:snapToGrid w:val="0"/>
        <w:spacing w:line="360" w:lineRule="auto"/>
        <w:ind w:firstLine="472" w:firstLineChars="196"/>
        <w:rPr>
          <w:rFonts w:ascii="宋体" w:hAnsi="宋体" w:cs="宋体"/>
          <w:b/>
          <w:sz w:val="24"/>
        </w:rPr>
      </w:pPr>
      <w:r>
        <w:rPr>
          <w:rFonts w:hint="eastAsia" w:ascii="宋体" w:hAnsi="宋体" w:cs="宋体"/>
          <w:b/>
          <w:sz w:val="24"/>
        </w:rPr>
        <w:t>十、公告成交结果</w:t>
      </w:r>
    </w:p>
    <w:p w14:paraId="33708B6E">
      <w:pPr>
        <w:adjustRightInd w:val="0"/>
        <w:snapToGrid w:val="0"/>
        <w:spacing w:line="360" w:lineRule="auto"/>
        <w:ind w:firstLine="570"/>
        <w:rPr>
          <w:rFonts w:ascii="宋体" w:hAnsi="宋体" w:cs="宋体"/>
          <w:sz w:val="24"/>
        </w:rPr>
      </w:pPr>
      <w:r>
        <w:rPr>
          <w:rFonts w:hint="eastAsia" w:ascii="宋体" w:hAnsi="宋体" w:cs="宋体"/>
          <w:sz w:val="24"/>
        </w:rPr>
        <w:t>自确定成交供应商之日起2个工作日内，在“南通市住房和城乡建设局”官网公告成交结果，公告期限为1个工作日。</w:t>
      </w:r>
    </w:p>
    <w:p w14:paraId="46F3853B">
      <w:pPr>
        <w:adjustRightInd w:val="0"/>
        <w:snapToGrid w:val="0"/>
        <w:spacing w:line="360" w:lineRule="auto"/>
        <w:ind w:firstLine="472" w:firstLineChars="196"/>
        <w:rPr>
          <w:rFonts w:ascii="宋体" w:hAnsi="宋体" w:cs="宋体"/>
          <w:b/>
          <w:bCs/>
          <w:sz w:val="24"/>
        </w:rPr>
      </w:pPr>
      <w:r>
        <w:rPr>
          <w:rFonts w:hint="eastAsia" w:ascii="宋体" w:hAnsi="宋体" w:cs="宋体"/>
          <w:b/>
          <w:sz w:val="24"/>
        </w:rPr>
        <w:t>十一、</w:t>
      </w:r>
      <w:r>
        <w:rPr>
          <w:rFonts w:hint="eastAsia" w:ascii="宋体" w:hAnsi="宋体" w:cs="宋体"/>
          <w:b/>
          <w:bCs/>
          <w:sz w:val="24"/>
        </w:rPr>
        <w:t>发放成交通知书</w:t>
      </w:r>
    </w:p>
    <w:p w14:paraId="076B409E">
      <w:pPr>
        <w:adjustRightInd w:val="0"/>
        <w:snapToGrid w:val="0"/>
        <w:spacing w:line="360" w:lineRule="auto"/>
        <w:ind w:firstLine="480" w:firstLineChars="200"/>
        <w:rPr>
          <w:rFonts w:ascii="宋体" w:hAnsi="宋体" w:cs="宋体"/>
          <w:bCs/>
          <w:sz w:val="24"/>
        </w:rPr>
      </w:pPr>
      <w:r>
        <w:rPr>
          <w:rFonts w:hint="eastAsia" w:ascii="宋体" w:hAnsi="宋体" w:cs="宋体"/>
          <w:sz w:val="24"/>
        </w:rPr>
        <w:t>公告成交结果的同时，采购人</w:t>
      </w:r>
      <w:r>
        <w:rPr>
          <w:rFonts w:hint="eastAsia" w:ascii="宋体" w:hAnsi="宋体" w:cs="宋体"/>
          <w:bCs/>
          <w:sz w:val="24"/>
        </w:rPr>
        <w:t>向成交供应商发放成交通知书。</w:t>
      </w:r>
    </w:p>
    <w:p w14:paraId="04537745">
      <w:pPr>
        <w:adjustRightInd w:val="0"/>
        <w:snapToGrid w:val="0"/>
        <w:spacing w:line="360" w:lineRule="auto"/>
        <w:ind w:firstLine="570"/>
        <w:rPr>
          <w:rFonts w:ascii="宋体" w:hAnsi="宋体" w:cs="宋体"/>
          <w:sz w:val="24"/>
        </w:rPr>
      </w:pPr>
      <w:r>
        <w:rPr>
          <w:rFonts w:hint="eastAsia" w:ascii="宋体" w:hAnsi="宋体" w:cs="宋体"/>
          <w:sz w:val="24"/>
        </w:rPr>
        <w:t>成交通知书发出后，采购人不得违法改变成交结果，成交供应商无正当理由不得放弃成交。</w:t>
      </w:r>
    </w:p>
    <w:p w14:paraId="0AE4A1A9">
      <w:pPr>
        <w:pageBreakBefore/>
        <w:widowControl/>
        <w:snapToGrid w:val="0"/>
        <w:spacing w:line="460" w:lineRule="exact"/>
        <w:jc w:val="center"/>
        <w:outlineLvl w:val="0"/>
        <w:rPr>
          <w:rFonts w:ascii="宋体" w:hAnsi="宋体" w:cs="宋体"/>
          <w:b/>
          <w:sz w:val="36"/>
          <w:szCs w:val="36"/>
        </w:rPr>
      </w:pPr>
      <w:bookmarkStart w:id="14" w:name="_Hlk122501794"/>
      <w:r>
        <w:rPr>
          <w:rFonts w:hint="eastAsia" w:ascii="宋体" w:hAnsi="宋体" w:cs="宋体"/>
          <w:b/>
          <w:sz w:val="36"/>
          <w:szCs w:val="36"/>
        </w:rPr>
        <w:t>第五部分   比选响应文件组成</w:t>
      </w:r>
    </w:p>
    <w:p w14:paraId="40F74A13">
      <w:pPr>
        <w:pStyle w:val="22"/>
        <w:rPr>
          <w:rFonts w:hint="eastAsia" w:ascii="宋体" w:hAnsi="宋体" w:eastAsia="宋体" w:cs="宋体"/>
          <w:color w:val="auto"/>
          <w:kern w:val="0"/>
          <w:sz w:val="24"/>
          <w:szCs w:val="24"/>
        </w:rPr>
      </w:pPr>
    </w:p>
    <w:p w14:paraId="710621F0">
      <w:pPr>
        <w:pStyle w:val="22"/>
        <w:jc w:val="center"/>
        <w:rPr>
          <w:rFonts w:hint="eastAsia" w:ascii="宋体" w:hAnsi="宋体" w:eastAsia="宋体" w:cs="宋体"/>
          <w:b/>
          <w:bCs/>
          <w:kern w:val="0"/>
          <w:sz w:val="36"/>
          <w:szCs w:val="36"/>
        </w:rPr>
      </w:pPr>
    </w:p>
    <w:p w14:paraId="6E017469">
      <w:pPr>
        <w:pStyle w:val="23"/>
        <w:rPr>
          <w:rFonts w:hint="eastAsia"/>
          <w:sz w:val="24"/>
        </w:rPr>
      </w:pPr>
    </w:p>
    <w:p w14:paraId="3369B51D">
      <w:pPr>
        <w:rPr>
          <w:rFonts w:hint="eastAsia"/>
          <w:sz w:val="24"/>
        </w:rPr>
      </w:pPr>
    </w:p>
    <w:p w14:paraId="384E9F66">
      <w:pPr>
        <w:pStyle w:val="22"/>
        <w:jc w:val="center"/>
        <w:rPr>
          <w:rFonts w:eastAsia="宋体"/>
        </w:rPr>
      </w:pPr>
      <w:r>
        <w:rPr>
          <w:rFonts w:hint="eastAsia" w:ascii="宋体" w:hAnsi="宋体" w:eastAsia="宋体" w:cs="宋体"/>
          <w:b/>
          <w:bCs/>
          <w:kern w:val="0"/>
          <w:sz w:val="36"/>
          <w:szCs w:val="36"/>
        </w:rPr>
        <w:t>南通市市政设施管理处计量器具检定/校准采购项目</w:t>
      </w:r>
    </w:p>
    <w:p w14:paraId="709C3E44">
      <w:pPr>
        <w:pStyle w:val="23"/>
        <w:ind w:firstLine="420"/>
      </w:pPr>
    </w:p>
    <w:p w14:paraId="1E6252FD">
      <w:pPr>
        <w:pStyle w:val="22"/>
        <w:rPr>
          <w:rFonts w:eastAsia="宋体"/>
        </w:rPr>
      </w:pPr>
    </w:p>
    <w:p w14:paraId="537E8E1E">
      <w:pPr>
        <w:pStyle w:val="23"/>
        <w:ind w:firstLine="420"/>
      </w:pPr>
    </w:p>
    <w:p w14:paraId="0E7115B9">
      <w:pPr>
        <w:widowControl/>
        <w:snapToGrid w:val="0"/>
        <w:spacing w:line="360" w:lineRule="auto"/>
        <w:ind w:firstLine="560" w:firstLineChars="200"/>
        <w:jc w:val="center"/>
        <w:textAlignment w:val="baseline"/>
        <w:rPr>
          <w:rFonts w:ascii="Calibri" w:hAnsi="Calibri"/>
          <w:sz w:val="28"/>
          <w:szCs w:val="28"/>
        </w:rPr>
      </w:pPr>
    </w:p>
    <w:p w14:paraId="04F84871">
      <w:pPr>
        <w:pStyle w:val="24"/>
        <w:spacing w:line="360" w:lineRule="auto"/>
        <w:ind w:left="840" w:leftChars="400" w:firstLine="2168" w:firstLineChars="600"/>
        <w:rPr>
          <w:rFonts w:ascii="宋体" w:hAnsi="宋体"/>
          <w:b/>
          <w:bCs/>
          <w:kern w:val="0"/>
          <w:sz w:val="24"/>
          <w:lang w:val="zh-CN"/>
        </w:rPr>
      </w:pPr>
      <w:r>
        <w:rPr>
          <w:rFonts w:hint="eastAsia" w:ascii="Calibri" w:hAnsi="Calibri"/>
          <w:b/>
          <w:sz w:val="36"/>
          <w:szCs w:val="36"/>
        </w:rPr>
        <w:t>公开比选</w:t>
      </w:r>
      <w:r>
        <w:rPr>
          <w:rFonts w:ascii="Calibri" w:hAnsi="Calibri"/>
          <w:b/>
          <w:sz w:val="36"/>
          <w:szCs w:val="36"/>
        </w:rPr>
        <w:t>响应文件</w:t>
      </w:r>
    </w:p>
    <w:p w14:paraId="601F7D59">
      <w:pPr>
        <w:widowControl/>
        <w:snapToGrid w:val="0"/>
        <w:spacing w:line="360" w:lineRule="auto"/>
        <w:jc w:val="center"/>
        <w:textAlignment w:val="baseline"/>
        <w:rPr>
          <w:rFonts w:ascii="Calibri" w:hAnsi="Calibri"/>
          <w:b/>
          <w:sz w:val="36"/>
          <w:szCs w:val="36"/>
        </w:rPr>
      </w:pPr>
    </w:p>
    <w:p w14:paraId="4FCD856B">
      <w:pPr>
        <w:widowControl/>
        <w:snapToGrid w:val="0"/>
        <w:spacing w:line="360" w:lineRule="auto"/>
        <w:ind w:firstLine="723" w:firstLineChars="200"/>
        <w:jc w:val="center"/>
        <w:textAlignment w:val="baseline"/>
        <w:rPr>
          <w:rFonts w:ascii="Calibri" w:hAnsi="Calibri"/>
          <w:b/>
          <w:sz w:val="36"/>
          <w:szCs w:val="36"/>
        </w:rPr>
      </w:pPr>
    </w:p>
    <w:p w14:paraId="5CFF302C">
      <w:pPr>
        <w:widowControl/>
        <w:snapToGrid w:val="0"/>
        <w:spacing w:line="360" w:lineRule="auto"/>
        <w:ind w:firstLine="723" w:firstLineChars="200"/>
        <w:jc w:val="center"/>
        <w:textAlignment w:val="baseline"/>
        <w:rPr>
          <w:rFonts w:ascii="Calibri" w:hAnsi="Calibri"/>
          <w:b/>
          <w:sz w:val="36"/>
          <w:szCs w:val="36"/>
        </w:rPr>
      </w:pPr>
    </w:p>
    <w:p w14:paraId="0D7E596F">
      <w:pPr>
        <w:widowControl/>
        <w:snapToGrid w:val="0"/>
        <w:spacing w:line="360" w:lineRule="auto"/>
        <w:jc w:val="center"/>
        <w:textAlignment w:val="baseline"/>
        <w:rPr>
          <w:rFonts w:ascii="Calibri" w:hAnsi="Calibri"/>
          <w:sz w:val="24"/>
        </w:rPr>
      </w:pPr>
      <w:r>
        <w:rPr>
          <w:rFonts w:ascii="Calibri" w:hAnsi="Calibri"/>
          <w:sz w:val="24"/>
        </w:rPr>
        <w:t>对应</w:t>
      </w:r>
      <w:r>
        <w:rPr>
          <w:rFonts w:hint="eastAsia" w:ascii="Calibri" w:hAnsi="Calibri"/>
          <w:sz w:val="24"/>
        </w:rPr>
        <w:t>比选</w:t>
      </w:r>
      <w:r>
        <w:rPr>
          <w:rFonts w:ascii="Calibri" w:hAnsi="Calibri"/>
          <w:sz w:val="24"/>
        </w:rPr>
        <w:t>响应文件，在该处分别相应填写：</w:t>
      </w:r>
      <w:r>
        <w:rPr>
          <w:rFonts w:hint="eastAsia" w:ascii="Calibri" w:hAnsi="Calibri"/>
          <w:sz w:val="24"/>
        </w:rPr>
        <w:t>资格审查证明材料</w:t>
      </w:r>
    </w:p>
    <w:p w14:paraId="09A303C1">
      <w:pPr>
        <w:widowControl/>
        <w:snapToGrid w:val="0"/>
        <w:spacing w:line="360" w:lineRule="auto"/>
        <w:jc w:val="center"/>
        <w:textAlignment w:val="baseline"/>
        <w:rPr>
          <w:rFonts w:ascii="Calibri" w:hAnsi="Calibri"/>
          <w:sz w:val="24"/>
        </w:rPr>
      </w:pPr>
      <w:r>
        <w:rPr>
          <w:rFonts w:hint="eastAsia" w:ascii="Calibri" w:hAnsi="Calibri"/>
          <w:sz w:val="24"/>
        </w:rPr>
        <w:t xml:space="preserve">                                    价格响应文件</w:t>
      </w:r>
    </w:p>
    <w:p w14:paraId="0F020851">
      <w:pPr>
        <w:widowControl/>
        <w:snapToGrid w:val="0"/>
        <w:spacing w:line="360" w:lineRule="auto"/>
        <w:jc w:val="center"/>
        <w:textAlignment w:val="baseline"/>
        <w:rPr>
          <w:rFonts w:ascii="Calibri" w:hAnsi="Calibri"/>
          <w:sz w:val="24"/>
        </w:rPr>
      </w:pPr>
      <w:r>
        <w:rPr>
          <w:rFonts w:ascii="Calibri" w:hAnsi="Calibri"/>
          <w:sz w:val="24"/>
        </w:rPr>
        <w:t>（资格后审）</w:t>
      </w:r>
    </w:p>
    <w:p w14:paraId="6A894F19">
      <w:pPr>
        <w:widowControl/>
        <w:snapToGrid w:val="0"/>
        <w:spacing w:line="360" w:lineRule="auto"/>
        <w:ind w:firstLine="480" w:firstLineChars="200"/>
        <w:jc w:val="center"/>
        <w:textAlignment w:val="baseline"/>
        <w:rPr>
          <w:rFonts w:ascii="Calibri" w:hAnsi="Calibri"/>
          <w:sz w:val="24"/>
        </w:rPr>
      </w:pPr>
    </w:p>
    <w:p w14:paraId="32C131B1">
      <w:pPr>
        <w:widowControl/>
        <w:snapToGrid w:val="0"/>
        <w:spacing w:line="360" w:lineRule="auto"/>
        <w:ind w:firstLine="480" w:firstLineChars="200"/>
        <w:jc w:val="center"/>
        <w:textAlignment w:val="baseline"/>
        <w:rPr>
          <w:rFonts w:ascii="Calibri" w:hAnsi="Calibri"/>
          <w:bCs/>
          <w:spacing w:val="20"/>
          <w:sz w:val="24"/>
        </w:rPr>
      </w:pPr>
      <w:r>
        <w:rPr>
          <w:rFonts w:ascii="Calibri" w:hAnsi="Calibri"/>
          <w:sz w:val="24"/>
        </w:rPr>
        <w:t>项目编号：</w:t>
      </w:r>
    </w:p>
    <w:p w14:paraId="4097E943">
      <w:pPr>
        <w:widowControl/>
        <w:snapToGrid w:val="0"/>
        <w:spacing w:line="360" w:lineRule="auto"/>
        <w:jc w:val="center"/>
        <w:textAlignment w:val="baseline"/>
        <w:rPr>
          <w:rFonts w:ascii="Calibri" w:hAnsi="Calibri"/>
          <w:sz w:val="24"/>
        </w:rPr>
      </w:pPr>
    </w:p>
    <w:p w14:paraId="43B55643">
      <w:pPr>
        <w:widowControl/>
        <w:snapToGrid w:val="0"/>
        <w:spacing w:line="360" w:lineRule="auto"/>
        <w:jc w:val="center"/>
        <w:textAlignment w:val="baseline"/>
        <w:rPr>
          <w:rFonts w:ascii="Calibri" w:hAnsi="Calibri"/>
          <w:sz w:val="24"/>
        </w:rPr>
      </w:pPr>
    </w:p>
    <w:p w14:paraId="5776A560">
      <w:pPr>
        <w:widowControl/>
        <w:snapToGrid w:val="0"/>
        <w:spacing w:line="360" w:lineRule="auto"/>
        <w:jc w:val="center"/>
        <w:textAlignment w:val="baseline"/>
        <w:rPr>
          <w:rFonts w:ascii="Calibri" w:hAnsi="Calibri"/>
          <w:sz w:val="24"/>
        </w:rPr>
      </w:pPr>
    </w:p>
    <w:p w14:paraId="2C7CDA31">
      <w:pPr>
        <w:widowControl/>
        <w:snapToGrid w:val="0"/>
        <w:spacing w:line="360" w:lineRule="auto"/>
        <w:textAlignment w:val="baseline"/>
        <w:rPr>
          <w:rFonts w:ascii="Calibri" w:hAnsi="Calibri"/>
          <w:sz w:val="24"/>
        </w:rPr>
      </w:pPr>
    </w:p>
    <w:p w14:paraId="7CE7CEBF">
      <w:pPr>
        <w:pStyle w:val="2"/>
        <w:ind w:firstLine="240"/>
        <w:rPr>
          <w:rFonts w:ascii="Calibri" w:hAnsi="Calibri"/>
        </w:rPr>
      </w:pPr>
    </w:p>
    <w:p w14:paraId="5525D969">
      <w:pPr>
        <w:pStyle w:val="13"/>
        <w:ind w:firstLine="560"/>
      </w:pPr>
    </w:p>
    <w:p w14:paraId="512DAB77">
      <w:pPr>
        <w:widowControl/>
        <w:snapToGrid w:val="0"/>
        <w:spacing w:line="360" w:lineRule="auto"/>
        <w:jc w:val="center"/>
        <w:textAlignment w:val="baseline"/>
        <w:rPr>
          <w:rFonts w:ascii="Calibri" w:hAnsi="Calibri"/>
          <w:sz w:val="24"/>
        </w:rPr>
      </w:pPr>
    </w:p>
    <w:p w14:paraId="00C659AC">
      <w:pPr>
        <w:widowControl/>
        <w:snapToGrid w:val="0"/>
        <w:spacing w:line="360" w:lineRule="auto"/>
        <w:jc w:val="center"/>
        <w:textAlignment w:val="baseline"/>
        <w:rPr>
          <w:rFonts w:ascii="Calibri" w:hAnsi="Calibri"/>
          <w:sz w:val="24"/>
        </w:rPr>
      </w:pPr>
      <w:r>
        <w:rPr>
          <w:rFonts w:hint="eastAsia" w:ascii="Calibri" w:hAnsi="Calibri"/>
          <w:sz w:val="24"/>
        </w:rPr>
        <w:t>比选</w:t>
      </w:r>
      <w:r>
        <w:rPr>
          <w:rFonts w:ascii="Calibri" w:hAnsi="Calibri"/>
          <w:sz w:val="24"/>
        </w:rPr>
        <w:t>响应供应商：</w:t>
      </w:r>
      <w:r>
        <w:rPr>
          <w:rFonts w:hint="eastAsia" w:ascii="Calibri" w:hAnsi="Calibri"/>
          <w:sz w:val="24"/>
        </w:rPr>
        <w:t>比选</w:t>
      </w:r>
      <w:r>
        <w:rPr>
          <w:rFonts w:ascii="Calibri" w:hAnsi="Calibri"/>
          <w:sz w:val="24"/>
        </w:rPr>
        <w:t>响应供应商全称</w:t>
      </w:r>
    </w:p>
    <w:p w14:paraId="23928E85">
      <w:pPr>
        <w:widowControl/>
        <w:snapToGrid w:val="0"/>
        <w:spacing w:line="360" w:lineRule="auto"/>
        <w:jc w:val="center"/>
        <w:textAlignment w:val="baseline"/>
        <w:rPr>
          <w:rFonts w:ascii="Calibri" w:hAnsi="Calibri"/>
          <w:sz w:val="24"/>
        </w:rPr>
      </w:pPr>
      <w:r>
        <w:rPr>
          <w:rFonts w:hint="eastAsia" w:ascii="Calibri" w:hAnsi="Calibri"/>
          <w:sz w:val="24"/>
        </w:rPr>
        <w:t>二〇二</w:t>
      </w:r>
      <w:r>
        <w:rPr>
          <w:rFonts w:hint="eastAsia" w:ascii="Calibri" w:hAnsi="Calibri"/>
          <w:sz w:val="24"/>
          <w:lang w:val="en-US" w:eastAsia="zh-CN"/>
        </w:rPr>
        <w:t>六</w:t>
      </w:r>
      <w:r>
        <w:rPr>
          <w:rFonts w:ascii="Calibri" w:hAnsi="Calibri"/>
          <w:sz w:val="24"/>
        </w:rPr>
        <w:t>年</w:t>
      </w:r>
      <w:r>
        <w:rPr>
          <w:rFonts w:hint="eastAsia" w:ascii="Calibri" w:hAnsi="Calibri"/>
          <w:sz w:val="24"/>
        </w:rPr>
        <w:t xml:space="preserve"> </w:t>
      </w:r>
      <w:r>
        <w:rPr>
          <w:rFonts w:ascii="Calibri" w:hAnsi="Calibri"/>
          <w:sz w:val="24"/>
        </w:rPr>
        <w:t>月</w:t>
      </w:r>
      <w:r>
        <w:rPr>
          <w:rFonts w:hint="eastAsia" w:ascii="Calibri" w:hAnsi="Calibri"/>
          <w:sz w:val="24"/>
        </w:rPr>
        <w:t xml:space="preserve"> </w:t>
      </w:r>
      <w:r>
        <w:rPr>
          <w:rFonts w:ascii="Calibri" w:hAnsi="Calibri"/>
          <w:sz w:val="24"/>
        </w:rPr>
        <w:t>日</w:t>
      </w:r>
    </w:p>
    <w:p w14:paraId="7A819C96">
      <w:pPr>
        <w:snapToGrid w:val="0"/>
        <w:spacing w:line="360" w:lineRule="auto"/>
        <w:ind w:firstLine="556"/>
        <w:jc w:val="left"/>
        <w:rPr>
          <w:rFonts w:hint="eastAsia" w:ascii="宋体" w:hAnsi="宋体" w:cs="宋体"/>
          <w:b/>
          <w:sz w:val="24"/>
        </w:rPr>
      </w:pPr>
    </w:p>
    <w:p w14:paraId="7F78980A">
      <w:pPr>
        <w:snapToGrid w:val="0"/>
        <w:spacing w:line="360" w:lineRule="auto"/>
        <w:jc w:val="left"/>
        <w:rPr>
          <w:rFonts w:hint="eastAsia" w:ascii="宋体" w:hAnsi="宋体" w:cs="宋体"/>
          <w:b/>
          <w:sz w:val="24"/>
        </w:rPr>
      </w:pPr>
    </w:p>
    <w:p w14:paraId="3EEC8489">
      <w:pPr>
        <w:snapToGrid w:val="0"/>
        <w:spacing w:line="360" w:lineRule="auto"/>
        <w:ind w:firstLine="556"/>
        <w:jc w:val="left"/>
        <w:rPr>
          <w:rFonts w:ascii="宋体" w:hAnsi="宋体" w:cs="宋体"/>
          <w:b/>
          <w:sz w:val="24"/>
        </w:rPr>
      </w:pPr>
      <w:r>
        <w:rPr>
          <w:rFonts w:hint="eastAsia" w:ascii="宋体" w:hAnsi="宋体" w:cs="宋体"/>
          <w:b/>
          <w:sz w:val="24"/>
        </w:rPr>
        <w:br w:type="page"/>
      </w:r>
      <w:r>
        <w:rPr>
          <w:rFonts w:hint="eastAsia" w:ascii="宋体" w:hAnsi="宋体" w:cs="宋体"/>
          <w:b/>
          <w:sz w:val="24"/>
        </w:rPr>
        <w:t>比选响应文件由资格审查证明文件、价格文件两部分组成。</w:t>
      </w:r>
      <w:r>
        <w:rPr>
          <w:rFonts w:hint="eastAsia" w:ascii="宋体" w:hAnsi="宋体" w:cs="宋体"/>
          <w:sz w:val="24"/>
        </w:rPr>
        <w:t>供应商提供的投标文件材料须字迹清晰。</w:t>
      </w:r>
      <w:r>
        <w:rPr>
          <w:rFonts w:hint="eastAsia" w:ascii="宋体" w:hAnsi="宋体" w:cs="宋体"/>
          <w:b/>
          <w:bCs/>
          <w:sz w:val="24"/>
        </w:rPr>
        <w:t>如投标文件字迹模糊，造成的废标或不得分等后果由供应商自行承担。</w:t>
      </w:r>
    </w:p>
    <w:p w14:paraId="3DFBCF15">
      <w:pPr>
        <w:pStyle w:val="27"/>
        <w:snapToGrid w:val="0"/>
        <w:spacing w:before="0" w:beforeAutospacing="0" w:after="0" w:afterAutospacing="0" w:line="360" w:lineRule="auto"/>
        <w:ind w:firstLine="482" w:firstLineChars="200"/>
        <w:contextualSpacing/>
        <w:rPr>
          <w:rFonts w:hAnsi="宋体"/>
          <w:b/>
        </w:rPr>
      </w:pPr>
      <w:r>
        <w:rPr>
          <w:rFonts w:hint="eastAsia" w:hAnsi="宋体"/>
          <w:b/>
        </w:rPr>
        <w:t>一、</w:t>
      </w:r>
      <w:bookmarkStart w:id="15" w:name="资格审查材料"/>
      <w:r>
        <w:rPr>
          <w:rFonts w:hint="eastAsia" w:hAnsi="宋体"/>
          <w:b/>
        </w:rPr>
        <w:t>资格审查证明材料</w:t>
      </w:r>
      <w:bookmarkEnd w:id="15"/>
      <w:r>
        <w:rPr>
          <w:rFonts w:hint="eastAsia" w:hAnsi="宋体"/>
          <w:b/>
        </w:rPr>
        <w:t>（不能出现报价，不分标段，</w:t>
      </w:r>
      <w:r>
        <w:rPr>
          <w:rFonts w:hint="eastAsia" w:hAnsi="宋体"/>
          <w:b/>
          <w:bCs/>
        </w:rPr>
        <w:t>单独密封</w:t>
      </w:r>
      <w:r>
        <w:rPr>
          <w:rFonts w:hint="eastAsia" w:hAnsi="宋体"/>
          <w:b/>
        </w:rPr>
        <w:t>）：</w:t>
      </w:r>
    </w:p>
    <w:p w14:paraId="512D4358">
      <w:pPr>
        <w:pStyle w:val="27"/>
        <w:snapToGrid w:val="0"/>
        <w:spacing w:before="0" w:beforeAutospacing="0" w:after="0" w:afterAutospacing="0" w:line="360" w:lineRule="auto"/>
        <w:ind w:firstLine="480" w:firstLineChars="200"/>
        <w:contextualSpacing/>
      </w:pPr>
      <w:r>
        <w:rPr>
          <w:rFonts w:hint="eastAsia"/>
          <w:lang w:val="zh-CN"/>
        </w:rPr>
        <w:t>1.供应商符合资格条件的声明函（</w:t>
      </w:r>
      <w:r>
        <w:rPr>
          <w:rFonts w:hint="eastAsia"/>
        </w:rPr>
        <w:t>格式见附件）；</w:t>
      </w:r>
    </w:p>
    <w:p w14:paraId="3F1523C2">
      <w:pPr>
        <w:pStyle w:val="27"/>
        <w:snapToGrid w:val="0"/>
        <w:spacing w:before="0" w:beforeAutospacing="0" w:after="0" w:afterAutospacing="0" w:line="360" w:lineRule="auto"/>
        <w:ind w:firstLine="480" w:firstLineChars="200"/>
        <w:contextualSpacing/>
        <w:rPr>
          <w:rFonts w:hAnsi="宋体"/>
          <w:b/>
        </w:rPr>
      </w:pPr>
      <w:r>
        <w:rPr>
          <w:rFonts w:hint="eastAsia"/>
        </w:rPr>
        <w:t>2.</w:t>
      </w:r>
      <w:r>
        <w:rPr>
          <w:rFonts w:hint="eastAsia" w:cs="仿宋_GB2312"/>
        </w:rPr>
        <w:t xml:space="preserve"> 提供投标供应商的营业执照副本复印件加盖公章；</w:t>
      </w:r>
    </w:p>
    <w:p w14:paraId="3AC8275F">
      <w:pPr>
        <w:spacing w:line="360" w:lineRule="auto"/>
        <w:ind w:firstLine="480" w:firstLineChars="200"/>
        <w:rPr>
          <w:rFonts w:ascii="宋体" w:hAnsi="宋体" w:cs="宋体"/>
          <w:sz w:val="24"/>
        </w:rPr>
      </w:pPr>
      <w:r>
        <w:rPr>
          <w:rFonts w:hint="eastAsia" w:ascii="宋体" w:cs="仿宋_GB2312"/>
          <w:sz w:val="24"/>
        </w:rPr>
        <w:t>3.法定代表人参加投标的，提供法定代表人身份证明及本人身份证复印件加盖公章；非法定代表人参加的，提供法定代表人授权委托书、被授权人身份证复印件</w:t>
      </w:r>
      <w:r>
        <w:rPr>
          <w:rFonts w:hint="eastAsia" w:ascii="宋体" w:cs="宋体"/>
          <w:sz w:val="24"/>
          <w:lang w:val="zh-CN"/>
        </w:rPr>
        <w:t>及被授权人在该单位</w:t>
      </w:r>
      <w:r>
        <w:rPr>
          <w:rFonts w:hint="eastAsia" w:ascii="宋体" w:cs="宋体"/>
          <w:color w:val="auto"/>
          <w:sz w:val="24"/>
          <w:lang w:eastAsia="zh-CN"/>
        </w:rPr>
        <w:t>2025年10月-2025年12月</w:t>
      </w:r>
      <w:r>
        <w:rPr>
          <w:rFonts w:hint="eastAsia" w:ascii="宋体" w:cs="宋体"/>
          <w:color w:val="auto"/>
          <w:sz w:val="24"/>
        </w:rPr>
        <w:t>任意一个月</w:t>
      </w:r>
      <w:r>
        <w:rPr>
          <w:rFonts w:hint="eastAsia" w:ascii="宋体" w:cs="宋体"/>
          <w:color w:val="auto"/>
          <w:sz w:val="24"/>
          <w:lang w:val="zh-CN"/>
        </w:rPr>
        <w:t>的社保证明</w:t>
      </w:r>
      <w:r>
        <w:rPr>
          <w:rFonts w:hint="eastAsia" w:ascii="宋体" w:cs="宋体"/>
          <w:sz w:val="24"/>
          <w:lang w:val="zh-CN"/>
        </w:rPr>
        <w:t>复印件加盖公章</w:t>
      </w:r>
      <w:r>
        <w:rPr>
          <w:rFonts w:hint="eastAsia" w:ascii="宋体" w:cs="宋体"/>
          <w:sz w:val="24"/>
        </w:rPr>
        <w:t>（格式见附件）</w:t>
      </w:r>
      <w:r>
        <w:rPr>
          <w:rFonts w:hint="eastAsia" w:ascii="宋体" w:hAnsi="宋体" w:cs="宋体"/>
          <w:sz w:val="24"/>
        </w:rPr>
        <w:t xml:space="preserve">  </w:t>
      </w:r>
    </w:p>
    <w:p w14:paraId="17611A4A">
      <w:pPr>
        <w:spacing w:line="360" w:lineRule="auto"/>
        <w:ind w:firstLine="480" w:firstLineChars="200"/>
        <w:rPr>
          <w:rFonts w:ascii="宋体" w:hAnsi="宋体" w:cs="宋体"/>
          <w:sz w:val="24"/>
        </w:rPr>
      </w:pPr>
      <w:r>
        <w:rPr>
          <w:rFonts w:hint="eastAsia" w:ascii="宋体" w:hAnsi="宋体" w:cs="宋体"/>
          <w:sz w:val="24"/>
        </w:rPr>
        <w:t>4.</w:t>
      </w:r>
      <w:r>
        <w:rPr>
          <w:rFonts w:hint="eastAsia" w:ascii="宋体" w:hAnsi="宋体"/>
          <w:sz w:val="24"/>
        </w:rPr>
        <w:t>未被“信用中国”网站（www.creditchina.gov.cn）列入失信被执行人、重大税收违法案件当事人名单、政府采购严重失信行为记录名单</w:t>
      </w:r>
      <w:r>
        <w:rPr>
          <w:rFonts w:hint="eastAsia" w:ascii="宋体" w:hAnsi="宋体" w:cs="宋体"/>
          <w:sz w:val="24"/>
        </w:rPr>
        <w:t>；</w:t>
      </w:r>
    </w:p>
    <w:p w14:paraId="4E9689FF">
      <w:pPr>
        <w:spacing w:line="360" w:lineRule="auto"/>
        <w:ind w:firstLine="480" w:firstLineChars="200"/>
        <w:rPr>
          <w:rFonts w:hint="eastAsia" w:ascii="宋体" w:cs="宋体"/>
          <w:sz w:val="24"/>
        </w:rPr>
      </w:pPr>
      <w:r>
        <w:rPr>
          <w:rFonts w:hint="eastAsia" w:ascii="宋体" w:hAnsi="宋体" w:cs="宋体"/>
          <w:sz w:val="24"/>
        </w:rPr>
        <w:t>5. 供应商应具有出具相应证书的能力（</w:t>
      </w:r>
      <w:r>
        <w:rPr>
          <w:rFonts w:hint="eastAsia" w:ascii="宋体" w:hAnsi="宋体" w:cs="宋体"/>
          <w:b/>
          <w:bCs/>
          <w:sz w:val="24"/>
          <w:highlight w:val="none"/>
        </w:rPr>
        <w:t>证书形式见项目明细表</w:t>
      </w:r>
      <w:r>
        <w:rPr>
          <w:rFonts w:hint="eastAsia" w:ascii="宋体" w:hAnsi="宋体" w:cs="宋体"/>
          <w:sz w:val="24"/>
        </w:rPr>
        <w:t>）：具有中国合格评定国家认可委员会（CNAS）的实验室认可有效证书，具备计量校准证书出具资质；并可针对明细表内检定项目，规范出具相应检定证书</w:t>
      </w:r>
      <w:r>
        <w:rPr>
          <w:rFonts w:hint="eastAsia" w:ascii="宋体" w:hAnsi="宋体" w:cs="宋体"/>
          <w:b/>
          <w:bCs/>
          <w:sz w:val="24"/>
          <w:highlight w:val="none"/>
        </w:rPr>
        <w:t>（须提供</w:t>
      </w:r>
      <w:r>
        <w:rPr>
          <w:rFonts w:hint="eastAsia" w:ascii="宋体" w:hAnsi="宋体" w:cs="宋体"/>
          <w:b/>
          <w:bCs/>
          <w:sz w:val="24"/>
          <w:highlight w:val="none"/>
          <w:lang w:val="en-US" w:eastAsia="zh-CN"/>
        </w:rPr>
        <w:t>以下</w:t>
      </w:r>
      <w:bookmarkStart w:id="18" w:name="_GoBack"/>
      <w:bookmarkEnd w:id="18"/>
      <w:r>
        <w:rPr>
          <w:rFonts w:hint="eastAsia" w:ascii="宋体" w:hAnsi="宋体" w:cs="宋体"/>
          <w:b/>
          <w:bCs/>
          <w:sz w:val="24"/>
          <w:highlight w:val="none"/>
        </w:rPr>
        <w:t>有效资质证书的复印件或扫描件</w:t>
      </w:r>
      <w:r>
        <w:rPr>
          <w:rFonts w:hint="eastAsia" w:ascii="宋体" w:hAnsi="宋体" w:cs="宋体"/>
          <w:b/>
          <w:bCs/>
          <w:sz w:val="24"/>
          <w:highlight w:val="none"/>
          <w:lang w:eastAsia="zh-CN"/>
        </w:rPr>
        <w:t>，</w:t>
      </w:r>
      <w:r>
        <w:rPr>
          <w:rFonts w:hint="eastAsia" w:ascii="宋体" w:hAnsi="宋体" w:cs="宋体"/>
          <w:b/>
          <w:bCs/>
          <w:sz w:val="24"/>
          <w:highlight w:val="none"/>
        </w:rPr>
        <w:t>证书形式见项目明细表</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提供证明材料时，请将证书与表格清单顺序一一对应</w:t>
      </w:r>
      <w:r>
        <w:rPr>
          <w:rFonts w:hint="eastAsia" w:ascii="宋体" w:hAnsi="宋体" w:cs="宋体"/>
          <w:sz w:val="24"/>
          <w:highlight w:val="none"/>
        </w:rPr>
        <w:t>）</w:t>
      </w:r>
      <w:r>
        <w:rPr>
          <w:rFonts w:hint="eastAsia" w:ascii="宋体" w:hAnsi="宋体" w:cs="宋体"/>
          <w:sz w:val="24"/>
        </w:rPr>
        <w:t>）</w:t>
      </w:r>
      <w:r>
        <w:rPr>
          <w:rFonts w:hint="eastAsia" w:ascii="宋体" w:cs="宋体"/>
          <w:sz w:val="24"/>
        </w:rPr>
        <w:t>；</w:t>
      </w:r>
    </w:p>
    <w:p w14:paraId="54D3C31D">
      <w:pPr>
        <w:spacing w:line="360" w:lineRule="auto"/>
        <w:ind w:firstLine="480" w:firstLineChars="200"/>
        <w:rPr>
          <w:rFonts w:ascii="宋体" w:cs="宋体"/>
          <w:sz w:val="24"/>
          <w:lang w:val="zh-CN"/>
        </w:rPr>
      </w:pPr>
      <w:r>
        <w:rPr>
          <w:rFonts w:hint="eastAsia" w:ascii="宋体" w:cs="宋体"/>
          <w:sz w:val="24"/>
        </w:rPr>
        <w:t>6</w:t>
      </w:r>
      <w:r>
        <w:rPr>
          <w:rFonts w:hint="eastAsia" w:ascii="宋体" w:cs="宋体"/>
          <w:sz w:val="24"/>
          <w:lang w:val="zh-CN"/>
        </w:rPr>
        <w:t>.无重大违法记录声明（格式见附件）；</w:t>
      </w:r>
    </w:p>
    <w:p w14:paraId="72FF88B3">
      <w:pPr>
        <w:spacing w:line="360" w:lineRule="auto"/>
        <w:ind w:firstLine="480" w:firstLineChars="200"/>
        <w:rPr>
          <w:rFonts w:hint="eastAsia" w:ascii="宋体" w:hAnsi="宋体" w:cs="宋体"/>
          <w:sz w:val="24"/>
          <w:lang w:val="zh-CN"/>
        </w:rPr>
      </w:pPr>
      <w:r>
        <w:rPr>
          <w:rFonts w:hint="eastAsia" w:ascii="宋体" w:hAnsi="宋体" w:cs="宋体"/>
          <w:sz w:val="24"/>
        </w:rPr>
        <w:t>7.投标及履约承诺书</w:t>
      </w:r>
      <w:r>
        <w:rPr>
          <w:rFonts w:hint="eastAsia" w:ascii="宋体" w:hAnsi="宋体" w:cs="宋体"/>
          <w:sz w:val="24"/>
          <w:lang w:val="zh-CN"/>
        </w:rPr>
        <w:t>（格式见</w:t>
      </w:r>
      <w:r>
        <w:rPr>
          <w:rFonts w:hint="eastAsia" w:ascii="宋体" w:hAnsi="宋体" w:cs="宋体"/>
          <w:sz w:val="24"/>
        </w:rPr>
        <w:t>附件</w:t>
      </w:r>
      <w:r>
        <w:rPr>
          <w:rFonts w:hint="eastAsia" w:ascii="宋体" w:hAnsi="宋体" w:cs="宋体"/>
          <w:sz w:val="24"/>
          <w:lang w:val="zh-CN"/>
        </w:rPr>
        <w:t>）；</w:t>
      </w:r>
    </w:p>
    <w:p w14:paraId="7ADED880">
      <w:pPr>
        <w:spacing w:line="360" w:lineRule="auto"/>
        <w:ind w:firstLine="480" w:firstLineChars="200"/>
        <w:rPr>
          <w:rFonts w:ascii="宋体" w:hAnsi="宋体" w:cs="宋体"/>
          <w:sz w:val="24"/>
        </w:rPr>
      </w:pPr>
      <w:r>
        <w:rPr>
          <w:rFonts w:hint="eastAsia" w:ascii="宋体" w:hAnsi="宋体" w:cs="宋体"/>
          <w:sz w:val="24"/>
        </w:rPr>
        <w:t>8.投标供应商与其他单位存在控股、管理关系情况表</w:t>
      </w:r>
      <w:r>
        <w:rPr>
          <w:rFonts w:hint="eastAsia" w:ascii="宋体" w:hAnsi="宋体" w:cs="宋体"/>
          <w:sz w:val="24"/>
          <w:lang w:val="zh-CN"/>
        </w:rPr>
        <w:t>（格式见附件）；</w:t>
      </w:r>
    </w:p>
    <w:p w14:paraId="245AE288">
      <w:pPr>
        <w:spacing w:line="360" w:lineRule="auto"/>
        <w:ind w:firstLine="480" w:firstLineChars="200"/>
        <w:rPr>
          <w:rFonts w:hint="eastAsia" w:ascii="宋体" w:hAnsi="宋体" w:cs="宋体"/>
          <w:sz w:val="24"/>
        </w:rPr>
      </w:pPr>
      <w:r>
        <w:rPr>
          <w:rFonts w:hint="eastAsia" w:ascii="宋体" w:hAnsi="宋体" w:cs="宋体"/>
          <w:sz w:val="24"/>
        </w:rPr>
        <w:t>9.投标人根据比选文件要求认为需要提交的其他资料。</w:t>
      </w:r>
    </w:p>
    <w:p w14:paraId="17D2EC57">
      <w:pPr>
        <w:widowControl/>
        <w:snapToGrid w:val="0"/>
        <w:spacing w:line="360" w:lineRule="auto"/>
        <w:ind w:firstLine="482" w:firstLineChars="200"/>
        <w:jc w:val="left"/>
        <w:rPr>
          <w:rFonts w:ascii="宋体" w:hAnsi="宋体" w:cs="宋体"/>
          <w:b/>
          <w:bCs/>
          <w:sz w:val="24"/>
        </w:rPr>
      </w:pPr>
      <w:r>
        <w:rPr>
          <w:rFonts w:hint="eastAsia" w:hAnsi="宋体"/>
          <w:b/>
          <w:sz w:val="24"/>
        </w:rPr>
        <w:t>二、</w:t>
      </w:r>
      <w:r>
        <w:rPr>
          <w:rFonts w:hint="eastAsia" w:ascii="宋体" w:hAnsi="宋体" w:cs="宋体"/>
          <w:b/>
          <w:bCs/>
          <w:sz w:val="24"/>
        </w:rPr>
        <w:t>价格响应文件（不得出现在资格审查部分，单独密封</w:t>
      </w:r>
      <w:r>
        <w:rPr>
          <w:rFonts w:hint="eastAsia" w:ascii="宋体" w:hAnsi="宋体" w:cs="宋体"/>
          <w:b/>
          <w:sz w:val="24"/>
        </w:rPr>
        <w:t>）</w:t>
      </w:r>
      <w:r>
        <w:rPr>
          <w:rFonts w:hint="eastAsia" w:ascii="宋体" w:hAnsi="宋体" w:cs="宋体"/>
          <w:b/>
          <w:bCs/>
          <w:sz w:val="24"/>
        </w:rPr>
        <w:t>：</w:t>
      </w:r>
    </w:p>
    <w:p w14:paraId="148149C1">
      <w:pPr>
        <w:spacing w:line="360" w:lineRule="auto"/>
        <w:ind w:firstLine="480" w:firstLineChars="200"/>
        <w:rPr>
          <w:rFonts w:ascii="宋体" w:hAnsi="宋体" w:cs="宋体"/>
          <w:sz w:val="24"/>
        </w:rPr>
      </w:pPr>
      <w:r>
        <w:rPr>
          <w:rFonts w:hint="eastAsia" w:ascii="宋体" w:hAnsi="宋体" w:cs="宋体"/>
          <w:sz w:val="24"/>
        </w:rPr>
        <w:t>1.比选响应函</w:t>
      </w:r>
      <w:r>
        <w:rPr>
          <w:rFonts w:hint="eastAsia" w:ascii="宋体" w:hAnsi="宋体" w:cs="宋体"/>
          <w:sz w:val="24"/>
          <w:lang w:val="zh-CN"/>
        </w:rPr>
        <w:t>（格式见</w:t>
      </w:r>
      <w:r>
        <w:rPr>
          <w:rFonts w:hint="eastAsia" w:ascii="宋体" w:hAnsi="宋体" w:cs="宋体"/>
          <w:sz w:val="24"/>
        </w:rPr>
        <w:t>附件</w:t>
      </w:r>
      <w:r>
        <w:rPr>
          <w:rFonts w:hint="eastAsia" w:ascii="宋体" w:hAnsi="宋体" w:cs="宋体"/>
          <w:sz w:val="24"/>
          <w:lang w:val="zh-CN"/>
        </w:rPr>
        <w:t>）；</w:t>
      </w:r>
    </w:p>
    <w:p w14:paraId="66DEBB9F">
      <w:pPr>
        <w:spacing w:line="360" w:lineRule="auto"/>
        <w:ind w:firstLine="480" w:firstLineChars="200"/>
        <w:rPr>
          <w:rFonts w:ascii="宋体" w:hAnsi="宋体" w:cs="宋体"/>
          <w:sz w:val="24"/>
        </w:rPr>
      </w:pPr>
      <w:r>
        <w:rPr>
          <w:rFonts w:hint="eastAsia" w:ascii="宋体" w:hAnsi="宋体" w:cs="宋体"/>
          <w:sz w:val="24"/>
        </w:rPr>
        <w:t>2.报价总表</w:t>
      </w:r>
      <w:r>
        <w:rPr>
          <w:rFonts w:hint="eastAsia" w:ascii="宋体" w:hAnsi="宋体" w:cs="宋体"/>
          <w:sz w:val="24"/>
          <w:lang w:val="zh-CN"/>
        </w:rPr>
        <w:t>（格式见</w:t>
      </w:r>
      <w:r>
        <w:rPr>
          <w:rFonts w:hint="eastAsia" w:ascii="宋体" w:hAnsi="宋体" w:cs="宋体"/>
          <w:sz w:val="24"/>
        </w:rPr>
        <w:t>附件</w:t>
      </w:r>
      <w:r>
        <w:rPr>
          <w:rFonts w:hint="eastAsia" w:ascii="宋体" w:hAnsi="宋体" w:cs="宋体"/>
          <w:sz w:val="24"/>
          <w:lang w:val="zh-CN"/>
        </w:rPr>
        <w:t>）；</w:t>
      </w:r>
    </w:p>
    <w:p w14:paraId="17313D7C">
      <w:pPr>
        <w:pageBreakBefore/>
        <w:widowControl/>
        <w:snapToGrid w:val="0"/>
        <w:spacing w:line="360" w:lineRule="auto"/>
        <w:jc w:val="center"/>
        <w:textAlignment w:val="baseline"/>
        <w:rPr>
          <w:rFonts w:ascii="Calibri" w:hAnsi="Calibri"/>
          <w:b/>
          <w:sz w:val="32"/>
          <w:szCs w:val="32"/>
        </w:rPr>
      </w:pPr>
      <w:r>
        <w:rPr>
          <w:rFonts w:hint="eastAsia" w:ascii="Calibri" w:hAnsi="Calibri"/>
          <w:b/>
          <w:sz w:val="32"/>
          <w:szCs w:val="32"/>
        </w:rPr>
        <w:t>比选</w:t>
      </w:r>
      <w:r>
        <w:rPr>
          <w:rFonts w:ascii="Calibri" w:hAnsi="Calibri"/>
          <w:b/>
          <w:sz w:val="32"/>
          <w:szCs w:val="32"/>
        </w:rPr>
        <w:t>响应文件</w:t>
      </w:r>
      <w:r>
        <w:rPr>
          <w:rFonts w:hint="eastAsia" w:ascii="Calibri" w:hAnsi="Calibri"/>
          <w:b/>
          <w:sz w:val="32"/>
          <w:szCs w:val="32"/>
        </w:rPr>
        <w:t>相关格式</w:t>
      </w:r>
    </w:p>
    <w:p w14:paraId="569F5AEA">
      <w:pPr>
        <w:spacing w:line="360" w:lineRule="auto"/>
        <w:jc w:val="left"/>
        <w:rPr>
          <w:rFonts w:ascii="宋体" w:hAnsi="宋体" w:cs="宋体"/>
          <w:b/>
          <w:sz w:val="24"/>
        </w:rPr>
      </w:pPr>
      <w:r>
        <w:rPr>
          <w:rFonts w:hint="eastAsia" w:ascii="宋体" w:hAnsi="宋体" w:cs="宋体"/>
          <w:b/>
          <w:sz w:val="24"/>
        </w:rPr>
        <w:t>（一）资格审查证明材料相关格式</w:t>
      </w:r>
    </w:p>
    <w:p w14:paraId="434F0CC0">
      <w:pPr>
        <w:rPr>
          <w:rFonts w:ascii="宋体" w:hAnsi="宋体" w:cs="宋体"/>
          <w:b/>
          <w:bCs/>
          <w:sz w:val="24"/>
        </w:rPr>
      </w:pPr>
    </w:p>
    <w:p w14:paraId="518EA06F">
      <w:pPr>
        <w:rPr>
          <w:rFonts w:ascii="宋体" w:hAnsi="宋体" w:cs="宋体"/>
          <w:b/>
          <w:bCs/>
          <w:sz w:val="24"/>
        </w:rPr>
      </w:pPr>
      <w:r>
        <w:rPr>
          <w:rFonts w:hint="eastAsia" w:ascii="宋体" w:hAnsi="宋体" w:cs="宋体"/>
          <w:b/>
          <w:bCs/>
          <w:sz w:val="24"/>
        </w:rPr>
        <w:t>附件1</w:t>
      </w:r>
    </w:p>
    <w:p w14:paraId="15B6F229">
      <w:pPr>
        <w:spacing w:line="360" w:lineRule="auto"/>
        <w:jc w:val="center"/>
        <w:rPr>
          <w:rFonts w:ascii="宋体" w:hAnsi="宋体" w:cs="宋体"/>
          <w:b/>
          <w:sz w:val="24"/>
        </w:rPr>
      </w:pPr>
    </w:p>
    <w:p w14:paraId="187D2200">
      <w:pPr>
        <w:spacing w:line="360" w:lineRule="auto"/>
        <w:jc w:val="center"/>
        <w:rPr>
          <w:rFonts w:ascii="宋体" w:cs="宋体"/>
          <w:b/>
          <w:sz w:val="28"/>
          <w:szCs w:val="28"/>
        </w:rPr>
      </w:pPr>
      <w:bookmarkStart w:id="16" w:name="_Hlk129703696"/>
      <w:r>
        <w:rPr>
          <w:rFonts w:hint="eastAsia" w:ascii="宋体" w:cs="宋体"/>
          <w:b/>
          <w:sz w:val="28"/>
          <w:szCs w:val="28"/>
        </w:rPr>
        <w:t>供应商符合资格条件的声明函</w:t>
      </w:r>
      <w:bookmarkEnd w:id="16"/>
    </w:p>
    <w:p w14:paraId="60911795">
      <w:pPr>
        <w:spacing w:line="480" w:lineRule="auto"/>
        <w:rPr>
          <w:rFonts w:ascii="宋体" w:cs="宋体"/>
          <w:b/>
          <w:bCs/>
          <w:sz w:val="44"/>
          <w:szCs w:val="44"/>
        </w:rPr>
      </w:pPr>
    </w:p>
    <w:p w14:paraId="326AF534">
      <w:pPr>
        <w:spacing w:line="480" w:lineRule="auto"/>
        <w:ind w:firstLine="480" w:firstLineChars="200"/>
        <w:rPr>
          <w:rFonts w:ascii="宋体" w:cs="仿宋_GB2312"/>
          <w:b/>
          <w:bCs/>
          <w:sz w:val="24"/>
        </w:rPr>
      </w:pPr>
      <w:r>
        <w:rPr>
          <w:rFonts w:hint="eastAsia" w:ascii="宋体" w:cs="仿宋_GB2312"/>
          <w:bCs/>
          <w:sz w:val="24"/>
        </w:rPr>
        <w:t>我单位参加</w:t>
      </w:r>
      <w:r>
        <w:rPr>
          <w:rFonts w:hint="eastAsia" w:ascii="宋体" w:cs="仿宋_GB2312"/>
          <w:bCs/>
          <w:sz w:val="24"/>
          <w:szCs w:val="21"/>
        </w:rPr>
        <w:t>（项目名称）投标活动。针对采购文件规定做出如下声明：</w:t>
      </w:r>
    </w:p>
    <w:p w14:paraId="4EA43E2B">
      <w:pPr>
        <w:spacing w:line="480" w:lineRule="auto"/>
        <w:ind w:firstLine="480" w:firstLineChars="200"/>
        <w:rPr>
          <w:rFonts w:ascii="宋体" w:cs="仿宋_GB2312"/>
          <w:sz w:val="24"/>
        </w:rPr>
      </w:pPr>
      <w:r>
        <w:rPr>
          <w:rFonts w:hint="eastAsia" w:ascii="宋体" w:cs="仿宋_GB2312"/>
          <w:bCs/>
          <w:sz w:val="24"/>
          <w:szCs w:val="21"/>
        </w:rPr>
        <w:t>1.我单位具有独立承担民事责任的能力；</w:t>
      </w:r>
    </w:p>
    <w:p w14:paraId="7C86D9A6">
      <w:pPr>
        <w:spacing w:line="480" w:lineRule="auto"/>
        <w:ind w:firstLine="480" w:firstLineChars="200"/>
        <w:rPr>
          <w:rFonts w:ascii="宋体" w:cs="仿宋_GB2312"/>
          <w:sz w:val="24"/>
        </w:rPr>
      </w:pPr>
      <w:r>
        <w:rPr>
          <w:rFonts w:hint="eastAsia" w:ascii="宋体" w:cs="仿宋_GB2312"/>
          <w:sz w:val="24"/>
        </w:rPr>
        <w:t>2.我单位具有良好的商业信誉和健全的财务会计制度；</w:t>
      </w:r>
    </w:p>
    <w:p w14:paraId="2D586EEF">
      <w:pPr>
        <w:spacing w:line="480" w:lineRule="auto"/>
        <w:ind w:firstLine="480" w:firstLineChars="200"/>
        <w:rPr>
          <w:rFonts w:ascii="宋体" w:cs="仿宋_GB2312"/>
          <w:sz w:val="24"/>
        </w:rPr>
      </w:pPr>
      <w:r>
        <w:rPr>
          <w:rFonts w:hint="eastAsia" w:ascii="宋体" w:cs="仿宋_GB2312"/>
          <w:sz w:val="24"/>
        </w:rPr>
        <w:t>3.我单位具有履行合同所必需的设备和专业技术能力；</w:t>
      </w:r>
    </w:p>
    <w:p w14:paraId="27D7F1BA">
      <w:pPr>
        <w:spacing w:line="480" w:lineRule="auto"/>
        <w:ind w:firstLine="480" w:firstLineChars="200"/>
        <w:rPr>
          <w:rFonts w:ascii="宋体" w:cs="仿宋_GB2312"/>
          <w:sz w:val="24"/>
        </w:rPr>
      </w:pPr>
      <w:r>
        <w:rPr>
          <w:rFonts w:hint="eastAsia" w:ascii="宋体" w:cs="仿宋_GB2312"/>
          <w:sz w:val="24"/>
        </w:rPr>
        <w:t>4.我单位有依法缴纳税收和社会保障资金的良好记录；</w:t>
      </w:r>
    </w:p>
    <w:p w14:paraId="69A05885">
      <w:pPr>
        <w:spacing w:line="480" w:lineRule="auto"/>
        <w:ind w:firstLine="480" w:firstLineChars="200"/>
        <w:rPr>
          <w:rFonts w:ascii="宋体" w:cs="仿宋_GB2312"/>
          <w:sz w:val="24"/>
        </w:rPr>
      </w:pPr>
      <w:r>
        <w:rPr>
          <w:rFonts w:hint="eastAsia" w:ascii="宋体" w:cs="仿宋_GB2312"/>
          <w:sz w:val="24"/>
        </w:rPr>
        <w:t>5.我单位满足法律、行政法规规定的其他条件。</w:t>
      </w:r>
    </w:p>
    <w:p w14:paraId="4CEA4DE0">
      <w:pPr>
        <w:spacing w:line="480" w:lineRule="auto"/>
        <w:ind w:firstLine="480" w:firstLineChars="200"/>
        <w:rPr>
          <w:rFonts w:ascii="宋体" w:cs="仿宋_GB2312"/>
          <w:sz w:val="24"/>
        </w:rPr>
      </w:pPr>
    </w:p>
    <w:p w14:paraId="7B7B02B2">
      <w:pPr>
        <w:spacing w:line="480" w:lineRule="auto"/>
        <w:ind w:firstLine="480" w:firstLineChars="200"/>
        <w:rPr>
          <w:rFonts w:ascii="宋体" w:cs="仿宋_GB2312"/>
          <w:sz w:val="24"/>
        </w:rPr>
      </w:pPr>
    </w:p>
    <w:p w14:paraId="1F43831E">
      <w:pPr>
        <w:spacing w:line="480" w:lineRule="auto"/>
        <w:ind w:firstLine="480" w:firstLineChars="200"/>
        <w:rPr>
          <w:rFonts w:ascii="宋体" w:cs="仿宋_GB2312"/>
          <w:bCs/>
          <w:sz w:val="24"/>
          <w:szCs w:val="21"/>
        </w:rPr>
      </w:pPr>
    </w:p>
    <w:p w14:paraId="01142C78">
      <w:pPr>
        <w:spacing w:line="360" w:lineRule="auto"/>
        <w:ind w:firstLine="480" w:firstLineChars="200"/>
        <w:rPr>
          <w:rFonts w:ascii="宋体" w:cs="仿宋_GB2312"/>
          <w:bCs/>
          <w:sz w:val="24"/>
          <w:szCs w:val="21"/>
        </w:rPr>
      </w:pPr>
    </w:p>
    <w:p w14:paraId="49D9D86D">
      <w:pPr>
        <w:spacing w:line="360" w:lineRule="auto"/>
        <w:ind w:firstLine="480" w:firstLineChars="200"/>
        <w:rPr>
          <w:rFonts w:ascii="宋体" w:cs="仿宋_GB2312"/>
          <w:bCs/>
          <w:sz w:val="24"/>
          <w:szCs w:val="21"/>
        </w:rPr>
      </w:pPr>
    </w:p>
    <w:p w14:paraId="3C6A7FE2">
      <w:pPr>
        <w:spacing w:line="360" w:lineRule="auto"/>
        <w:ind w:firstLine="480" w:firstLineChars="200"/>
        <w:jc w:val="center"/>
        <w:rPr>
          <w:rFonts w:ascii="宋体" w:cs="仿宋_GB2312"/>
          <w:bCs/>
          <w:sz w:val="24"/>
          <w:szCs w:val="21"/>
        </w:rPr>
      </w:pPr>
      <w:r>
        <w:rPr>
          <w:rFonts w:hint="eastAsia" w:ascii="宋体" w:cs="仿宋_GB2312"/>
          <w:bCs/>
          <w:sz w:val="24"/>
          <w:szCs w:val="21"/>
        </w:rPr>
        <w:t xml:space="preserve">                                             声明人名称（公章）：</w:t>
      </w:r>
    </w:p>
    <w:p w14:paraId="17AA8E13">
      <w:pPr>
        <w:spacing w:line="360" w:lineRule="auto"/>
        <w:ind w:firstLine="480" w:firstLineChars="200"/>
        <w:jc w:val="right"/>
        <w:rPr>
          <w:rFonts w:ascii="宋体" w:cs="仿宋_GB2312"/>
          <w:bCs/>
          <w:sz w:val="24"/>
          <w:szCs w:val="21"/>
        </w:rPr>
      </w:pPr>
    </w:p>
    <w:p w14:paraId="24BEC467">
      <w:pPr>
        <w:spacing w:line="360" w:lineRule="auto"/>
        <w:ind w:firstLine="480" w:firstLineChars="200"/>
        <w:jc w:val="right"/>
        <w:rPr>
          <w:rFonts w:ascii="宋体" w:cs="仿宋_GB2312"/>
          <w:bCs/>
          <w:sz w:val="24"/>
          <w:szCs w:val="21"/>
        </w:rPr>
      </w:pPr>
      <w:r>
        <w:rPr>
          <w:rFonts w:hint="eastAsia" w:ascii="宋体" w:cs="仿宋_GB2312"/>
          <w:bCs/>
          <w:sz w:val="24"/>
          <w:szCs w:val="21"/>
        </w:rPr>
        <w:t xml:space="preserve">                                 日期：  年  月  日</w:t>
      </w:r>
    </w:p>
    <w:p w14:paraId="7009D0B5">
      <w:pPr>
        <w:spacing w:line="360" w:lineRule="auto"/>
        <w:jc w:val="center"/>
        <w:outlineLvl w:val="2"/>
        <w:rPr>
          <w:rFonts w:ascii="宋体" w:hAnsi="宋体" w:cs="宋体"/>
          <w:b/>
          <w:bCs/>
          <w:sz w:val="28"/>
          <w:szCs w:val="28"/>
        </w:rPr>
      </w:pPr>
      <w:r>
        <w:rPr>
          <w:rFonts w:ascii="宋体" w:hAnsi="宋体" w:cs="宋体"/>
          <w:b/>
          <w:bCs/>
          <w:sz w:val="28"/>
          <w:szCs w:val="28"/>
        </w:rPr>
        <w:br w:type="page"/>
      </w:r>
    </w:p>
    <w:p w14:paraId="5BA4F0C9">
      <w:pPr>
        <w:spacing w:line="360" w:lineRule="auto"/>
        <w:jc w:val="left"/>
        <w:outlineLvl w:val="2"/>
        <w:rPr>
          <w:rFonts w:ascii="宋体" w:hAnsi="宋体" w:cs="宋体"/>
          <w:b/>
          <w:bCs/>
          <w:sz w:val="28"/>
          <w:szCs w:val="28"/>
        </w:rPr>
      </w:pPr>
      <w:r>
        <w:rPr>
          <w:rFonts w:hint="eastAsia" w:ascii="宋体" w:hAnsi="宋体" w:cs="宋体"/>
          <w:b/>
          <w:bCs/>
          <w:sz w:val="28"/>
          <w:szCs w:val="28"/>
        </w:rPr>
        <w:t>附件2</w:t>
      </w:r>
    </w:p>
    <w:p w14:paraId="5FD778D6">
      <w:pPr>
        <w:spacing w:line="360" w:lineRule="auto"/>
        <w:jc w:val="center"/>
        <w:outlineLvl w:val="2"/>
        <w:rPr>
          <w:rFonts w:ascii="宋体" w:cs="宋体"/>
          <w:b/>
          <w:sz w:val="28"/>
          <w:szCs w:val="28"/>
        </w:rPr>
      </w:pPr>
      <w:r>
        <w:rPr>
          <w:rFonts w:hint="eastAsia" w:ascii="宋体" w:cs="宋体"/>
          <w:b/>
          <w:sz w:val="28"/>
          <w:szCs w:val="28"/>
        </w:rPr>
        <w:t>法定代表人身份证明</w:t>
      </w:r>
    </w:p>
    <w:p w14:paraId="05D58856">
      <w:pPr>
        <w:spacing w:line="480" w:lineRule="exact"/>
        <w:ind w:firstLine="480" w:firstLineChars="200"/>
        <w:rPr>
          <w:rFonts w:ascii="宋体" w:hAnsi="宋体" w:cs="宋体"/>
          <w:sz w:val="24"/>
        </w:rPr>
      </w:pPr>
      <w:r>
        <w:rPr>
          <w:rFonts w:hint="eastAsia" w:ascii="宋体" w:hAnsi="宋体" w:cs="宋体"/>
          <w:sz w:val="24"/>
        </w:rPr>
        <w:t>单位名称：</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p>
    <w:p w14:paraId="735106FB">
      <w:pPr>
        <w:spacing w:line="480" w:lineRule="exact"/>
        <w:ind w:firstLine="480" w:firstLineChars="200"/>
        <w:rPr>
          <w:rFonts w:ascii="宋体" w:hAnsi="宋体" w:cs="宋体"/>
          <w:sz w:val="24"/>
        </w:rPr>
      </w:pPr>
      <w:r>
        <w:rPr>
          <w:rFonts w:hint="eastAsia" w:ascii="宋体" w:hAnsi="宋体" w:cs="宋体"/>
          <w:sz w:val="24"/>
        </w:rPr>
        <w:t>地    址：</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 xml:space="preserve">   </w:t>
      </w:r>
    </w:p>
    <w:p w14:paraId="5DDFEE1C">
      <w:pPr>
        <w:spacing w:line="480" w:lineRule="exact"/>
        <w:ind w:firstLine="480" w:firstLineChars="200"/>
        <w:rPr>
          <w:rFonts w:ascii="宋体" w:hAnsi="宋体" w:cs="宋体"/>
          <w:sz w:val="24"/>
        </w:rPr>
      </w:pPr>
      <w:r>
        <w:rPr>
          <w:rFonts w:hint="eastAsia" w:ascii="宋体" w:hAnsi="宋体" w:cs="宋体"/>
          <w:sz w:val="24"/>
        </w:rPr>
        <w:t>姓    名：</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rPr>
        <w:t>性   别：</w:t>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rPr>
        <w:t>年  龄：</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rPr>
        <w:t>职  务：</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rPr>
        <w:t>联系方式：</w:t>
      </w:r>
      <w:r>
        <w:rPr>
          <w:rFonts w:hint="eastAsia" w:ascii="宋体" w:hAnsi="宋体" w:cs="宋体"/>
          <w:sz w:val="24"/>
          <w:u w:val="single"/>
        </w:rPr>
        <w:t xml:space="preserve">         </w:t>
      </w:r>
    </w:p>
    <w:p w14:paraId="35EA7451">
      <w:pPr>
        <w:spacing w:line="480" w:lineRule="exact"/>
        <w:ind w:firstLine="480" w:firstLineChars="200"/>
        <w:rPr>
          <w:rFonts w:ascii="宋体" w:hAnsi="宋体" w:cs="宋体"/>
          <w:sz w:val="24"/>
        </w:rPr>
      </w:pPr>
      <w:r>
        <w:rPr>
          <w:rFonts w:hint="eastAsia" w:ascii="宋体" w:hAnsi="宋体" w:cs="宋体"/>
          <w:sz w:val="24"/>
        </w:rPr>
        <w:t>系</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rPr>
        <w:t>的法定代表人。为</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rPr>
        <w:t>项目，签署上述招标申请文件、进行合同谈判、签署合同和处理与之有关的一切事务。</w:t>
      </w:r>
    </w:p>
    <w:p w14:paraId="2494DB78">
      <w:pPr>
        <w:spacing w:line="480" w:lineRule="exact"/>
        <w:ind w:firstLine="480" w:firstLineChars="200"/>
        <w:rPr>
          <w:rFonts w:ascii="宋体" w:hAnsi="宋体" w:cs="宋体"/>
          <w:sz w:val="24"/>
        </w:rPr>
      </w:pPr>
    </w:p>
    <w:p w14:paraId="45FAC9CA">
      <w:pPr>
        <w:spacing w:line="480" w:lineRule="exact"/>
        <w:ind w:firstLine="480" w:firstLineChars="200"/>
        <w:rPr>
          <w:rFonts w:ascii="宋体" w:hAnsi="宋体" w:cs="宋体"/>
          <w:sz w:val="24"/>
        </w:rPr>
      </w:pPr>
      <w:r>
        <w:rPr>
          <w:rFonts w:hint="eastAsia" w:ascii="宋体" w:hAnsi="宋体" w:cs="宋体"/>
          <w:sz w:val="24"/>
        </w:rPr>
        <w:t>特此证明</w:t>
      </w:r>
    </w:p>
    <w:p w14:paraId="5EE8CB78">
      <w:pPr>
        <w:spacing w:line="480" w:lineRule="exact"/>
        <w:ind w:firstLine="480" w:firstLineChars="200"/>
        <w:rPr>
          <w:rFonts w:ascii="宋体" w:hAnsi="宋体" w:cs="宋体"/>
          <w:sz w:val="24"/>
        </w:rPr>
      </w:pPr>
    </w:p>
    <w:p w14:paraId="26B478F8">
      <w:pPr>
        <w:spacing w:line="480" w:lineRule="exact"/>
        <w:ind w:firstLine="480" w:firstLineChars="200"/>
        <w:rPr>
          <w:rFonts w:ascii="宋体" w:hAnsi="宋体" w:cs="宋体"/>
          <w:sz w:val="24"/>
        </w:rPr>
      </w:pPr>
    </w:p>
    <w:p w14:paraId="15B749F5">
      <w:pPr>
        <w:spacing w:line="480" w:lineRule="exact"/>
        <w:ind w:firstLine="480" w:firstLineChars="200"/>
        <w:rPr>
          <w:rFonts w:ascii="宋体" w:hAnsi="宋体" w:cs="宋体"/>
          <w:sz w:val="24"/>
        </w:rPr>
      </w:pPr>
    </w:p>
    <w:p w14:paraId="7536EFE2">
      <w:pPr>
        <w:spacing w:line="480" w:lineRule="exact"/>
        <w:ind w:firstLine="480" w:firstLineChars="200"/>
        <w:rPr>
          <w:rFonts w:ascii="宋体" w:hAnsi="宋体" w:cs="宋体"/>
          <w:sz w:val="24"/>
        </w:rPr>
      </w:pPr>
      <w:r>
        <w:rPr>
          <w:rFonts w:hint="eastAsia" w:ascii="宋体" w:hAnsi="宋体" w:cs="宋体"/>
          <w:sz w:val="24"/>
        </w:rPr>
        <w:t>比选人：</w:t>
      </w:r>
      <w:r>
        <w:rPr>
          <w:rFonts w:hint="eastAsia" w:ascii="宋体" w:hAnsi="宋体" w:cs="宋体"/>
          <w:sz w:val="24"/>
          <w:u w:val="single"/>
        </w:rPr>
        <w:t>（盖章）</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p>
    <w:p w14:paraId="73E1311B">
      <w:pPr>
        <w:spacing w:line="480" w:lineRule="exact"/>
        <w:ind w:firstLine="480" w:firstLineChars="200"/>
        <w:rPr>
          <w:rFonts w:ascii="宋体" w:hAnsi="宋体" w:cs="宋体"/>
          <w:sz w:val="24"/>
        </w:rPr>
      </w:pPr>
    </w:p>
    <w:p w14:paraId="63A622C6">
      <w:pPr>
        <w:spacing w:line="480" w:lineRule="exact"/>
        <w:ind w:firstLine="480" w:firstLineChars="200"/>
        <w:rPr>
          <w:rFonts w:ascii="宋体" w:hAnsi="宋体" w:cs="宋体"/>
          <w:sz w:val="24"/>
        </w:rPr>
      </w:pPr>
      <w:r>
        <w:rPr>
          <w:rFonts w:hint="eastAsia" w:ascii="宋体" w:hAnsi="宋体" w:cs="宋体"/>
          <w:sz w:val="24"/>
        </w:rPr>
        <w:t>日    期：</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rPr>
        <w:t>月</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rPr>
        <w:t>日</w:t>
      </w:r>
    </w:p>
    <w:tbl>
      <w:tblPr>
        <w:tblStyle w:val="14"/>
        <w:tblpPr w:leftFromText="180" w:rightFromText="180" w:vertAnchor="text" w:horzAnchor="page" w:tblpX="2452" w:tblpY="484"/>
        <w:tblOverlap w:val="never"/>
        <w:tblW w:w="7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0"/>
      </w:tblGrid>
      <w:tr w14:paraId="690D3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7840" w:type="dxa"/>
            <w:noWrap w:val="0"/>
            <w:vAlign w:val="top"/>
          </w:tcPr>
          <w:p w14:paraId="5BF1FE29">
            <w:pPr>
              <w:snapToGrid w:val="0"/>
              <w:spacing w:line="420" w:lineRule="exact"/>
              <w:ind w:left="193" w:firstLine="484" w:firstLineChars="202"/>
              <w:jc w:val="left"/>
              <w:rPr>
                <w:rFonts w:ascii="宋体" w:hAnsi="宋体" w:cs="宋体"/>
                <w:sz w:val="24"/>
              </w:rPr>
            </w:pPr>
          </w:p>
          <w:p w14:paraId="07EEB460">
            <w:pPr>
              <w:snapToGrid w:val="0"/>
              <w:spacing w:line="420" w:lineRule="exact"/>
              <w:jc w:val="center"/>
              <w:rPr>
                <w:rFonts w:ascii="宋体" w:hAnsi="宋体" w:cs="宋体"/>
                <w:b/>
                <w:bCs/>
                <w:sz w:val="24"/>
              </w:rPr>
            </w:pPr>
            <w:r>
              <w:rPr>
                <w:rFonts w:hint="eastAsia" w:ascii="宋体" w:hAnsi="宋体" w:cs="宋体"/>
                <w:b/>
                <w:bCs/>
                <w:sz w:val="24"/>
              </w:rPr>
              <w:t>法定代表人身份证（正、反面）复印件并加盖公章</w:t>
            </w:r>
            <w:r>
              <w:rPr>
                <w:rFonts w:hint="eastAsia" w:ascii="宋体" w:hAnsi="宋体" w:cs="宋体"/>
                <w:b/>
                <w:bCs/>
                <w:sz w:val="24"/>
                <w:u w:val="single"/>
              </w:rPr>
              <w:t>（黏贴此处）</w:t>
            </w:r>
          </w:p>
          <w:p w14:paraId="79B30C40">
            <w:pPr>
              <w:snapToGrid w:val="0"/>
              <w:spacing w:line="420" w:lineRule="exact"/>
              <w:ind w:left="193"/>
              <w:jc w:val="left"/>
              <w:rPr>
                <w:rFonts w:ascii="宋体" w:hAnsi="宋体" w:cs="宋体"/>
                <w:b/>
                <w:bCs/>
                <w:sz w:val="24"/>
              </w:rPr>
            </w:pPr>
          </w:p>
          <w:p w14:paraId="5C9EF22A">
            <w:pPr>
              <w:snapToGrid w:val="0"/>
              <w:spacing w:line="420" w:lineRule="exact"/>
              <w:ind w:left="193"/>
              <w:jc w:val="left"/>
              <w:rPr>
                <w:rFonts w:ascii="宋体" w:hAnsi="宋体" w:cs="宋体"/>
                <w:b/>
                <w:bCs/>
                <w:sz w:val="24"/>
              </w:rPr>
            </w:pPr>
          </w:p>
          <w:p w14:paraId="5D5E567F">
            <w:pPr>
              <w:snapToGrid w:val="0"/>
              <w:spacing w:line="420" w:lineRule="exact"/>
              <w:ind w:left="193"/>
              <w:jc w:val="left"/>
              <w:rPr>
                <w:rFonts w:ascii="宋体" w:hAnsi="宋体" w:cs="宋体"/>
                <w:b/>
                <w:bCs/>
                <w:sz w:val="24"/>
              </w:rPr>
            </w:pPr>
          </w:p>
          <w:p w14:paraId="4DE6B939">
            <w:pPr>
              <w:snapToGrid w:val="0"/>
              <w:spacing w:line="420" w:lineRule="exact"/>
              <w:ind w:left="193" w:firstLine="484" w:firstLineChars="202"/>
              <w:jc w:val="left"/>
              <w:rPr>
                <w:rFonts w:ascii="宋体" w:hAnsi="宋体" w:cs="宋体"/>
                <w:sz w:val="24"/>
              </w:rPr>
            </w:pPr>
          </w:p>
        </w:tc>
      </w:tr>
    </w:tbl>
    <w:p w14:paraId="1BA837AB">
      <w:pPr>
        <w:snapToGrid w:val="0"/>
        <w:spacing w:line="360" w:lineRule="auto"/>
        <w:ind w:firstLine="480" w:firstLineChars="200"/>
        <w:rPr>
          <w:rFonts w:ascii="宋体" w:hAnsi="宋体" w:cs="宋体"/>
          <w:sz w:val="24"/>
        </w:rPr>
      </w:pPr>
    </w:p>
    <w:p w14:paraId="2EBCCE0E">
      <w:pPr>
        <w:snapToGrid w:val="0"/>
        <w:spacing w:line="360" w:lineRule="auto"/>
        <w:ind w:firstLine="480" w:firstLineChars="200"/>
        <w:rPr>
          <w:rFonts w:ascii="宋体" w:hAnsi="宋体" w:cs="宋体"/>
          <w:sz w:val="24"/>
        </w:rPr>
      </w:pPr>
    </w:p>
    <w:p w14:paraId="4A98DA9B">
      <w:pPr>
        <w:rPr>
          <w:rFonts w:ascii="宋体" w:hAnsi="宋体" w:cs="宋体"/>
          <w:b/>
          <w:bCs/>
          <w:sz w:val="28"/>
          <w:szCs w:val="28"/>
        </w:rPr>
      </w:pPr>
      <w:r>
        <w:rPr>
          <w:rFonts w:hint="eastAsia" w:ascii="宋体" w:hAnsi="宋体" w:cs="宋体"/>
          <w:b/>
          <w:sz w:val="24"/>
        </w:rPr>
        <w:br w:type="page"/>
      </w:r>
    </w:p>
    <w:p w14:paraId="6C03D13F">
      <w:pPr>
        <w:rPr>
          <w:rFonts w:ascii="宋体" w:hAnsi="宋体" w:cs="宋体"/>
          <w:b/>
          <w:bCs/>
          <w:sz w:val="28"/>
          <w:szCs w:val="28"/>
        </w:rPr>
      </w:pPr>
      <w:r>
        <w:rPr>
          <w:rFonts w:hint="eastAsia" w:ascii="宋体" w:hAnsi="宋体" w:cs="宋体"/>
          <w:b/>
          <w:bCs/>
          <w:sz w:val="28"/>
          <w:szCs w:val="28"/>
        </w:rPr>
        <w:t>附件3</w:t>
      </w:r>
    </w:p>
    <w:p w14:paraId="3D527E79">
      <w:pPr>
        <w:spacing w:line="360" w:lineRule="auto"/>
        <w:jc w:val="center"/>
        <w:outlineLvl w:val="2"/>
        <w:rPr>
          <w:rFonts w:ascii="宋体" w:cs="宋体"/>
          <w:b/>
          <w:sz w:val="28"/>
          <w:szCs w:val="28"/>
        </w:rPr>
      </w:pPr>
      <w:r>
        <w:rPr>
          <w:rFonts w:hint="eastAsia" w:ascii="宋体" w:cs="宋体"/>
          <w:b/>
          <w:sz w:val="28"/>
          <w:szCs w:val="28"/>
        </w:rPr>
        <w:t>授权委托书（如需）</w:t>
      </w:r>
    </w:p>
    <w:p w14:paraId="24093946">
      <w:pPr>
        <w:snapToGrid w:val="0"/>
        <w:spacing w:line="360" w:lineRule="auto"/>
        <w:rPr>
          <w:rFonts w:ascii="宋体" w:hAnsi="宋体" w:cs="宋体"/>
          <w:bCs/>
          <w:sz w:val="24"/>
        </w:rPr>
      </w:pPr>
    </w:p>
    <w:p w14:paraId="4B28053B">
      <w:pPr>
        <w:snapToGrid w:val="0"/>
        <w:spacing w:line="360" w:lineRule="auto"/>
        <w:rPr>
          <w:rFonts w:ascii="宋体" w:hAnsi="宋体" w:cs="宋体"/>
          <w:bCs/>
          <w:sz w:val="24"/>
        </w:rPr>
      </w:pPr>
      <w:r>
        <w:rPr>
          <w:rFonts w:hint="eastAsia" w:ascii="宋体" w:hAnsi="宋体" w:cs="宋体"/>
          <w:bCs/>
          <w:sz w:val="24"/>
        </w:rPr>
        <w:t>南通市市政设施管理处 ：</w:t>
      </w:r>
    </w:p>
    <w:p w14:paraId="2FE4F415">
      <w:pPr>
        <w:spacing w:line="560" w:lineRule="exact"/>
        <w:ind w:firstLine="480" w:firstLineChars="200"/>
        <w:rPr>
          <w:rFonts w:ascii="宋体" w:hAnsi="宋体" w:cs="宋体"/>
          <w:sz w:val="24"/>
        </w:rPr>
      </w:pPr>
      <w:r>
        <w:rPr>
          <w:rFonts w:hint="eastAsia" w:ascii="宋体" w:hAnsi="宋体" w:cs="宋体"/>
          <w:sz w:val="24"/>
        </w:rPr>
        <w:t>本授权书宣告，在下面签字的</w:t>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rPr>
        <w:t>以法定代表人身份代表本单位授权：</w:t>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rPr>
        <w:t xml:space="preserve">为本单位的合法授权代表，授权其在 </w:t>
      </w:r>
      <w:r>
        <w:rPr>
          <w:rFonts w:hint="eastAsia" w:ascii="宋体" w:hAnsi="宋体" w:cs="宋体"/>
          <w:sz w:val="24"/>
          <w:u w:val="single"/>
        </w:rPr>
        <w:t xml:space="preserve">    项目</w:t>
      </w:r>
      <w:r>
        <w:rPr>
          <w:rFonts w:hint="eastAsia" w:ascii="宋体" w:hAnsi="宋体" w:cs="宋体"/>
          <w:sz w:val="24"/>
        </w:rPr>
        <w:t>招标活动中，以本单位的名义，并代表本人与你们进行比选、签署文件和处理一切与此事有关的事务。授权代表的一切行为均代表本单位，与本人的行为具有同等法律效力。本单位将承担授权代表行为的全部法律责任和后果。</w:t>
      </w:r>
    </w:p>
    <w:p w14:paraId="5E71DADD">
      <w:pPr>
        <w:spacing w:line="560" w:lineRule="exact"/>
        <w:ind w:firstLine="480" w:firstLineChars="200"/>
        <w:rPr>
          <w:rFonts w:ascii="宋体" w:hAnsi="宋体" w:cs="宋体"/>
          <w:sz w:val="24"/>
        </w:rPr>
      </w:pPr>
      <w:r>
        <w:rPr>
          <w:rFonts w:hint="eastAsia" w:ascii="宋体" w:hAnsi="宋体" w:cs="宋体"/>
          <w:sz w:val="24"/>
        </w:rPr>
        <w:t>本委托书限期自</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日起至</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日止。</w:t>
      </w:r>
    </w:p>
    <w:p w14:paraId="15BA7786">
      <w:pPr>
        <w:spacing w:line="560" w:lineRule="exact"/>
        <w:ind w:firstLine="480" w:firstLineChars="200"/>
        <w:rPr>
          <w:rFonts w:ascii="宋体" w:hAnsi="宋体" w:cs="宋体"/>
          <w:sz w:val="24"/>
        </w:rPr>
      </w:pPr>
      <w:r>
        <w:rPr>
          <w:rFonts w:hint="eastAsia" w:ascii="宋体" w:hAnsi="宋体" w:cs="宋体"/>
          <w:sz w:val="24"/>
        </w:rPr>
        <w:t>授权代表无权转让委托权，特此委托。</w:t>
      </w:r>
    </w:p>
    <w:p w14:paraId="17AD1629">
      <w:pPr>
        <w:spacing w:line="560" w:lineRule="exact"/>
        <w:ind w:firstLine="480" w:firstLineChars="200"/>
        <w:rPr>
          <w:rFonts w:ascii="宋体" w:hAnsi="宋体" w:cs="宋体"/>
          <w:sz w:val="24"/>
        </w:rPr>
      </w:pPr>
      <w:r>
        <w:rPr>
          <w:rFonts w:hint="eastAsia" w:ascii="宋体" w:hAnsi="宋体" w:cs="宋体"/>
          <w:sz w:val="24"/>
        </w:rPr>
        <w:t>比选人：</w:t>
      </w:r>
      <w:r>
        <w:rPr>
          <w:rFonts w:hint="eastAsia" w:ascii="宋体" w:hAnsi="宋体" w:cs="宋体"/>
          <w:sz w:val="24"/>
          <w:u w:val="single"/>
        </w:rPr>
        <w:t xml:space="preserve">                       </w:t>
      </w:r>
      <w:r>
        <w:rPr>
          <w:rFonts w:hint="eastAsia" w:ascii="宋体" w:hAnsi="宋体" w:cs="宋体"/>
          <w:sz w:val="24"/>
        </w:rPr>
        <w:t>(全称、盖章)</w:t>
      </w:r>
    </w:p>
    <w:p w14:paraId="350690E9">
      <w:pPr>
        <w:spacing w:line="560" w:lineRule="exact"/>
        <w:ind w:firstLine="480" w:firstLineChars="200"/>
        <w:rPr>
          <w:rFonts w:ascii="宋体" w:hAnsi="宋体" w:cs="宋体"/>
          <w:sz w:val="24"/>
          <w:u w:val="single"/>
        </w:rPr>
      </w:pPr>
      <w:r>
        <w:rPr>
          <w:rFonts w:hint="eastAsia" w:ascii="宋体" w:hAnsi="宋体" w:cs="宋体"/>
          <w:sz w:val="24"/>
        </w:rPr>
        <w:t>法定代表人姓名：</w:t>
      </w:r>
      <w:r>
        <w:rPr>
          <w:rFonts w:hint="eastAsia" w:ascii="宋体" w:hAnsi="宋体" w:cs="宋体"/>
          <w:sz w:val="24"/>
          <w:u w:val="single"/>
        </w:rPr>
        <w:t xml:space="preserve">               </w:t>
      </w:r>
    </w:p>
    <w:p w14:paraId="126ABE87">
      <w:pPr>
        <w:spacing w:line="560" w:lineRule="exact"/>
        <w:ind w:firstLine="480" w:firstLineChars="200"/>
        <w:rPr>
          <w:rFonts w:ascii="宋体" w:hAnsi="宋体" w:cs="宋体"/>
          <w:sz w:val="24"/>
          <w:u w:val="single"/>
        </w:rPr>
      </w:pPr>
      <w:r>
        <w:rPr>
          <w:rFonts w:hint="eastAsia" w:ascii="宋体" w:hAnsi="宋体" w:cs="宋体"/>
          <w:sz w:val="24"/>
        </w:rPr>
        <w:t>授权委托人：</w:t>
      </w:r>
      <w:r>
        <w:rPr>
          <w:rFonts w:hint="eastAsia" w:ascii="宋体" w:hAnsi="宋体" w:cs="宋体"/>
          <w:sz w:val="24"/>
          <w:u w:val="single"/>
        </w:rPr>
        <w:t xml:space="preserve">                   </w:t>
      </w:r>
    </w:p>
    <w:p w14:paraId="012B2A2F">
      <w:pPr>
        <w:spacing w:line="560" w:lineRule="exact"/>
        <w:ind w:firstLine="480" w:firstLineChars="200"/>
        <w:rPr>
          <w:rFonts w:ascii="宋体" w:hAnsi="宋体" w:cs="宋体"/>
          <w:sz w:val="24"/>
          <w:u w:val="single"/>
        </w:rPr>
      </w:pPr>
      <w:r>
        <w:rPr>
          <w:rFonts w:hint="eastAsia" w:ascii="宋体" w:hAnsi="宋体" w:cs="宋体"/>
          <w:sz w:val="24"/>
        </w:rPr>
        <w:t>联系方式：</w:t>
      </w:r>
      <w:r>
        <w:rPr>
          <w:rFonts w:hint="eastAsia" w:ascii="宋体" w:hAnsi="宋体" w:cs="宋体"/>
          <w:sz w:val="24"/>
          <w:u w:val="single"/>
        </w:rPr>
        <w:t xml:space="preserve">                     </w:t>
      </w:r>
    </w:p>
    <w:p w14:paraId="1151DBF0">
      <w:pPr>
        <w:spacing w:line="560" w:lineRule="exact"/>
        <w:ind w:firstLine="480" w:firstLineChars="200"/>
        <w:rPr>
          <w:rFonts w:ascii="宋体" w:hAnsi="宋体" w:cs="宋体"/>
          <w:sz w:val="24"/>
          <w:u w:val="single"/>
        </w:rPr>
      </w:pPr>
      <w:r>
        <w:rPr>
          <w:rFonts w:hint="eastAsia" w:ascii="宋体" w:hAnsi="宋体" w:cs="宋体"/>
          <w:sz w:val="24"/>
        </w:rPr>
        <w:t>日    期：</w:t>
      </w:r>
      <w:r>
        <w:rPr>
          <w:rFonts w:hint="eastAsia" w:ascii="宋体" w:hAnsi="宋体" w:cs="宋体"/>
          <w:sz w:val="24"/>
          <w:u w:val="single"/>
        </w:rPr>
        <w:t xml:space="preserve">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7"/>
      </w:tblGrid>
      <w:tr w14:paraId="1CE1A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7" w:hRule="atLeast"/>
          <w:jc w:val="center"/>
        </w:trPr>
        <w:tc>
          <w:tcPr>
            <w:tcW w:w="7847" w:type="dxa"/>
            <w:noWrap w:val="0"/>
            <w:vAlign w:val="top"/>
          </w:tcPr>
          <w:p w14:paraId="3513912A">
            <w:pPr>
              <w:snapToGrid w:val="0"/>
              <w:spacing w:line="420" w:lineRule="exact"/>
              <w:ind w:firstLine="484" w:firstLineChars="202"/>
              <w:jc w:val="left"/>
              <w:rPr>
                <w:rFonts w:ascii="宋体" w:hAnsi="宋体" w:cs="宋体"/>
                <w:sz w:val="24"/>
              </w:rPr>
            </w:pPr>
          </w:p>
          <w:p w14:paraId="67FE8244">
            <w:pPr>
              <w:snapToGrid w:val="0"/>
              <w:spacing w:line="420" w:lineRule="exact"/>
              <w:jc w:val="center"/>
              <w:rPr>
                <w:rFonts w:ascii="宋体" w:hAnsi="宋体" w:cs="宋体"/>
                <w:b/>
                <w:bCs/>
                <w:sz w:val="24"/>
              </w:rPr>
            </w:pPr>
            <w:r>
              <w:rPr>
                <w:rFonts w:hint="eastAsia" w:ascii="宋体" w:hAnsi="宋体" w:cs="宋体"/>
                <w:b/>
                <w:bCs/>
                <w:sz w:val="24"/>
              </w:rPr>
              <w:t>授权委托人身份证（正、反面）复印件并加盖公章</w:t>
            </w:r>
            <w:r>
              <w:rPr>
                <w:rFonts w:hint="eastAsia" w:ascii="宋体" w:hAnsi="宋体" w:cs="宋体"/>
                <w:b/>
                <w:bCs/>
                <w:sz w:val="24"/>
                <w:u w:val="single"/>
              </w:rPr>
              <w:t>（黏贴此处，原件备查）</w:t>
            </w:r>
          </w:p>
          <w:p w14:paraId="289C3624">
            <w:pPr>
              <w:snapToGrid w:val="0"/>
              <w:spacing w:line="420" w:lineRule="exact"/>
              <w:jc w:val="center"/>
              <w:rPr>
                <w:rFonts w:ascii="宋体" w:hAnsi="宋体" w:cs="宋体"/>
                <w:b/>
                <w:bCs/>
                <w:sz w:val="24"/>
              </w:rPr>
            </w:pPr>
          </w:p>
          <w:p w14:paraId="6594D7DC">
            <w:pPr>
              <w:snapToGrid w:val="0"/>
              <w:spacing w:line="420" w:lineRule="exact"/>
              <w:jc w:val="center"/>
              <w:rPr>
                <w:rFonts w:ascii="宋体" w:hAnsi="宋体" w:cs="宋体"/>
                <w:b/>
                <w:bCs/>
                <w:sz w:val="24"/>
              </w:rPr>
            </w:pPr>
          </w:p>
          <w:p w14:paraId="0F1A38D8">
            <w:pPr>
              <w:snapToGrid w:val="0"/>
              <w:spacing w:line="420" w:lineRule="exact"/>
              <w:jc w:val="center"/>
              <w:rPr>
                <w:rFonts w:ascii="宋体" w:hAnsi="宋体" w:cs="宋体"/>
                <w:sz w:val="24"/>
              </w:rPr>
            </w:pPr>
          </w:p>
          <w:p w14:paraId="62447F1C">
            <w:pPr>
              <w:snapToGrid w:val="0"/>
              <w:spacing w:line="420" w:lineRule="exact"/>
              <w:jc w:val="center"/>
              <w:rPr>
                <w:rFonts w:ascii="宋体" w:hAnsi="宋体" w:cs="宋体"/>
                <w:sz w:val="24"/>
              </w:rPr>
            </w:pPr>
          </w:p>
        </w:tc>
      </w:tr>
    </w:tbl>
    <w:p w14:paraId="528F4D76">
      <w:pPr>
        <w:spacing w:line="600" w:lineRule="exact"/>
        <w:rPr>
          <w:rFonts w:ascii="宋体" w:hAnsi="宋体" w:cs="宋体"/>
          <w:b/>
          <w:sz w:val="24"/>
        </w:rPr>
      </w:pPr>
    </w:p>
    <w:p w14:paraId="09F51203">
      <w:pPr>
        <w:widowControl/>
        <w:adjustRightInd w:val="0"/>
        <w:snapToGrid w:val="0"/>
        <w:spacing w:after="200" w:line="480" w:lineRule="exact"/>
        <w:ind w:firstLine="480" w:firstLineChars="200"/>
        <w:rPr>
          <w:rFonts w:ascii="宋体" w:hAnsi="宋体" w:cs="仿宋"/>
          <w:kern w:val="0"/>
          <w:sz w:val="24"/>
        </w:rPr>
      </w:pPr>
      <w:r>
        <w:rPr>
          <w:rFonts w:hint="eastAsia" w:ascii="宋体" w:hAnsi="宋体" w:cs="仿宋"/>
          <w:kern w:val="0"/>
          <w:sz w:val="24"/>
        </w:rPr>
        <w:t>附：被委托授权人应为投标响应供应商在职人员，递交授权委托书时须提供被委托授权人在该单位</w:t>
      </w:r>
      <w:r>
        <w:rPr>
          <w:rFonts w:hint="eastAsia" w:ascii="宋体" w:hAnsi="宋体" w:cs="仿宋"/>
          <w:color w:val="auto"/>
          <w:kern w:val="0"/>
          <w:sz w:val="24"/>
        </w:rPr>
        <w:t>自</w:t>
      </w:r>
      <w:r>
        <w:rPr>
          <w:rFonts w:hint="eastAsia" w:ascii="宋体" w:hAnsi="宋体" w:cs="宋体"/>
          <w:color w:val="auto"/>
          <w:sz w:val="24"/>
          <w:lang w:eastAsia="zh-CN"/>
        </w:rPr>
        <w:t>2025年10月-2025年12月</w:t>
      </w:r>
      <w:r>
        <w:rPr>
          <w:rFonts w:hint="eastAsia" w:ascii="宋体" w:hAnsi="宋体" w:cs="宋体"/>
          <w:color w:val="auto"/>
          <w:sz w:val="24"/>
        </w:rPr>
        <w:t>任意一个月的社保证明</w:t>
      </w:r>
      <w:r>
        <w:rPr>
          <w:rFonts w:hint="eastAsia" w:ascii="宋体" w:hAnsi="宋体" w:cs="宋体"/>
          <w:sz w:val="24"/>
        </w:rPr>
        <w:t>复印件加盖公章</w:t>
      </w:r>
      <w:r>
        <w:rPr>
          <w:rFonts w:hint="eastAsia" w:ascii="宋体" w:hAnsi="宋体" w:cs="仿宋"/>
          <w:kern w:val="0"/>
          <w:sz w:val="24"/>
        </w:rPr>
        <w:t>，否则作无效处理。</w:t>
      </w:r>
    </w:p>
    <w:p w14:paraId="14F17178">
      <w:pPr>
        <w:pStyle w:val="6"/>
        <w:rPr>
          <w:rFonts w:ascii="宋体" w:hAnsi="宋体" w:cs="宋体"/>
          <w:sz w:val="28"/>
          <w:szCs w:val="28"/>
        </w:rPr>
        <w:sectPr>
          <w:footerReference r:id="rId3" w:type="default"/>
          <w:pgSz w:w="11905" w:h="16838"/>
          <w:pgMar w:top="1361" w:right="1304" w:bottom="1361" w:left="1361" w:header="850" w:footer="850" w:gutter="0"/>
          <w:pgNumType w:start="1"/>
          <w:cols w:space="720" w:num="1"/>
          <w:docGrid w:linePitch="286" w:charSpace="0"/>
        </w:sectPr>
      </w:pPr>
    </w:p>
    <w:p w14:paraId="0EA5BF49">
      <w:pPr>
        <w:pStyle w:val="12"/>
        <w:spacing w:before="0" w:beforeAutospacing="0" w:after="0" w:afterAutospacing="0"/>
        <w:outlineLvl w:val="0"/>
        <w:rPr>
          <w:rFonts w:hint="eastAsia" w:hAnsi="宋体" w:cs="宋体"/>
          <w:b/>
          <w:bCs/>
          <w:sz w:val="28"/>
          <w:szCs w:val="28"/>
        </w:rPr>
      </w:pPr>
      <w:r>
        <w:rPr>
          <w:rFonts w:hint="eastAsia" w:hAnsi="宋体" w:cs="宋体"/>
          <w:b/>
          <w:bCs/>
          <w:sz w:val="28"/>
          <w:szCs w:val="28"/>
        </w:rPr>
        <w:t>附件4</w:t>
      </w:r>
    </w:p>
    <w:p w14:paraId="76C6DD3F">
      <w:pPr>
        <w:spacing w:line="360" w:lineRule="auto"/>
        <w:jc w:val="center"/>
        <w:outlineLvl w:val="2"/>
        <w:rPr>
          <w:rFonts w:hint="eastAsia" w:ascii="宋体" w:cs="宋体"/>
          <w:b/>
          <w:sz w:val="28"/>
          <w:szCs w:val="28"/>
        </w:rPr>
      </w:pPr>
    </w:p>
    <w:p w14:paraId="5F05DA49">
      <w:pPr>
        <w:spacing w:line="360" w:lineRule="auto"/>
        <w:jc w:val="center"/>
        <w:outlineLvl w:val="2"/>
        <w:rPr>
          <w:rFonts w:ascii="宋体" w:cs="宋体"/>
          <w:b/>
          <w:sz w:val="28"/>
          <w:szCs w:val="28"/>
        </w:rPr>
      </w:pPr>
      <w:r>
        <w:rPr>
          <w:rFonts w:hint="eastAsia" w:ascii="宋体" w:cs="宋体"/>
          <w:b/>
          <w:sz w:val="28"/>
          <w:szCs w:val="28"/>
        </w:rPr>
        <w:t>无重大违法记录声明</w:t>
      </w:r>
    </w:p>
    <w:p w14:paraId="5D71652F">
      <w:pPr>
        <w:snapToGrid w:val="0"/>
        <w:spacing w:line="360" w:lineRule="auto"/>
        <w:rPr>
          <w:rFonts w:ascii="宋体" w:cs="宋体"/>
          <w:bCs/>
          <w:sz w:val="24"/>
        </w:rPr>
      </w:pPr>
      <w:r>
        <w:rPr>
          <w:rFonts w:hint="eastAsia" w:ascii="宋体" w:cs="宋体"/>
          <w:bCs/>
          <w:sz w:val="24"/>
        </w:rPr>
        <w:t>南通市市政设施管理处 ：</w:t>
      </w:r>
    </w:p>
    <w:p w14:paraId="1BA51A52">
      <w:pPr>
        <w:snapToGrid w:val="0"/>
        <w:spacing w:line="360" w:lineRule="auto"/>
        <w:ind w:firstLine="480" w:firstLineChars="200"/>
        <w:rPr>
          <w:rFonts w:ascii="宋体" w:cs="宋体"/>
          <w:sz w:val="24"/>
        </w:rPr>
      </w:pPr>
      <w:r>
        <w:rPr>
          <w:rFonts w:hint="eastAsia" w:ascii="宋体" w:cs="宋体"/>
          <w:sz w:val="24"/>
        </w:rPr>
        <w:t>我公司郑重声明：参加本次采购活动前</w:t>
      </w:r>
      <w:r>
        <w:rPr>
          <w:rFonts w:hint="eastAsia" w:ascii="宋体" w:cs="宋体"/>
          <w:sz w:val="24"/>
          <w:u w:val="single"/>
        </w:rPr>
        <w:t xml:space="preserve"> 3 </w:t>
      </w:r>
      <w:r>
        <w:rPr>
          <w:rFonts w:hint="eastAsia" w:ascii="宋体" w:cs="宋体"/>
          <w:sz w:val="24"/>
        </w:rPr>
        <w:t>年内，我公司在经营活动中</w:t>
      </w:r>
      <w:r>
        <w:rPr>
          <w:rFonts w:hint="eastAsia" w:ascii="宋体" w:cs="宋体"/>
          <w:b/>
          <w:bCs/>
          <w:sz w:val="24"/>
          <w:u w:val="single"/>
        </w:rPr>
        <w:t>有/没有</w:t>
      </w:r>
      <w:r>
        <w:rPr>
          <w:rFonts w:hint="eastAsia" w:ascii="宋体" w:cs="宋体"/>
          <w:sz w:val="24"/>
        </w:rPr>
        <w:t>因违法经营受到刑事处罚或者责令停产停业、吊销许可证或者执照、较大数额罚款等行政处罚。</w:t>
      </w:r>
    </w:p>
    <w:p w14:paraId="040989A3">
      <w:pPr>
        <w:snapToGrid w:val="0"/>
        <w:spacing w:line="360" w:lineRule="auto"/>
        <w:ind w:firstLine="480" w:firstLineChars="200"/>
        <w:rPr>
          <w:rFonts w:ascii="宋体" w:cs="宋体"/>
          <w:sz w:val="24"/>
        </w:rPr>
      </w:pPr>
      <w:r>
        <w:rPr>
          <w:rFonts w:hint="eastAsia" w:ascii="宋体" w:cs="宋体"/>
          <w:sz w:val="24"/>
        </w:rPr>
        <w:t>在投标截止时间节点，没有被“信用江苏”“信用中国”网站列入失信被执行人、重大税收违法案件当事人名单、采购严重违法失信行为记录名单。</w:t>
      </w:r>
    </w:p>
    <w:p w14:paraId="5AC30056">
      <w:pPr>
        <w:snapToGrid w:val="0"/>
        <w:spacing w:line="360" w:lineRule="auto"/>
        <w:ind w:firstLine="200"/>
        <w:rPr>
          <w:rFonts w:ascii="宋体" w:cs="宋体"/>
          <w:sz w:val="24"/>
        </w:rPr>
      </w:pPr>
    </w:p>
    <w:p w14:paraId="513894B1">
      <w:pPr>
        <w:snapToGrid w:val="0"/>
        <w:spacing w:line="480" w:lineRule="auto"/>
        <w:ind w:right="720" w:firstLine="480" w:firstLineChars="200"/>
        <w:contextualSpacing/>
        <w:jc w:val="right"/>
        <w:rPr>
          <w:rFonts w:ascii="宋体" w:cs="宋体"/>
          <w:sz w:val="24"/>
          <w:u w:val="single"/>
        </w:rPr>
      </w:pPr>
      <w:r>
        <w:rPr>
          <w:rFonts w:hint="eastAsia" w:ascii="宋体" w:cs="宋体"/>
          <w:sz w:val="24"/>
        </w:rPr>
        <w:t>法定代表人或授权委托人签字：</w:t>
      </w:r>
    </w:p>
    <w:p w14:paraId="30AD3BB2">
      <w:pPr>
        <w:snapToGrid w:val="0"/>
        <w:spacing w:line="480" w:lineRule="auto"/>
        <w:ind w:right="720" w:firstLine="480" w:firstLineChars="200"/>
        <w:contextualSpacing/>
        <w:jc w:val="right"/>
        <w:rPr>
          <w:rFonts w:ascii="宋体" w:cs="宋体"/>
          <w:sz w:val="24"/>
        </w:rPr>
      </w:pPr>
      <w:r>
        <w:rPr>
          <w:rFonts w:hint="eastAsia" w:ascii="宋体" w:cs="宋体"/>
          <w:sz w:val="24"/>
        </w:rPr>
        <w:t>供应商名称（盖章）：</w:t>
      </w:r>
    </w:p>
    <w:p w14:paraId="59BF664E">
      <w:pPr>
        <w:snapToGrid w:val="0"/>
        <w:spacing w:line="360" w:lineRule="auto"/>
        <w:ind w:firstLine="480" w:firstLineChars="200"/>
        <w:jc w:val="center"/>
        <w:rPr>
          <w:rFonts w:ascii="宋体" w:cs="宋体"/>
          <w:sz w:val="24"/>
        </w:rPr>
      </w:pPr>
      <w:r>
        <w:rPr>
          <w:rFonts w:hint="eastAsia" w:ascii="宋体" w:cs="宋体"/>
          <w:sz w:val="24"/>
        </w:rPr>
        <w:t xml:space="preserve">                  日期：</w:t>
      </w:r>
    </w:p>
    <w:p w14:paraId="05D01CDD">
      <w:pPr>
        <w:widowControl/>
        <w:jc w:val="left"/>
        <w:rPr>
          <w:rFonts w:ascii="宋体" w:hAnsi="宋体" w:cs="仿宋_GB2312"/>
          <w:b/>
          <w:bCs/>
          <w:sz w:val="32"/>
          <w:szCs w:val="32"/>
          <w:lang w:bidi="zh-CN"/>
        </w:rPr>
      </w:pPr>
      <w:r>
        <w:rPr>
          <w:rFonts w:ascii="宋体" w:hAnsi="宋体" w:cs="仿宋_GB2312"/>
          <w:b/>
          <w:bCs/>
          <w:sz w:val="32"/>
          <w:szCs w:val="32"/>
          <w:lang w:bidi="zh-CN"/>
        </w:rPr>
        <w:br w:type="page"/>
      </w:r>
    </w:p>
    <w:p w14:paraId="0DD20B81">
      <w:pPr>
        <w:rPr>
          <w:rFonts w:ascii="宋体" w:hAnsi="宋体" w:cs="宋体"/>
          <w:b/>
          <w:bCs/>
          <w:sz w:val="28"/>
          <w:szCs w:val="28"/>
        </w:rPr>
      </w:pPr>
      <w:r>
        <w:rPr>
          <w:rFonts w:hint="eastAsia" w:ascii="宋体" w:hAnsi="宋体" w:cs="宋体"/>
          <w:b/>
          <w:bCs/>
          <w:sz w:val="28"/>
          <w:szCs w:val="28"/>
        </w:rPr>
        <w:t>附件5</w:t>
      </w:r>
    </w:p>
    <w:p w14:paraId="51CE2B6B">
      <w:pPr>
        <w:spacing w:line="360" w:lineRule="auto"/>
        <w:jc w:val="center"/>
        <w:rPr>
          <w:rFonts w:ascii="宋体" w:hAnsi="宋体" w:cs="仿宋_GB2312"/>
          <w:b/>
          <w:bCs/>
          <w:sz w:val="32"/>
          <w:szCs w:val="32"/>
          <w:lang w:bidi="zh-CN"/>
        </w:rPr>
      </w:pPr>
    </w:p>
    <w:p w14:paraId="620B3E90">
      <w:pPr>
        <w:spacing w:line="360" w:lineRule="auto"/>
        <w:jc w:val="center"/>
        <w:outlineLvl w:val="2"/>
        <w:rPr>
          <w:rFonts w:ascii="宋体" w:cs="宋体"/>
          <w:b/>
          <w:sz w:val="28"/>
          <w:szCs w:val="28"/>
        </w:rPr>
      </w:pPr>
      <w:r>
        <w:rPr>
          <w:rFonts w:hint="eastAsia" w:ascii="宋体" w:cs="宋体"/>
          <w:b/>
          <w:sz w:val="28"/>
          <w:szCs w:val="28"/>
        </w:rPr>
        <w:t>投标及履约承诺书</w:t>
      </w:r>
    </w:p>
    <w:p w14:paraId="42194F06">
      <w:pPr>
        <w:spacing w:line="360" w:lineRule="auto"/>
        <w:jc w:val="left"/>
        <w:rPr>
          <w:rFonts w:ascii="Calibri" w:hAnsi="Calibri"/>
          <w:sz w:val="24"/>
          <w:u w:val="single"/>
        </w:rPr>
      </w:pPr>
    </w:p>
    <w:p w14:paraId="4D55E496">
      <w:pPr>
        <w:spacing w:line="360" w:lineRule="auto"/>
        <w:jc w:val="left"/>
        <w:rPr>
          <w:rFonts w:ascii="Calibri" w:hAnsi="Calibri"/>
          <w:b/>
          <w:bCs/>
          <w:sz w:val="24"/>
        </w:rPr>
      </w:pPr>
      <w:r>
        <w:rPr>
          <w:rFonts w:hint="eastAsia" w:ascii="Calibri" w:hAnsi="Calibri"/>
          <w:sz w:val="24"/>
          <w:u w:val="single"/>
        </w:rPr>
        <w:t>南通市市政设施管理处</w:t>
      </w:r>
      <w:r>
        <w:rPr>
          <w:rFonts w:ascii="Calibri" w:hAnsi="Calibri"/>
          <w:sz w:val="24"/>
        </w:rPr>
        <w:t>：</w:t>
      </w:r>
    </w:p>
    <w:p w14:paraId="28C79F4D">
      <w:pPr>
        <w:spacing w:line="360" w:lineRule="auto"/>
        <w:ind w:firstLine="480" w:firstLineChars="200"/>
        <w:jc w:val="left"/>
        <w:rPr>
          <w:rFonts w:ascii="Calibri" w:hAnsi="Calibri"/>
          <w:sz w:val="24"/>
        </w:rPr>
      </w:pPr>
      <w:r>
        <w:rPr>
          <w:rFonts w:ascii="Calibri" w:hAnsi="Calibri"/>
          <w:sz w:val="24"/>
        </w:rPr>
        <w:t>我单位</w:t>
      </w:r>
      <w:r>
        <w:rPr>
          <w:rFonts w:ascii="Calibri" w:hAnsi="Calibri"/>
          <w:sz w:val="24"/>
          <w:u w:val="single"/>
        </w:rPr>
        <w:t>（供应商名称）</w:t>
      </w:r>
      <w:r>
        <w:rPr>
          <w:rFonts w:hint="eastAsia" w:ascii="Calibri" w:hAnsi="Calibri"/>
          <w:sz w:val="24"/>
          <w:u w:val="single"/>
        </w:rPr>
        <w:t xml:space="preserve">        </w:t>
      </w:r>
      <w:r>
        <w:rPr>
          <w:rFonts w:ascii="Calibri" w:hAnsi="Calibri"/>
          <w:sz w:val="24"/>
        </w:rPr>
        <w:t>郑重</w:t>
      </w:r>
      <w:r>
        <w:rPr>
          <w:rFonts w:hint="eastAsia" w:ascii="Calibri" w:hAnsi="Calibri"/>
          <w:sz w:val="24"/>
        </w:rPr>
        <w:t>承诺</w:t>
      </w:r>
      <w:r>
        <w:rPr>
          <w:rFonts w:ascii="Calibri" w:hAnsi="Calibri"/>
          <w:sz w:val="24"/>
        </w:rPr>
        <w:t>：</w:t>
      </w:r>
    </w:p>
    <w:p w14:paraId="0253353B">
      <w:pPr>
        <w:spacing w:line="360" w:lineRule="auto"/>
        <w:ind w:firstLine="480" w:firstLineChars="200"/>
        <w:jc w:val="left"/>
        <w:rPr>
          <w:rFonts w:ascii="宋体" w:hAnsi="宋体"/>
          <w:sz w:val="24"/>
        </w:rPr>
      </w:pPr>
      <w:r>
        <w:rPr>
          <w:rFonts w:hint="eastAsia" w:ascii="宋体" w:hAnsi="宋体"/>
          <w:sz w:val="24"/>
        </w:rPr>
        <w:t>1、在本次招投标活动中，不存在《中华人民共和国政府采购法实施条例》 第七十二条、第七十四条 阐述的相关情形。</w:t>
      </w:r>
      <w:r>
        <w:rPr>
          <w:rFonts w:ascii="Calibri" w:hAnsi="Calibri"/>
          <w:sz w:val="24"/>
        </w:rPr>
        <w:t>若与</w:t>
      </w:r>
      <w:r>
        <w:rPr>
          <w:rFonts w:hint="eastAsia" w:ascii="Calibri" w:hAnsi="Calibri"/>
          <w:sz w:val="24"/>
        </w:rPr>
        <w:t>实际</w:t>
      </w:r>
      <w:r>
        <w:rPr>
          <w:rFonts w:ascii="Calibri" w:hAnsi="Calibri"/>
          <w:sz w:val="24"/>
        </w:rPr>
        <w:t>情况不符，</w:t>
      </w:r>
      <w:r>
        <w:rPr>
          <w:rFonts w:hint="eastAsia" w:ascii="Calibri" w:hAnsi="Calibri"/>
          <w:sz w:val="24"/>
        </w:rPr>
        <w:t>我单位</w:t>
      </w:r>
      <w:r>
        <w:rPr>
          <w:rFonts w:ascii="Calibri" w:hAnsi="Calibri"/>
          <w:sz w:val="24"/>
        </w:rPr>
        <w:t>愿意承担由此而产生的一切后果</w:t>
      </w:r>
      <w:r>
        <w:rPr>
          <w:rFonts w:hint="eastAsia" w:ascii="Calibri" w:hAnsi="Calibri"/>
          <w:sz w:val="24"/>
        </w:rPr>
        <w:t>；</w:t>
      </w:r>
    </w:p>
    <w:p w14:paraId="146E9AA1">
      <w:pPr>
        <w:spacing w:line="360" w:lineRule="auto"/>
        <w:ind w:firstLine="480" w:firstLineChars="200"/>
        <w:jc w:val="left"/>
        <w:rPr>
          <w:rFonts w:ascii="Calibri" w:hAnsi="Calibri"/>
          <w:sz w:val="24"/>
        </w:rPr>
      </w:pPr>
      <w:r>
        <w:rPr>
          <w:rFonts w:hint="eastAsia" w:ascii="宋体" w:hAnsi="宋体"/>
          <w:sz w:val="24"/>
        </w:rPr>
        <w:t>2、我单位在中标后充分响应磋商文件“项目需求”中各项要求，保质、保量、按时向采购人提供优质服务；</w:t>
      </w:r>
    </w:p>
    <w:p w14:paraId="22B787C5">
      <w:pPr>
        <w:tabs>
          <w:tab w:val="left" w:pos="2020"/>
          <w:tab w:val="center" w:pos="4535"/>
        </w:tabs>
        <w:spacing w:line="360" w:lineRule="auto"/>
        <w:ind w:firstLine="480" w:firstLineChars="200"/>
        <w:rPr>
          <w:rFonts w:ascii="宋体" w:hAnsi="宋体" w:cs="宋体"/>
          <w:sz w:val="24"/>
        </w:rPr>
      </w:pPr>
      <w:r>
        <w:rPr>
          <w:rFonts w:hint="eastAsia" w:ascii="宋体" w:hAnsi="宋体" w:cs="宋体"/>
          <w:sz w:val="24"/>
        </w:rPr>
        <w:t>3、在合同期内如因自身原因不能履行投标承诺，采购人为保证工作进度可立即通知第三方供应。如因不可抗拒力导致无法履约的，我单位将以书面形式向采购人作出说明，否则作违约处理；</w:t>
      </w:r>
    </w:p>
    <w:p w14:paraId="45A9F454">
      <w:pPr>
        <w:tabs>
          <w:tab w:val="left" w:pos="2020"/>
          <w:tab w:val="center" w:pos="4535"/>
        </w:tabs>
        <w:spacing w:line="360" w:lineRule="auto"/>
        <w:ind w:firstLine="480" w:firstLineChars="200"/>
        <w:rPr>
          <w:rFonts w:ascii="宋体" w:hAnsi="宋体" w:cs="宋体"/>
          <w:sz w:val="24"/>
        </w:rPr>
      </w:pPr>
      <w:r>
        <w:rPr>
          <w:rFonts w:hint="eastAsia" w:ascii="宋体" w:hAnsi="宋体" w:cs="宋体"/>
          <w:sz w:val="24"/>
        </w:rPr>
        <w:t>4、在合同期内无条件配合采购人在数量、质量、服务等方面对我单位进行的各项检查、抽查工作，并承担由此产生的费用。如在检查过程中发现不符合的情况，我单位接受相应处罚，并无条件承担由此造成的一切损失及一切后果。</w:t>
      </w:r>
    </w:p>
    <w:p w14:paraId="0BCEC61E">
      <w:pPr>
        <w:tabs>
          <w:tab w:val="left" w:pos="2020"/>
          <w:tab w:val="center" w:pos="4535"/>
        </w:tabs>
        <w:rPr>
          <w:rFonts w:ascii="宋体" w:hAnsi="宋体" w:cs="宋体"/>
          <w:sz w:val="24"/>
        </w:rPr>
      </w:pPr>
    </w:p>
    <w:p w14:paraId="6CE9569F">
      <w:pPr>
        <w:tabs>
          <w:tab w:val="left" w:pos="2020"/>
          <w:tab w:val="center" w:pos="4535"/>
        </w:tabs>
        <w:ind w:firstLine="240" w:firstLineChars="100"/>
        <w:rPr>
          <w:sz w:val="24"/>
        </w:rPr>
      </w:pPr>
    </w:p>
    <w:p w14:paraId="44D2A42D">
      <w:pPr>
        <w:spacing w:line="360" w:lineRule="auto"/>
        <w:ind w:firstLine="2289" w:firstLineChars="950"/>
        <w:jc w:val="right"/>
        <w:rPr>
          <w:rFonts w:ascii="Calibri" w:hAnsi="Calibri"/>
          <w:b/>
          <w:sz w:val="24"/>
        </w:rPr>
      </w:pPr>
    </w:p>
    <w:p w14:paraId="37F7920E">
      <w:pPr>
        <w:spacing w:line="360" w:lineRule="auto"/>
        <w:ind w:firstLine="3480" w:firstLineChars="1450"/>
        <w:jc w:val="right"/>
        <w:rPr>
          <w:rFonts w:ascii="Calibri" w:hAnsi="Calibri"/>
          <w:sz w:val="24"/>
        </w:rPr>
      </w:pPr>
      <w:r>
        <w:rPr>
          <w:rFonts w:hint="eastAsia" w:ascii="Calibri" w:hAnsi="Calibri"/>
          <w:sz w:val="24"/>
        </w:rPr>
        <w:t>承诺人</w:t>
      </w:r>
      <w:r>
        <w:rPr>
          <w:rFonts w:ascii="Calibri" w:hAnsi="Calibri"/>
          <w:sz w:val="24"/>
        </w:rPr>
        <w:t>：（公章）</w:t>
      </w:r>
    </w:p>
    <w:p w14:paraId="502D8FEF">
      <w:pPr>
        <w:tabs>
          <w:tab w:val="left" w:pos="2020"/>
          <w:tab w:val="center" w:pos="4535"/>
        </w:tabs>
        <w:ind w:firstLine="240" w:firstLineChars="100"/>
        <w:jc w:val="right"/>
        <w:rPr>
          <w:rFonts w:ascii="宋体" w:hAnsi="宋体" w:cs="宋体"/>
          <w:sz w:val="24"/>
        </w:rPr>
      </w:pPr>
      <w:r>
        <w:rPr>
          <w:rFonts w:hint="eastAsia" w:ascii="宋体" w:hAnsi="宋体" w:cs="宋体"/>
          <w:sz w:val="24"/>
        </w:rPr>
        <w:t>法定代表人：（签字或盖章）</w:t>
      </w:r>
    </w:p>
    <w:p w14:paraId="4B367A7A">
      <w:pPr>
        <w:tabs>
          <w:tab w:val="left" w:pos="2020"/>
          <w:tab w:val="center" w:pos="4535"/>
        </w:tabs>
        <w:ind w:firstLine="240" w:firstLineChars="100"/>
        <w:jc w:val="right"/>
        <w:rPr>
          <w:rFonts w:ascii="宋体" w:hAnsi="宋体" w:cs="宋体"/>
          <w:sz w:val="24"/>
        </w:rPr>
      </w:pPr>
    </w:p>
    <w:p w14:paraId="54839EB7">
      <w:pPr>
        <w:spacing w:line="360" w:lineRule="auto"/>
        <w:jc w:val="right"/>
        <w:rPr>
          <w:rFonts w:hint="eastAsia" w:ascii="宋体" w:hAnsi="宋体" w:cs="宋体"/>
          <w:sz w:val="24"/>
        </w:rPr>
      </w:pPr>
      <w:r>
        <w:rPr>
          <w:rFonts w:hint="eastAsia" w:ascii="宋体" w:hAnsi="宋体" w:cs="宋体"/>
          <w:sz w:val="24"/>
        </w:rPr>
        <w:t>时间：  年  月   日</w:t>
      </w:r>
    </w:p>
    <w:p w14:paraId="2104169B">
      <w:pPr>
        <w:spacing w:line="360" w:lineRule="auto"/>
        <w:rPr>
          <w:rFonts w:hint="eastAsia" w:ascii="宋体" w:hAnsi="宋体" w:cs="宋体"/>
          <w:sz w:val="24"/>
        </w:rPr>
      </w:pPr>
    </w:p>
    <w:p w14:paraId="1CCD3605">
      <w:pPr>
        <w:spacing w:line="360" w:lineRule="auto"/>
        <w:rPr>
          <w:rFonts w:hint="eastAsia" w:ascii="宋体" w:hAnsi="宋体" w:cs="宋体"/>
          <w:sz w:val="24"/>
        </w:rPr>
      </w:pPr>
    </w:p>
    <w:p w14:paraId="065A05F7">
      <w:pPr>
        <w:spacing w:line="360" w:lineRule="auto"/>
        <w:rPr>
          <w:rFonts w:hint="eastAsia" w:ascii="宋体" w:hAnsi="宋体" w:cs="宋体"/>
          <w:sz w:val="24"/>
        </w:rPr>
      </w:pPr>
    </w:p>
    <w:p w14:paraId="0128F838">
      <w:pPr>
        <w:spacing w:line="360" w:lineRule="auto"/>
        <w:rPr>
          <w:rFonts w:hint="eastAsia" w:ascii="宋体" w:hAnsi="宋体" w:cs="宋体"/>
          <w:sz w:val="24"/>
        </w:rPr>
      </w:pPr>
    </w:p>
    <w:p w14:paraId="7E18285B">
      <w:pPr>
        <w:spacing w:line="360" w:lineRule="auto"/>
        <w:rPr>
          <w:rFonts w:hint="eastAsia" w:ascii="宋体" w:hAnsi="宋体" w:cs="宋体"/>
          <w:sz w:val="24"/>
        </w:rPr>
      </w:pPr>
    </w:p>
    <w:p w14:paraId="45A77F35">
      <w:pPr>
        <w:spacing w:line="360" w:lineRule="auto"/>
        <w:rPr>
          <w:rFonts w:hint="eastAsia" w:ascii="宋体" w:hAnsi="宋体" w:cs="宋体"/>
          <w:sz w:val="24"/>
        </w:rPr>
      </w:pPr>
    </w:p>
    <w:p w14:paraId="754B2B66">
      <w:pPr>
        <w:spacing w:line="360" w:lineRule="auto"/>
        <w:rPr>
          <w:rFonts w:hint="eastAsia" w:ascii="宋体" w:hAnsi="宋体" w:cs="宋体"/>
          <w:b/>
          <w:sz w:val="30"/>
          <w:szCs w:val="30"/>
        </w:rPr>
      </w:pPr>
      <w:r>
        <w:rPr>
          <w:rFonts w:hint="eastAsia" w:ascii="宋体" w:hAnsi="宋体" w:cs="宋体"/>
          <w:b/>
          <w:sz w:val="30"/>
          <w:szCs w:val="30"/>
        </w:rPr>
        <w:t>附件6</w:t>
      </w:r>
    </w:p>
    <w:p w14:paraId="4FBD5E48">
      <w:pPr>
        <w:spacing w:line="360" w:lineRule="auto"/>
        <w:ind w:left="843" w:hanging="843"/>
        <w:jc w:val="center"/>
        <w:rPr>
          <w:rFonts w:hint="eastAsia" w:ascii="Calibri" w:hAnsi="Calibri"/>
          <w:b/>
          <w:sz w:val="24"/>
          <w:szCs w:val="22"/>
        </w:rPr>
      </w:pPr>
      <w:r>
        <w:rPr>
          <w:rFonts w:hint="eastAsia" w:ascii="Calibri" w:hAnsi="Calibri"/>
          <w:b/>
          <w:sz w:val="24"/>
          <w:szCs w:val="22"/>
        </w:rPr>
        <w:t>投标供应商与其他单位存在控股、管理关系情况表</w:t>
      </w:r>
    </w:p>
    <w:p w14:paraId="6AD85E02">
      <w:pPr>
        <w:spacing w:line="360" w:lineRule="auto"/>
        <w:ind w:firstLine="600"/>
        <w:jc w:val="center"/>
        <w:rPr>
          <w:rFonts w:hint="eastAsia" w:ascii="宋体" w:hAnsi="宋体" w:cs="宋体"/>
          <w:b/>
          <w:sz w:val="24"/>
        </w:rPr>
      </w:pPr>
    </w:p>
    <w:tbl>
      <w:tblPr>
        <w:tblStyle w:val="14"/>
        <w:tblW w:w="9155" w:type="dxa"/>
        <w:tblInd w:w="-86" w:type="dxa"/>
        <w:tblLayout w:type="fixed"/>
        <w:tblCellMar>
          <w:top w:w="0" w:type="dxa"/>
          <w:left w:w="108" w:type="dxa"/>
          <w:bottom w:w="0" w:type="dxa"/>
          <w:right w:w="108" w:type="dxa"/>
        </w:tblCellMar>
      </w:tblPr>
      <w:tblGrid>
        <w:gridCol w:w="5245"/>
        <w:gridCol w:w="3910"/>
      </w:tblGrid>
      <w:tr w14:paraId="7231D7D3">
        <w:tblPrEx>
          <w:tblCellMar>
            <w:top w:w="0" w:type="dxa"/>
            <w:left w:w="108" w:type="dxa"/>
            <w:bottom w:w="0" w:type="dxa"/>
            <w:right w:w="108" w:type="dxa"/>
          </w:tblCellMar>
        </w:tblPrEx>
        <w:trPr>
          <w:trHeight w:val="637" w:hRule="atLeast"/>
        </w:trPr>
        <w:tc>
          <w:tcPr>
            <w:tcW w:w="5245" w:type="dxa"/>
            <w:tcBorders>
              <w:top w:val="single" w:color="000000" w:sz="4" w:space="0"/>
              <w:left w:val="single" w:color="000000" w:sz="4" w:space="0"/>
              <w:bottom w:val="single" w:color="000000" w:sz="4" w:space="0"/>
              <w:right w:val="single" w:color="000000" w:sz="4" w:space="0"/>
            </w:tcBorders>
            <w:noWrap w:val="0"/>
            <w:vAlign w:val="center"/>
          </w:tcPr>
          <w:p w14:paraId="6CDB316D">
            <w:pPr>
              <w:spacing w:line="360" w:lineRule="auto"/>
              <w:rPr>
                <w:rFonts w:hint="eastAsia" w:ascii="宋体" w:hAnsi="宋体" w:cs="宋体"/>
                <w:szCs w:val="21"/>
              </w:rPr>
            </w:pPr>
            <w:r>
              <w:rPr>
                <w:rFonts w:hint="eastAsia" w:ascii="宋体" w:hAnsi="宋体" w:cs="宋体"/>
                <w:sz w:val="24"/>
              </w:rPr>
              <w:t>与投标供应商存在控股、管理关系的单位名称</w:t>
            </w:r>
          </w:p>
        </w:tc>
        <w:tc>
          <w:tcPr>
            <w:tcW w:w="3910" w:type="dxa"/>
            <w:tcBorders>
              <w:top w:val="single" w:color="000000" w:sz="4" w:space="0"/>
              <w:left w:val="nil"/>
              <w:bottom w:val="single" w:color="000000" w:sz="4" w:space="0"/>
              <w:right w:val="single" w:color="000000" w:sz="4" w:space="0"/>
            </w:tcBorders>
            <w:noWrap w:val="0"/>
            <w:vAlign w:val="center"/>
          </w:tcPr>
          <w:p w14:paraId="73A7BE18">
            <w:pPr>
              <w:spacing w:line="360" w:lineRule="auto"/>
              <w:ind w:firstLine="600"/>
              <w:rPr>
                <w:rFonts w:hint="eastAsia" w:ascii="宋体" w:hAnsi="宋体" w:cs="宋体"/>
                <w:sz w:val="24"/>
              </w:rPr>
            </w:pPr>
            <w:r>
              <w:rPr>
                <w:rFonts w:hint="eastAsia" w:ascii="宋体" w:hAnsi="宋体" w:cs="宋体"/>
                <w:sz w:val="24"/>
              </w:rPr>
              <w:t>控股、管理关系情况说明</w:t>
            </w:r>
          </w:p>
        </w:tc>
      </w:tr>
      <w:tr w14:paraId="46673041">
        <w:tblPrEx>
          <w:tblCellMar>
            <w:top w:w="0" w:type="dxa"/>
            <w:left w:w="108" w:type="dxa"/>
            <w:bottom w:w="0" w:type="dxa"/>
            <w:right w:w="108" w:type="dxa"/>
          </w:tblCellMar>
        </w:tblPrEx>
        <w:trPr>
          <w:trHeight w:val="850" w:hRule="atLeast"/>
        </w:trPr>
        <w:tc>
          <w:tcPr>
            <w:tcW w:w="5245" w:type="dxa"/>
            <w:tcBorders>
              <w:top w:val="single" w:color="000000" w:sz="4" w:space="0"/>
              <w:left w:val="single" w:color="000000" w:sz="4" w:space="0"/>
              <w:bottom w:val="single" w:color="000000" w:sz="4" w:space="0"/>
              <w:right w:val="single" w:color="000000" w:sz="4" w:space="0"/>
            </w:tcBorders>
            <w:noWrap w:val="0"/>
            <w:vAlign w:val="center"/>
          </w:tcPr>
          <w:p w14:paraId="6F6FB0E1">
            <w:pPr>
              <w:spacing w:line="360" w:lineRule="auto"/>
              <w:ind w:firstLine="600"/>
              <w:rPr>
                <w:rFonts w:hint="eastAsia" w:ascii="宋体" w:hAnsi="宋体" w:cs="宋体"/>
                <w:sz w:val="24"/>
              </w:rPr>
            </w:pPr>
          </w:p>
        </w:tc>
        <w:tc>
          <w:tcPr>
            <w:tcW w:w="3910" w:type="dxa"/>
            <w:tcBorders>
              <w:top w:val="single" w:color="000000" w:sz="4" w:space="0"/>
              <w:left w:val="nil"/>
              <w:bottom w:val="single" w:color="000000" w:sz="4" w:space="0"/>
              <w:right w:val="single" w:color="000000" w:sz="4" w:space="0"/>
            </w:tcBorders>
            <w:noWrap w:val="0"/>
            <w:vAlign w:val="center"/>
          </w:tcPr>
          <w:p w14:paraId="59BE4A19">
            <w:pPr>
              <w:spacing w:line="360" w:lineRule="auto"/>
              <w:ind w:firstLine="600"/>
              <w:rPr>
                <w:rFonts w:hint="eastAsia" w:ascii="宋体" w:hAnsi="宋体" w:cs="宋体"/>
                <w:sz w:val="24"/>
              </w:rPr>
            </w:pPr>
          </w:p>
        </w:tc>
      </w:tr>
      <w:tr w14:paraId="5D3950C3">
        <w:tblPrEx>
          <w:tblCellMar>
            <w:top w:w="0" w:type="dxa"/>
            <w:left w:w="108" w:type="dxa"/>
            <w:bottom w:w="0" w:type="dxa"/>
            <w:right w:w="108" w:type="dxa"/>
          </w:tblCellMar>
        </w:tblPrEx>
        <w:trPr>
          <w:trHeight w:val="850" w:hRule="atLeast"/>
        </w:trPr>
        <w:tc>
          <w:tcPr>
            <w:tcW w:w="5245" w:type="dxa"/>
            <w:tcBorders>
              <w:top w:val="single" w:color="000000" w:sz="4" w:space="0"/>
              <w:left w:val="single" w:color="000000" w:sz="4" w:space="0"/>
              <w:bottom w:val="single" w:color="000000" w:sz="4" w:space="0"/>
              <w:right w:val="single" w:color="000000" w:sz="4" w:space="0"/>
            </w:tcBorders>
            <w:noWrap w:val="0"/>
            <w:vAlign w:val="center"/>
          </w:tcPr>
          <w:p w14:paraId="11299D6B">
            <w:pPr>
              <w:spacing w:line="360" w:lineRule="auto"/>
              <w:ind w:firstLine="600"/>
              <w:rPr>
                <w:rFonts w:hint="eastAsia" w:ascii="宋体" w:hAnsi="宋体" w:cs="宋体"/>
                <w:sz w:val="24"/>
              </w:rPr>
            </w:pPr>
          </w:p>
        </w:tc>
        <w:tc>
          <w:tcPr>
            <w:tcW w:w="3910" w:type="dxa"/>
            <w:tcBorders>
              <w:top w:val="single" w:color="000000" w:sz="4" w:space="0"/>
              <w:left w:val="nil"/>
              <w:bottom w:val="single" w:color="000000" w:sz="4" w:space="0"/>
              <w:right w:val="single" w:color="000000" w:sz="4" w:space="0"/>
            </w:tcBorders>
            <w:noWrap w:val="0"/>
            <w:vAlign w:val="center"/>
          </w:tcPr>
          <w:p w14:paraId="2C40FC44">
            <w:pPr>
              <w:spacing w:line="360" w:lineRule="auto"/>
              <w:ind w:firstLine="600"/>
              <w:rPr>
                <w:rFonts w:hint="eastAsia" w:ascii="宋体" w:hAnsi="宋体" w:cs="宋体"/>
                <w:sz w:val="24"/>
              </w:rPr>
            </w:pPr>
          </w:p>
        </w:tc>
      </w:tr>
      <w:tr w14:paraId="16F330EC">
        <w:tblPrEx>
          <w:tblCellMar>
            <w:top w:w="0" w:type="dxa"/>
            <w:left w:w="108" w:type="dxa"/>
            <w:bottom w:w="0" w:type="dxa"/>
            <w:right w:w="108" w:type="dxa"/>
          </w:tblCellMar>
        </w:tblPrEx>
        <w:trPr>
          <w:trHeight w:val="850" w:hRule="atLeast"/>
        </w:trPr>
        <w:tc>
          <w:tcPr>
            <w:tcW w:w="5245" w:type="dxa"/>
            <w:tcBorders>
              <w:top w:val="single" w:color="000000" w:sz="4" w:space="0"/>
              <w:left w:val="single" w:color="000000" w:sz="4" w:space="0"/>
              <w:bottom w:val="single" w:color="000000" w:sz="4" w:space="0"/>
              <w:right w:val="single" w:color="000000" w:sz="4" w:space="0"/>
            </w:tcBorders>
            <w:noWrap w:val="0"/>
            <w:vAlign w:val="center"/>
          </w:tcPr>
          <w:p w14:paraId="063033B6">
            <w:pPr>
              <w:spacing w:line="360" w:lineRule="auto"/>
              <w:ind w:firstLine="600"/>
              <w:rPr>
                <w:rFonts w:hint="eastAsia" w:ascii="宋体" w:hAnsi="宋体" w:cs="宋体"/>
                <w:sz w:val="24"/>
              </w:rPr>
            </w:pPr>
          </w:p>
        </w:tc>
        <w:tc>
          <w:tcPr>
            <w:tcW w:w="3910" w:type="dxa"/>
            <w:tcBorders>
              <w:top w:val="single" w:color="000000" w:sz="4" w:space="0"/>
              <w:left w:val="nil"/>
              <w:bottom w:val="single" w:color="000000" w:sz="4" w:space="0"/>
              <w:right w:val="single" w:color="000000" w:sz="4" w:space="0"/>
            </w:tcBorders>
            <w:noWrap w:val="0"/>
            <w:vAlign w:val="center"/>
          </w:tcPr>
          <w:p w14:paraId="140920DA">
            <w:pPr>
              <w:spacing w:line="360" w:lineRule="auto"/>
              <w:ind w:firstLine="600"/>
              <w:rPr>
                <w:rFonts w:hint="eastAsia" w:ascii="宋体" w:hAnsi="宋体" w:cs="宋体"/>
                <w:sz w:val="24"/>
              </w:rPr>
            </w:pPr>
          </w:p>
        </w:tc>
      </w:tr>
      <w:tr w14:paraId="55868DC7">
        <w:tblPrEx>
          <w:tblCellMar>
            <w:top w:w="0" w:type="dxa"/>
            <w:left w:w="108" w:type="dxa"/>
            <w:bottom w:w="0" w:type="dxa"/>
            <w:right w:w="108" w:type="dxa"/>
          </w:tblCellMar>
        </w:tblPrEx>
        <w:trPr>
          <w:trHeight w:val="850" w:hRule="atLeast"/>
        </w:trPr>
        <w:tc>
          <w:tcPr>
            <w:tcW w:w="5245" w:type="dxa"/>
            <w:tcBorders>
              <w:top w:val="single" w:color="000000" w:sz="4" w:space="0"/>
              <w:left w:val="single" w:color="000000" w:sz="4" w:space="0"/>
              <w:bottom w:val="single" w:color="000000" w:sz="4" w:space="0"/>
              <w:right w:val="single" w:color="000000" w:sz="4" w:space="0"/>
            </w:tcBorders>
            <w:noWrap w:val="0"/>
            <w:vAlign w:val="center"/>
          </w:tcPr>
          <w:p w14:paraId="4AA4C380">
            <w:pPr>
              <w:spacing w:line="360" w:lineRule="auto"/>
              <w:ind w:firstLine="600"/>
              <w:rPr>
                <w:rFonts w:hint="eastAsia" w:ascii="宋体" w:hAnsi="宋体" w:cs="宋体"/>
                <w:sz w:val="24"/>
              </w:rPr>
            </w:pPr>
          </w:p>
        </w:tc>
        <w:tc>
          <w:tcPr>
            <w:tcW w:w="3910" w:type="dxa"/>
            <w:tcBorders>
              <w:top w:val="single" w:color="000000" w:sz="4" w:space="0"/>
              <w:left w:val="nil"/>
              <w:bottom w:val="single" w:color="000000" w:sz="4" w:space="0"/>
              <w:right w:val="single" w:color="000000" w:sz="4" w:space="0"/>
            </w:tcBorders>
            <w:noWrap w:val="0"/>
            <w:vAlign w:val="center"/>
          </w:tcPr>
          <w:p w14:paraId="747945EF">
            <w:pPr>
              <w:spacing w:line="360" w:lineRule="auto"/>
              <w:ind w:firstLine="600"/>
              <w:rPr>
                <w:rFonts w:hint="eastAsia" w:ascii="宋体" w:hAnsi="宋体" w:cs="宋体"/>
                <w:sz w:val="24"/>
              </w:rPr>
            </w:pPr>
          </w:p>
        </w:tc>
      </w:tr>
      <w:tr w14:paraId="3CD7C099">
        <w:tblPrEx>
          <w:tblCellMar>
            <w:top w:w="0" w:type="dxa"/>
            <w:left w:w="108" w:type="dxa"/>
            <w:bottom w:w="0" w:type="dxa"/>
            <w:right w:w="108" w:type="dxa"/>
          </w:tblCellMar>
        </w:tblPrEx>
        <w:trPr>
          <w:trHeight w:val="850" w:hRule="atLeast"/>
        </w:trPr>
        <w:tc>
          <w:tcPr>
            <w:tcW w:w="5245" w:type="dxa"/>
            <w:tcBorders>
              <w:top w:val="single" w:color="000000" w:sz="4" w:space="0"/>
              <w:left w:val="single" w:color="000000" w:sz="4" w:space="0"/>
              <w:bottom w:val="single" w:color="000000" w:sz="4" w:space="0"/>
              <w:right w:val="single" w:color="000000" w:sz="4" w:space="0"/>
            </w:tcBorders>
            <w:noWrap w:val="0"/>
            <w:vAlign w:val="center"/>
          </w:tcPr>
          <w:p w14:paraId="3C913F47">
            <w:pPr>
              <w:spacing w:line="360" w:lineRule="auto"/>
              <w:ind w:firstLine="600"/>
              <w:rPr>
                <w:rFonts w:hint="eastAsia" w:ascii="宋体" w:hAnsi="宋体" w:cs="宋体"/>
                <w:sz w:val="24"/>
              </w:rPr>
            </w:pPr>
          </w:p>
        </w:tc>
        <w:tc>
          <w:tcPr>
            <w:tcW w:w="3910" w:type="dxa"/>
            <w:tcBorders>
              <w:top w:val="single" w:color="000000" w:sz="4" w:space="0"/>
              <w:left w:val="nil"/>
              <w:bottom w:val="single" w:color="000000" w:sz="4" w:space="0"/>
              <w:right w:val="single" w:color="000000" w:sz="4" w:space="0"/>
            </w:tcBorders>
            <w:noWrap w:val="0"/>
            <w:vAlign w:val="center"/>
          </w:tcPr>
          <w:p w14:paraId="29942A68">
            <w:pPr>
              <w:spacing w:line="360" w:lineRule="auto"/>
              <w:ind w:firstLine="600"/>
              <w:rPr>
                <w:rFonts w:hint="eastAsia" w:ascii="宋体" w:hAnsi="宋体" w:cs="宋体"/>
                <w:sz w:val="24"/>
              </w:rPr>
            </w:pPr>
          </w:p>
        </w:tc>
      </w:tr>
      <w:tr w14:paraId="7EF5B034">
        <w:tblPrEx>
          <w:tblCellMar>
            <w:top w:w="0" w:type="dxa"/>
            <w:left w:w="108" w:type="dxa"/>
            <w:bottom w:w="0" w:type="dxa"/>
            <w:right w:w="108" w:type="dxa"/>
          </w:tblCellMar>
        </w:tblPrEx>
        <w:trPr>
          <w:trHeight w:val="850" w:hRule="atLeast"/>
        </w:trPr>
        <w:tc>
          <w:tcPr>
            <w:tcW w:w="5245" w:type="dxa"/>
            <w:tcBorders>
              <w:top w:val="single" w:color="000000" w:sz="4" w:space="0"/>
              <w:left w:val="single" w:color="000000" w:sz="4" w:space="0"/>
              <w:bottom w:val="single" w:color="000000" w:sz="4" w:space="0"/>
              <w:right w:val="single" w:color="000000" w:sz="4" w:space="0"/>
            </w:tcBorders>
            <w:noWrap w:val="0"/>
            <w:vAlign w:val="center"/>
          </w:tcPr>
          <w:p w14:paraId="35D1ACE5">
            <w:pPr>
              <w:spacing w:line="360" w:lineRule="auto"/>
              <w:ind w:firstLine="600"/>
              <w:rPr>
                <w:rFonts w:hint="eastAsia" w:ascii="宋体" w:hAnsi="宋体" w:cs="宋体"/>
                <w:sz w:val="24"/>
              </w:rPr>
            </w:pPr>
          </w:p>
        </w:tc>
        <w:tc>
          <w:tcPr>
            <w:tcW w:w="3910" w:type="dxa"/>
            <w:tcBorders>
              <w:top w:val="single" w:color="000000" w:sz="4" w:space="0"/>
              <w:left w:val="nil"/>
              <w:bottom w:val="single" w:color="000000" w:sz="4" w:space="0"/>
              <w:right w:val="single" w:color="000000" w:sz="4" w:space="0"/>
            </w:tcBorders>
            <w:noWrap w:val="0"/>
            <w:vAlign w:val="center"/>
          </w:tcPr>
          <w:p w14:paraId="680A7CA3">
            <w:pPr>
              <w:spacing w:line="360" w:lineRule="auto"/>
              <w:ind w:firstLine="600"/>
              <w:rPr>
                <w:rFonts w:hint="eastAsia" w:ascii="宋体" w:hAnsi="宋体" w:cs="宋体"/>
                <w:sz w:val="24"/>
              </w:rPr>
            </w:pPr>
          </w:p>
        </w:tc>
      </w:tr>
    </w:tbl>
    <w:p w14:paraId="5FCBA76D">
      <w:pPr>
        <w:spacing w:line="360" w:lineRule="auto"/>
        <w:ind w:firstLine="600"/>
        <w:rPr>
          <w:rFonts w:hint="eastAsia" w:ascii="宋体" w:hAnsi="宋体" w:cs="宋体"/>
          <w:sz w:val="24"/>
        </w:rPr>
      </w:pPr>
      <w:r>
        <w:rPr>
          <w:rFonts w:hint="eastAsia" w:ascii="宋体" w:hAnsi="宋体" w:cs="宋体"/>
          <w:sz w:val="24"/>
        </w:rPr>
        <w:t xml:space="preserve"> </w:t>
      </w:r>
    </w:p>
    <w:p w14:paraId="5768B093">
      <w:pPr>
        <w:spacing w:line="300" w:lineRule="auto"/>
        <w:rPr>
          <w:rFonts w:hint="eastAsia" w:ascii="宋体" w:hAnsi="宋体" w:cs="宋体"/>
          <w:sz w:val="24"/>
        </w:rPr>
      </w:pPr>
      <w:r>
        <w:rPr>
          <w:rFonts w:hint="eastAsia" w:ascii="宋体" w:hAnsi="宋体" w:cs="宋体"/>
          <w:sz w:val="24"/>
        </w:rPr>
        <w:t>注：投标供应商应当按实填写所有与之有控股、管理关系的情况，如果没有请填“无”。</w:t>
      </w:r>
    </w:p>
    <w:p w14:paraId="0FB166CC">
      <w:pPr>
        <w:spacing w:line="300" w:lineRule="auto"/>
        <w:rPr>
          <w:rFonts w:hint="eastAsia" w:ascii="宋体" w:hAnsi="宋体" w:cs="宋体"/>
          <w:sz w:val="24"/>
        </w:rPr>
      </w:pPr>
    </w:p>
    <w:p w14:paraId="094EE940">
      <w:pPr>
        <w:spacing w:line="360" w:lineRule="auto"/>
        <w:rPr>
          <w:rFonts w:hint="eastAsia" w:ascii="宋体" w:hAnsi="宋体" w:cs="宋体"/>
          <w:szCs w:val="21"/>
        </w:rPr>
      </w:pPr>
      <w:r>
        <w:rPr>
          <w:rFonts w:hint="eastAsia" w:ascii="宋体" w:hAnsi="宋体" w:cs="宋体"/>
          <w:szCs w:val="21"/>
        </w:rPr>
        <w:t xml:space="preserve"> </w:t>
      </w:r>
    </w:p>
    <w:p w14:paraId="1D1D9211">
      <w:pPr>
        <w:spacing w:line="360" w:lineRule="auto"/>
        <w:rPr>
          <w:rFonts w:hint="eastAsia" w:ascii="宋体" w:hAnsi="宋体" w:cs="宋体"/>
          <w:sz w:val="24"/>
          <w:u w:val="single"/>
        </w:rPr>
      </w:pPr>
      <w:r>
        <w:rPr>
          <w:rFonts w:hint="eastAsia" w:ascii="宋体" w:hAnsi="宋体" w:cs="宋体"/>
          <w:sz w:val="24"/>
        </w:rPr>
        <w:t>投标人签章:</w:t>
      </w:r>
      <w:r>
        <w:rPr>
          <w:rFonts w:hint="eastAsia" w:ascii="宋体" w:hAnsi="宋体" w:cs="宋体"/>
          <w:sz w:val="24"/>
          <w:u w:val="single"/>
        </w:rPr>
        <w:t xml:space="preserve">                 </w:t>
      </w:r>
    </w:p>
    <w:p w14:paraId="77CF4D50">
      <w:pPr>
        <w:spacing w:line="360" w:lineRule="auto"/>
        <w:rPr>
          <w:rFonts w:hint="eastAsia" w:ascii="宋体" w:hAnsi="宋体" w:cs="宋体"/>
          <w:sz w:val="24"/>
        </w:rPr>
      </w:pPr>
      <w:r>
        <w:rPr>
          <w:rFonts w:hint="eastAsia" w:ascii="宋体" w:hAnsi="宋体" w:cs="宋体"/>
          <w:sz w:val="24"/>
        </w:rPr>
        <w:t>法定代表人或委托代理人（签字或签章）:</w:t>
      </w:r>
      <w:r>
        <w:rPr>
          <w:rFonts w:hint="eastAsia" w:ascii="宋体" w:hAnsi="宋体" w:cs="宋体"/>
          <w:sz w:val="24"/>
          <w:u w:val="single"/>
        </w:rPr>
        <w:t xml:space="preserve">                </w:t>
      </w:r>
    </w:p>
    <w:p w14:paraId="53780752">
      <w:pPr>
        <w:spacing w:line="360" w:lineRule="auto"/>
        <w:rPr>
          <w:rFonts w:ascii="宋体" w:hAnsi="宋体" w:cs="宋体"/>
          <w:b/>
          <w:sz w:val="30"/>
          <w:szCs w:val="30"/>
        </w:rPr>
      </w:pPr>
      <w:r>
        <w:rPr>
          <w:rFonts w:hint="eastAsia" w:ascii="宋体" w:hAnsi="宋体" w:cs="宋体"/>
          <w:sz w:val="24"/>
        </w:rPr>
        <w:t>日期：</w:t>
      </w:r>
    </w:p>
    <w:p w14:paraId="3B891AEA">
      <w:pPr>
        <w:tabs>
          <w:tab w:val="left" w:pos="2020"/>
          <w:tab w:val="center" w:pos="4535"/>
        </w:tabs>
        <w:ind w:firstLine="240" w:firstLineChars="100"/>
        <w:jc w:val="right"/>
        <w:rPr>
          <w:rFonts w:ascii="宋体" w:hAnsi="宋体" w:cs="宋体"/>
          <w:sz w:val="24"/>
        </w:rPr>
      </w:pPr>
    </w:p>
    <w:p w14:paraId="5917BD3C">
      <w:pPr>
        <w:tabs>
          <w:tab w:val="left" w:pos="2020"/>
          <w:tab w:val="center" w:pos="4535"/>
        </w:tabs>
        <w:ind w:firstLine="240" w:firstLineChars="100"/>
        <w:jc w:val="right"/>
        <w:rPr>
          <w:rFonts w:ascii="宋体" w:hAnsi="宋体" w:cs="宋体"/>
          <w:sz w:val="24"/>
        </w:rPr>
      </w:pPr>
    </w:p>
    <w:p w14:paraId="47B26F91">
      <w:pPr>
        <w:spacing w:after="120"/>
        <w:ind w:left="420" w:leftChars="200" w:firstLine="420" w:firstLineChars="200"/>
      </w:pPr>
    </w:p>
    <w:p w14:paraId="1D126D9E">
      <w:pPr>
        <w:spacing w:line="520" w:lineRule="exact"/>
        <w:ind w:firstLine="539" w:firstLineChars="184"/>
        <w:rPr>
          <w:rFonts w:ascii="宋体"/>
          <w:b/>
          <w:spacing w:val="6"/>
          <w:sz w:val="28"/>
        </w:rPr>
      </w:pPr>
    </w:p>
    <w:p w14:paraId="7FBF6C6D">
      <w:pPr>
        <w:spacing w:line="360" w:lineRule="auto"/>
        <w:jc w:val="center"/>
        <w:rPr>
          <w:rFonts w:ascii="宋体" w:hAnsi="宋体" w:cs="宋体"/>
          <w:bCs/>
          <w:sz w:val="28"/>
        </w:rPr>
      </w:pPr>
    </w:p>
    <w:p w14:paraId="0E742542">
      <w:pPr>
        <w:spacing w:line="400" w:lineRule="exact"/>
        <w:contextualSpacing/>
        <w:rPr>
          <w:rFonts w:ascii="宋体" w:hAnsi="宋体" w:cs="宋体"/>
          <w:bCs/>
          <w:kern w:val="0"/>
          <w:sz w:val="28"/>
          <w:szCs w:val="28"/>
        </w:rPr>
        <w:sectPr>
          <w:footerReference r:id="rId4" w:type="default"/>
          <w:pgSz w:w="11907" w:h="16839"/>
          <w:pgMar w:top="1440" w:right="1800" w:bottom="1440" w:left="1800" w:header="720" w:footer="720" w:gutter="0"/>
          <w:cols w:space="720" w:num="1"/>
          <w:docGrid w:linePitch="286" w:charSpace="0"/>
        </w:sectPr>
      </w:pPr>
      <w:r>
        <w:rPr>
          <w:rFonts w:hint="eastAsia" w:ascii="宋体" w:hAnsi="宋体"/>
          <w:sz w:val="24"/>
        </w:rPr>
        <w:t xml:space="preserve">                                     </w:t>
      </w:r>
    </w:p>
    <w:p w14:paraId="2BA8EAE7">
      <w:pPr>
        <w:pStyle w:val="3"/>
        <w:rPr>
          <w:rFonts w:hint="eastAsia" w:ascii="宋体" w:hAnsi="宋体" w:eastAsia="宋体" w:cs="宋体"/>
          <w:b/>
          <w:kern w:val="2"/>
          <w:szCs w:val="24"/>
        </w:rPr>
      </w:pPr>
      <w:r>
        <w:rPr>
          <w:rFonts w:hint="eastAsia" w:ascii="宋体" w:hAnsi="宋体" w:eastAsia="宋体" w:cs="宋体"/>
          <w:b/>
          <w:kern w:val="2"/>
          <w:szCs w:val="24"/>
        </w:rPr>
        <w:t>（二）价格响应文件</w:t>
      </w:r>
    </w:p>
    <w:p w14:paraId="7DD5466A">
      <w:pPr>
        <w:pStyle w:val="4"/>
      </w:pPr>
    </w:p>
    <w:p w14:paraId="6A7542E1">
      <w:pPr>
        <w:rPr>
          <w:rFonts w:ascii="宋体" w:hAnsi="宋体" w:cs="宋体"/>
          <w:b/>
          <w:bCs/>
          <w:sz w:val="28"/>
          <w:szCs w:val="28"/>
        </w:rPr>
      </w:pPr>
      <w:r>
        <w:rPr>
          <w:rFonts w:hint="eastAsia" w:ascii="宋体" w:hAnsi="宋体" w:cs="宋体"/>
          <w:b/>
          <w:bCs/>
          <w:sz w:val="28"/>
          <w:szCs w:val="28"/>
        </w:rPr>
        <w:t>附件7</w:t>
      </w:r>
    </w:p>
    <w:p w14:paraId="784E5102">
      <w:pPr>
        <w:spacing w:line="360" w:lineRule="auto"/>
        <w:jc w:val="center"/>
        <w:outlineLvl w:val="2"/>
        <w:rPr>
          <w:rFonts w:ascii="宋体" w:hAnsi="宋体" w:cs="宋体"/>
          <w:b/>
          <w:sz w:val="24"/>
        </w:rPr>
      </w:pPr>
      <w:r>
        <w:rPr>
          <w:rFonts w:hint="eastAsia" w:ascii="宋体" w:hAnsi="宋体" w:cs="宋体"/>
          <w:b/>
          <w:sz w:val="24"/>
        </w:rPr>
        <w:t>比选响应函（格式不得变动）</w:t>
      </w:r>
    </w:p>
    <w:p w14:paraId="208B6196">
      <w:pPr>
        <w:snapToGrid w:val="0"/>
        <w:spacing w:line="360" w:lineRule="auto"/>
        <w:rPr>
          <w:rFonts w:ascii="宋体" w:hAnsi="宋体" w:cs="宋体"/>
          <w:sz w:val="24"/>
        </w:rPr>
      </w:pPr>
      <w:r>
        <w:rPr>
          <w:rFonts w:hint="eastAsia" w:ascii="宋体" w:hAnsi="宋体" w:cs="宋体"/>
          <w:sz w:val="24"/>
        </w:rPr>
        <w:t>南通市市政设施管理处 ：</w:t>
      </w:r>
    </w:p>
    <w:p w14:paraId="6793253A">
      <w:pPr>
        <w:snapToGrid w:val="0"/>
        <w:spacing w:line="360" w:lineRule="auto"/>
        <w:ind w:firstLine="480" w:firstLineChars="200"/>
        <w:rPr>
          <w:rFonts w:ascii="宋体" w:hAnsi="宋体" w:cs="宋体"/>
          <w:sz w:val="24"/>
        </w:rPr>
      </w:pPr>
      <w:r>
        <w:rPr>
          <w:rFonts w:hint="eastAsia" w:ascii="宋体" w:hAnsi="宋体" w:cs="宋体"/>
          <w:sz w:val="24"/>
        </w:rPr>
        <w:t>依据贵单位组织的</w:t>
      </w:r>
      <w:r>
        <w:rPr>
          <w:rFonts w:hint="eastAsia" w:ascii="宋体" w:hAnsi="宋体" w:cs="宋体"/>
          <w:b/>
          <w:bCs/>
          <w:sz w:val="24"/>
          <w:u w:val="single"/>
        </w:rPr>
        <w:t>南通市市政设施管理处计量器具检定/校准采购项目</w:t>
      </w:r>
      <w:r>
        <w:rPr>
          <w:rFonts w:hint="eastAsia" w:ascii="宋体" w:hAnsi="宋体" w:cs="宋体"/>
          <w:sz w:val="24"/>
        </w:rPr>
        <w:t>比选的邀请，我方授权</w:t>
      </w:r>
      <w:r>
        <w:rPr>
          <w:rFonts w:hint="eastAsia" w:ascii="宋体" w:hAnsi="宋体" w:cs="宋体"/>
          <w:sz w:val="24"/>
          <w:u w:val="single"/>
        </w:rPr>
        <w:t>（姓名）（职务）</w:t>
      </w:r>
      <w:r>
        <w:rPr>
          <w:rFonts w:hint="eastAsia" w:ascii="宋体" w:hAnsi="宋体" w:cs="宋体"/>
          <w:sz w:val="24"/>
        </w:rPr>
        <w:t>为全权代表参加该项目的比选工作，全权处理本次比选的有关事宜。同时，我公司声明如下：</w:t>
      </w:r>
    </w:p>
    <w:p w14:paraId="40299276">
      <w:pPr>
        <w:snapToGrid w:val="0"/>
        <w:spacing w:line="360" w:lineRule="auto"/>
        <w:ind w:firstLine="480" w:firstLineChars="200"/>
        <w:rPr>
          <w:rFonts w:ascii="宋体" w:hAnsi="宋体" w:cs="宋体"/>
          <w:sz w:val="24"/>
        </w:rPr>
      </w:pPr>
      <w:r>
        <w:rPr>
          <w:rFonts w:hint="eastAsia" w:ascii="宋体" w:hAnsi="宋体" w:cs="宋体"/>
          <w:sz w:val="24"/>
        </w:rPr>
        <w:t>1.同意并接受比选文件的各项要求，遵守比选文件中的各项规定，按比选文件的要求提供报价。</w:t>
      </w:r>
    </w:p>
    <w:p w14:paraId="66D57593">
      <w:pPr>
        <w:snapToGrid w:val="0"/>
        <w:spacing w:line="360" w:lineRule="auto"/>
        <w:ind w:firstLine="480" w:firstLineChars="200"/>
        <w:rPr>
          <w:rFonts w:ascii="宋体" w:hAnsi="宋体" w:cs="宋体"/>
          <w:sz w:val="24"/>
        </w:rPr>
      </w:pPr>
      <w:r>
        <w:rPr>
          <w:rFonts w:hint="eastAsia" w:ascii="宋体" w:hAnsi="宋体" w:cs="宋体"/>
          <w:sz w:val="24"/>
        </w:rPr>
        <w:t>2.我公司已经详细阅读了比选文件的全部内容，我方已完全清晰理解比选文件的要求，不存在任何含糊不清和误解之处，同意放弃对比选文件所表述的内容提出异议和质疑的权利。</w:t>
      </w:r>
    </w:p>
    <w:p w14:paraId="0066BEFF">
      <w:pPr>
        <w:snapToGrid w:val="0"/>
        <w:spacing w:line="360" w:lineRule="auto"/>
        <w:ind w:firstLine="480" w:firstLineChars="200"/>
        <w:rPr>
          <w:rFonts w:ascii="宋体" w:hAnsi="宋体" w:cs="宋体"/>
          <w:sz w:val="24"/>
        </w:rPr>
      </w:pPr>
      <w:r>
        <w:rPr>
          <w:rFonts w:hint="eastAsia" w:ascii="宋体" w:hAnsi="宋体" w:cs="宋体"/>
          <w:sz w:val="24"/>
        </w:rPr>
        <w:t>3.我公司已毫无保留地向贵方提供一切所需的证明材料。</w:t>
      </w:r>
    </w:p>
    <w:p w14:paraId="1B929E18">
      <w:pPr>
        <w:snapToGrid w:val="0"/>
        <w:spacing w:line="360" w:lineRule="auto"/>
        <w:ind w:firstLine="480" w:firstLineChars="200"/>
        <w:rPr>
          <w:rFonts w:ascii="宋体" w:hAnsi="宋体" w:cs="宋体"/>
          <w:sz w:val="24"/>
        </w:rPr>
      </w:pPr>
      <w:r>
        <w:rPr>
          <w:rFonts w:hint="eastAsia" w:ascii="宋体" w:hAnsi="宋体" w:cs="宋体"/>
          <w:sz w:val="24"/>
        </w:rPr>
        <w:t>4.我公司承诺在本次比选响应中提供的一切文件，无论是原件还是复印件均真实有效，绝无任何虚假、伪造和夸大的成份。否则，愿承担相应的后果和法律责任。</w:t>
      </w:r>
    </w:p>
    <w:p w14:paraId="6679BFBB">
      <w:pPr>
        <w:snapToGrid w:val="0"/>
        <w:spacing w:line="360" w:lineRule="auto"/>
        <w:ind w:firstLine="480" w:firstLineChars="200"/>
        <w:rPr>
          <w:rFonts w:ascii="宋体" w:hAnsi="宋体" w:cs="宋体"/>
          <w:sz w:val="24"/>
        </w:rPr>
      </w:pPr>
      <w:r>
        <w:rPr>
          <w:rFonts w:hint="eastAsia" w:ascii="宋体" w:hAnsi="宋体" w:cs="宋体"/>
          <w:sz w:val="24"/>
        </w:rPr>
        <w:t>5.</w:t>
      </w:r>
      <w:r>
        <w:rPr>
          <w:rFonts w:hint="eastAsia" w:ascii="宋体" w:hAnsi="宋体" w:cs="宋体"/>
          <w:b/>
          <w:sz w:val="24"/>
        </w:rPr>
        <w:t>我公司尊重比选小组所作的评定结果，同时清楚理解到报价最低并非意味着必定获得成交资格。</w:t>
      </w:r>
    </w:p>
    <w:p w14:paraId="7012D5F8">
      <w:pPr>
        <w:snapToGrid w:val="0"/>
        <w:spacing w:line="360" w:lineRule="auto"/>
        <w:ind w:firstLine="480" w:firstLineChars="200"/>
        <w:rPr>
          <w:rFonts w:ascii="宋体" w:hAnsi="宋体" w:cs="宋体"/>
          <w:sz w:val="24"/>
        </w:rPr>
      </w:pPr>
      <w:r>
        <w:rPr>
          <w:rFonts w:hint="eastAsia" w:ascii="宋体" w:hAnsi="宋体" w:cs="宋体"/>
          <w:sz w:val="24"/>
        </w:rPr>
        <w:t>6.</w:t>
      </w:r>
      <w:r>
        <w:rPr>
          <w:rFonts w:hint="eastAsia" w:ascii="宋体" w:hAnsi="宋体" w:cs="宋体"/>
          <w:b/>
          <w:sz w:val="24"/>
        </w:rPr>
        <w:t>一旦成交，我方将根据比选文件的规定，严格履行合同规定的责任和义务，并保证在比选文件中规定的时间期限内完成合同项目。</w:t>
      </w:r>
    </w:p>
    <w:p w14:paraId="08D7D3BB">
      <w:pPr>
        <w:wordWrap w:val="0"/>
        <w:spacing w:line="360" w:lineRule="auto"/>
        <w:ind w:firstLine="2640" w:firstLineChars="1100"/>
        <w:jc w:val="right"/>
        <w:rPr>
          <w:rFonts w:ascii="宋体" w:hAnsi="宋体" w:cs="宋体"/>
          <w:kern w:val="0"/>
          <w:sz w:val="24"/>
          <w:u w:val="single"/>
        </w:rPr>
      </w:pPr>
      <w:r>
        <w:rPr>
          <w:rFonts w:hint="eastAsia" w:ascii="宋体" w:hAnsi="宋体" w:cs="宋体"/>
          <w:kern w:val="0"/>
          <w:sz w:val="24"/>
        </w:rPr>
        <w:t>比选人名</w:t>
      </w:r>
      <w:r>
        <w:rPr>
          <w:rFonts w:hint="eastAsia" w:ascii="宋体" w:hAnsi="宋体" w:cs="宋体"/>
          <w:kern w:val="0"/>
          <w:sz w:val="24"/>
          <w:lang w:val="zh-CN"/>
        </w:rPr>
        <w:t>称(盖公章)：</w:t>
      </w:r>
      <w:r>
        <w:rPr>
          <w:rFonts w:hint="eastAsia" w:ascii="宋体" w:hAnsi="宋体" w:cs="宋体"/>
          <w:kern w:val="0"/>
          <w:sz w:val="24"/>
        </w:rPr>
        <w:t xml:space="preserve">                </w:t>
      </w:r>
    </w:p>
    <w:p w14:paraId="249BAD1F">
      <w:pPr>
        <w:wordWrap w:val="0"/>
        <w:spacing w:line="360" w:lineRule="auto"/>
        <w:ind w:firstLine="2640" w:firstLineChars="1100"/>
        <w:jc w:val="right"/>
        <w:rPr>
          <w:rFonts w:ascii="宋体" w:hAnsi="宋体" w:cs="宋体"/>
          <w:sz w:val="24"/>
          <w:u w:val="single"/>
        </w:rPr>
      </w:pPr>
      <w:r>
        <w:rPr>
          <w:rFonts w:hint="eastAsia" w:ascii="宋体" w:hAnsi="宋体" w:cs="宋体"/>
          <w:kern w:val="0"/>
          <w:sz w:val="24"/>
          <w:lang w:val="zh-CN"/>
        </w:rPr>
        <w:t>法定代表人（签字或盖章）：</w:t>
      </w:r>
      <w:r>
        <w:rPr>
          <w:rFonts w:hint="eastAsia" w:ascii="宋体" w:hAnsi="宋体" w:cs="宋体"/>
          <w:kern w:val="0"/>
          <w:sz w:val="24"/>
        </w:rPr>
        <w:t xml:space="preserve">          </w:t>
      </w:r>
    </w:p>
    <w:p w14:paraId="390FFF27">
      <w:pPr>
        <w:jc w:val="right"/>
        <w:rPr>
          <w:rFonts w:ascii="宋体" w:hAnsi="宋体" w:cs="宋体"/>
          <w:b/>
          <w:bCs/>
          <w:sz w:val="28"/>
          <w:szCs w:val="28"/>
        </w:rPr>
      </w:pPr>
      <w:r>
        <w:rPr>
          <w:rFonts w:hint="eastAsia" w:ascii="宋体" w:hAnsi="宋体" w:cs="宋体"/>
          <w:kern w:val="0"/>
          <w:sz w:val="24"/>
          <w:lang w:val="zh-CN"/>
        </w:rPr>
        <w:t>时间：  年  月   日</w:t>
      </w:r>
      <w:r>
        <w:rPr>
          <w:rFonts w:hint="eastAsia" w:ascii="宋体" w:hAnsi="宋体" w:cs="宋体"/>
          <w:kern w:val="0"/>
          <w:sz w:val="24"/>
        </w:rPr>
        <w:t xml:space="preserve"> </w:t>
      </w:r>
      <w:r>
        <w:rPr>
          <w:rFonts w:hint="eastAsia" w:ascii="宋体" w:hAnsi="宋体" w:cs="宋体"/>
          <w:kern w:val="0"/>
          <w:sz w:val="28"/>
          <w:szCs w:val="28"/>
        </w:rPr>
        <w:t xml:space="preserve"> </w:t>
      </w:r>
      <w:r>
        <w:rPr>
          <w:rFonts w:hint="eastAsia" w:ascii="宋体" w:hAnsi="宋体" w:cs="宋体"/>
          <w:sz w:val="28"/>
          <w:szCs w:val="28"/>
        </w:rPr>
        <w:br w:type="page"/>
      </w:r>
    </w:p>
    <w:p w14:paraId="7AE88502">
      <w:pPr>
        <w:rPr>
          <w:rFonts w:ascii="宋体" w:hAnsi="宋体" w:cs="宋体"/>
          <w:b/>
          <w:bCs/>
          <w:sz w:val="28"/>
          <w:szCs w:val="28"/>
        </w:rPr>
      </w:pPr>
      <w:r>
        <w:rPr>
          <w:rFonts w:hint="eastAsia" w:ascii="宋体" w:hAnsi="宋体" w:cs="宋体"/>
          <w:b/>
          <w:bCs/>
          <w:sz w:val="28"/>
          <w:szCs w:val="28"/>
        </w:rPr>
        <w:t>附件8</w:t>
      </w:r>
    </w:p>
    <w:p w14:paraId="69DC4A0E">
      <w:pPr>
        <w:widowControl/>
        <w:shd w:val="clear" w:color="auto" w:fill="FFFFFF"/>
        <w:snapToGrid w:val="0"/>
        <w:ind w:firstLine="3150" w:firstLineChars="1500"/>
        <w:contextualSpacing/>
        <w:rPr>
          <w:rFonts w:ascii="宋体" w:hAnsi="宋体" w:cs="宋体"/>
        </w:rPr>
      </w:pPr>
    </w:p>
    <w:p w14:paraId="16DA0B2A">
      <w:pPr>
        <w:tabs>
          <w:tab w:val="left" w:pos="0"/>
        </w:tabs>
        <w:adjustRightInd w:val="0"/>
        <w:snapToGrid w:val="0"/>
        <w:spacing w:line="360" w:lineRule="auto"/>
        <w:ind w:left="420" w:leftChars="200"/>
        <w:jc w:val="center"/>
        <w:rPr>
          <w:rFonts w:ascii="宋体" w:cs="仿宋_GB2312"/>
          <w:b/>
          <w:bCs/>
          <w:sz w:val="32"/>
          <w:szCs w:val="32"/>
        </w:rPr>
      </w:pPr>
      <w:r>
        <w:rPr>
          <w:rFonts w:hint="eastAsia" w:ascii="宋体" w:cs="仿宋_GB2312"/>
          <w:b/>
          <w:bCs/>
          <w:sz w:val="32"/>
          <w:szCs w:val="32"/>
        </w:rPr>
        <w:t>报 价 总 表</w:t>
      </w:r>
    </w:p>
    <w:p w14:paraId="4DCBAB71">
      <w:pPr>
        <w:widowControl/>
        <w:adjustRightInd w:val="0"/>
        <w:snapToGrid w:val="0"/>
        <w:spacing w:after="200" w:line="480" w:lineRule="exact"/>
        <w:rPr>
          <w:rFonts w:hint="eastAsia" w:ascii="宋体" w:cs="仿宋"/>
          <w:kern w:val="0"/>
          <w:sz w:val="24"/>
        </w:rPr>
      </w:pPr>
      <w:r>
        <w:rPr>
          <w:rFonts w:hint="eastAsia" w:ascii="宋体" w:cs="仿宋"/>
          <w:kern w:val="0"/>
          <w:sz w:val="24"/>
        </w:rPr>
        <w:t>项目名称：南通市市政设施管理处计量器具检定/校准采购项目</w:t>
      </w:r>
    </w:p>
    <w:p w14:paraId="037B57EA">
      <w:pPr>
        <w:widowControl/>
        <w:adjustRightInd w:val="0"/>
        <w:snapToGrid w:val="0"/>
        <w:spacing w:after="200" w:line="480" w:lineRule="exact"/>
        <w:rPr>
          <w:rFonts w:ascii="宋体" w:cs="仿宋"/>
          <w:kern w:val="0"/>
          <w:sz w:val="24"/>
        </w:rPr>
      </w:pPr>
      <w:r>
        <w:rPr>
          <w:rFonts w:hint="eastAsia" w:ascii="宋体" w:cs="仿宋"/>
          <w:kern w:val="0"/>
          <w:sz w:val="24"/>
        </w:rPr>
        <w:t>项目编号：</w:t>
      </w:r>
    </w:p>
    <w:tbl>
      <w:tblPr>
        <w:tblStyle w:val="14"/>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6812"/>
      </w:tblGrid>
      <w:tr w14:paraId="3BD6B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jc w:val="center"/>
        </w:trPr>
        <w:tc>
          <w:tcPr>
            <w:tcW w:w="2407" w:type="dxa"/>
            <w:vMerge w:val="restart"/>
            <w:tcBorders>
              <w:top w:val="single" w:color="auto" w:sz="4" w:space="0"/>
              <w:left w:val="single" w:color="auto" w:sz="4" w:space="0"/>
              <w:right w:val="single" w:color="auto" w:sz="4" w:space="0"/>
            </w:tcBorders>
            <w:noWrap w:val="0"/>
            <w:vAlign w:val="center"/>
          </w:tcPr>
          <w:p w14:paraId="316BC203">
            <w:pPr>
              <w:widowControl/>
              <w:spacing w:line="360" w:lineRule="auto"/>
              <w:rPr>
                <w:rFonts w:hint="eastAsia" w:ascii="宋体" w:hAnsi="宋体" w:cs="宋体"/>
                <w:sz w:val="24"/>
              </w:rPr>
            </w:pPr>
            <w:r>
              <w:rPr>
                <w:rFonts w:hint="eastAsia" w:ascii="宋体" w:hAnsi="宋体"/>
                <w:sz w:val="24"/>
              </w:rPr>
              <w:t>项目名称：</w:t>
            </w:r>
          </w:p>
        </w:tc>
        <w:tc>
          <w:tcPr>
            <w:tcW w:w="6812" w:type="dxa"/>
            <w:tcBorders>
              <w:top w:val="single" w:color="auto" w:sz="4" w:space="0"/>
              <w:left w:val="single" w:color="auto" w:sz="4" w:space="0"/>
              <w:bottom w:val="single" w:color="auto" w:sz="4" w:space="0"/>
              <w:right w:val="single" w:color="auto" w:sz="4" w:space="0"/>
            </w:tcBorders>
            <w:noWrap w:val="0"/>
            <w:vAlign w:val="center"/>
          </w:tcPr>
          <w:p w14:paraId="1C03EB38">
            <w:pPr>
              <w:spacing w:line="360" w:lineRule="auto"/>
              <w:jc w:val="center"/>
              <w:rPr>
                <w:rFonts w:hint="eastAsia" w:ascii="宋体" w:hAnsi="宋体" w:eastAsia="宋体" w:cs="宋体"/>
                <w:b/>
                <w:sz w:val="28"/>
                <w:lang w:eastAsia="zh-CN"/>
              </w:rPr>
            </w:pPr>
            <w:r>
              <w:rPr>
                <w:rFonts w:hint="eastAsia" w:ascii="宋体" w:hAnsi="宋体" w:cs="仿宋"/>
                <w:kern w:val="0"/>
                <w:sz w:val="24"/>
              </w:rPr>
              <w:t>投标报价</w:t>
            </w:r>
            <w:r>
              <w:rPr>
                <w:rFonts w:hint="eastAsia" w:ascii="宋体" w:hAnsi="宋体" w:cs="仿宋"/>
                <w:kern w:val="0"/>
                <w:sz w:val="24"/>
                <w:lang w:eastAsia="zh-CN"/>
              </w:rPr>
              <w:t>（</w:t>
            </w:r>
            <w:r>
              <w:rPr>
                <w:rFonts w:hint="eastAsia" w:ascii="宋体" w:hAnsi="宋体" w:cs="仿宋"/>
                <w:kern w:val="0"/>
                <w:sz w:val="24"/>
                <w:lang w:val="en-US" w:eastAsia="zh-CN"/>
              </w:rPr>
              <w:t>下浮率</w:t>
            </w:r>
            <w:r>
              <w:rPr>
                <w:rFonts w:hint="eastAsia" w:ascii="宋体" w:hAnsi="宋体" w:cs="仿宋"/>
                <w:kern w:val="0"/>
                <w:sz w:val="24"/>
                <w:lang w:eastAsia="zh-CN"/>
              </w:rPr>
              <w:t>）</w:t>
            </w:r>
          </w:p>
        </w:tc>
      </w:tr>
      <w:tr w14:paraId="316F5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jc w:val="center"/>
        </w:trPr>
        <w:tc>
          <w:tcPr>
            <w:tcW w:w="2407" w:type="dxa"/>
            <w:vMerge w:val="continue"/>
            <w:tcBorders>
              <w:left w:val="single" w:color="auto" w:sz="4" w:space="0"/>
              <w:right w:val="single" w:color="auto" w:sz="4" w:space="0"/>
            </w:tcBorders>
            <w:noWrap w:val="0"/>
            <w:vAlign w:val="center"/>
          </w:tcPr>
          <w:p w14:paraId="76941C0B">
            <w:pPr>
              <w:widowControl/>
              <w:spacing w:line="360" w:lineRule="auto"/>
              <w:rPr>
                <w:rFonts w:hint="eastAsia" w:ascii="宋体" w:hAnsi="宋体" w:cs="宋体"/>
                <w:sz w:val="24"/>
              </w:rPr>
            </w:pPr>
          </w:p>
        </w:tc>
        <w:tc>
          <w:tcPr>
            <w:tcW w:w="6812" w:type="dxa"/>
            <w:tcBorders>
              <w:top w:val="single" w:color="auto" w:sz="4" w:space="0"/>
              <w:left w:val="single" w:color="auto" w:sz="4" w:space="0"/>
              <w:bottom w:val="single" w:color="auto" w:sz="4" w:space="0"/>
              <w:right w:val="single" w:color="auto" w:sz="4" w:space="0"/>
            </w:tcBorders>
            <w:noWrap w:val="0"/>
            <w:vAlign w:val="center"/>
          </w:tcPr>
          <w:p w14:paraId="287B6F9C">
            <w:pPr>
              <w:rPr>
                <w:rFonts w:ascii="宋体" w:hAnsi="宋体" w:cs="宋体"/>
                <w:kern w:val="0"/>
                <w:sz w:val="28"/>
                <w:szCs w:val="28"/>
                <w:lang w:bidi="ar"/>
              </w:rPr>
            </w:pPr>
            <w:r>
              <w:rPr>
                <w:rFonts w:hint="eastAsia" w:ascii="宋体" w:hAnsi="宋体" w:cs="宋体"/>
                <w:kern w:val="0"/>
                <w:sz w:val="28"/>
                <w:szCs w:val="28"/>
                <w:lang w:bidi="ar"/>
              </w:rPr>
              <w:t>大写：</w:t>
            </w:r>
          </w:p>
          <w:p w14:paraId="78F8004C">
            <w:pPr>
              <w:spacing w:line="360" w:lineRule="auto"/>
              <w:jc w:val="left"/>
              <w:rPr>
                <w:rFonts w:hint="eastAsia" w:ascii="宋体" w:hAnsi="宋体" w:cs="宋体"/>
                <w:sz w:val="24"/>
                <w:u w:val="single"/>
              </w:rPr>
            </w:pPr>
            <w:r>
              <w:rPr>
                <w:rFonts w:hint="eastAsia" w:ascii="宋体" w:hAnsi="宋体" w:cs="宋体"/>
                <w:kern w:val="0"/>
                <w:sz w:val="28"/>
                <w:szCs w:val="28"/>
                <w:lang w:bidi="ar"/>
              </w:rPr>
              <w:t xml:space="preserve">小写：     </w:t>
            </w:r>
            <w:r>
              <w:rPr>
                <w:rFonts w:hint="eastAsia" w:ascii="宋体" w:hAnsi="宋体" w:cs="宋体"/>
                <w:kern w:val="0"/>
                <w:sz w:val="28"/>
                <w:szCs w:val="28"/>
                <w:lang w:val="en-US" w:eastAsia="zh-CN" w:bidi="ar"/>
              </w:rPr>
              <w:t>%</w:t>
            </w:r>
          </w:p>
        </w:tc>
      </w:tr>
    </w:tbl>
    <w:p w14:paraId="2ACB1121">
      <w:pPr>
        <w:tabs>
          <w:tab w:val="left" w:pos="753"/>
        </w:tabs>
        <w:adjustRightInd w:val="0"/>
        <w:snapToGrid w:val="0"/>
        <w:spacing w:line="560" w:lineRule="exact"/>
        <w:ind w:firstLine="480" w:firstLineChars="200"/>
        <w:rPr>
          <w:rFonts w:hint="eastAsia" w:ascii="宋体" w:hAnsi="宋体" w:eastAsia="宋体" w:cs="宋体"/>
          <w:b w:val="0"/>
          <w:bCs w:val="0"/>
          <w:sz w:val="24"/>
          <w:szCs w:val="24"/>
          <w:lang w:val="zh-CN" w:eastAsia="zh-CN"/>
        </w:rPr>
      </w:pPr>
      <w:r>
        <w:rPr>
          <w:rFonts w:hint="eastAsia" w:ascii="宋体" w:hAnsi="宋体" w:eastAsia="宋体" w:cs="宋体"/>
          <w:b w:val="0"/>
          <w:bCs w:val="0"/>
          <w:sz w:val="24"/>
          <w:szCs w:val="24"/>
          <w:lang w:val="zh-CN" w:eastAsia="zh-CN"/>
        </w:rPr>
        <w:t>本项目采用综合下浮率报价，下浮率最多保留小数点后一位（示例：10.1%，10.5%），结算单价=单价最高限价×（1-中标下浮率）（结算单价保留两位小数）。（</w:t>
      </w:r>
      <w:r>
        <w:rPr>
          <w:rFonts w:hint="eastAsia" w:ascii="宋体" w:hAnsi="宋体" w:eastAsia="宋体" w:cs="宋体"/>
          <w:b/>
          <w:bCs/>
          <w:sz w:val="24"/>
          <w:szCs w:val="24"/>
          <w:u w:val="single"/>
          <w:lang w:val="en-US" w:eastAsia="zh-CN"/>
        </w:rPr>
        <w:t>单价最高限价清单详见项目需求部分</w:t>
      </w:r>
      <w:r>
        <w:rPr>
          <w:rFonts w:hint="eastAsia" w:ascii="宋体" w:hAnsi="宋体" w:eastAsia="宋体" w:cs="宋体"/>
          <w:b w:val="0"/>
          <w:bCs w:val="0"/>
          <w:sz w:val="24"/>
          <w:szCs w:val="24"/>
          <w:lang w:val="zh-CN" w:eastAsia="zh-CN"/>
        </w:rPr>
        <w:t>）</w:t>
      </w:r>
    </w:p>
    <w:p w14:paraId="33E5FDA9">
      <w:pPr>
        <w:spacing w:line="480" w:lineRule="exact"/>
        <w:jc w:val="left"/>
        <w:rPr>
          <w:rFonts w:ascii="宋体" w:cs="宋体"/>
          <w:bCs/>
          <w:sz w:val="24"/>
        </w:rPr>
      </w:pPr>
    </w:p>
    <w:p w14:paraId="4B848F53">
      <w:pPr>
        <w:spacing w:line="480" w:lineRule="exact"/>
        <w:jc w:val="left"/>
        <w:rPr>
          <w:rFonts w:ascii="宋体" w:cs="宋体"/>
          <w:sz w:val="24"/>
          <w:u w:val="single"/>
        </w:rPr>
      </w:pPr>
      <w:r>
        <w:rPr>
          <w:rFonts w:hint="eastAsia" w:ascii="宋体" w:cs="宋体"/>
          <w:bCs/>
          <w:sz w:val="24"/>
        </w:rPr>
        <w:t>如我单位中标（成交），合同履约期间本项目负责人</w:t>
      </w:r>
      <w:r>
        <w:rPr>
          <w:rFonts w:hint="eastAsia" w:ascii="宋体" w:cs="宋体"/>
          <w:b/>
          <w:sz w:val="24"/>
        </w:rPr>
        <w:t>（需与资格审查材料中提供的项目负责人一致）</w:t>
      </w:r>
      <w:r>
        <w:rPr>
          <w:rFonts w:hint="eastAsia" w:ascii="宋体" w:cs="宋体"/>
          <w:bCs/>
          <w:sz w:val="24"/>
        </w:rPr>
        <w:t>：</w:t>
      </w:r>
      <w:r>
        <w:rPr>
          <w:rFonts w:hint="eastAsia" w:ascii="宋体" w:cs="宋体"/>
          <w:bCs/>
          <w:sz w:val="24"/>
          <w:u w:val="single"/>
        </w:rPr>
        <w:t xml:space="preserve">           </w:t>
      </w:r>
      <w:r>
        <w:rPr>
          <w:rFonts w:hint="eastAsia" w:ascii="宋体" w:cs="宋体"/>
          <w:bCs/>
          <w:sz w:val="24"/>
        </w:rPr>
        <w:t>身份证号码：</w:t>
      </w:r>
      <w:r>
        <w:rPr>
          <w:rFonts w:hint="eastAsia" w:ascii="宋体" w:cs="宋体"/>
          <w:bCs/>
          <w:sz w:val="24"/>
          <w:u w:val="single"/>
        </w:rPr>
        <w:t xml:space="preserve">                    </w:t>
      </w:r>
      <w:r>
        <w:rPr>
          <w:rFonts w:hint="eastAsia" w:ascii="宋体" w:cs="宋体"/>
          <w:bCs/>
          <w:sz w:val="24"/>
        </w:rPr>
        <w:t>联系方式：</w:t>
      </w:r>
      <w:r>
        <w:rPr>
          <w:rFonts w:hint="eastAsia" w:ascii="宋体" w:cs="宋体"/>
          <w:bCs/>
          <w:sz w:val="24"/>
          <w:u w:val="single"/>
        </w:rPr>
        <w:t xml:space="preserve">          </w:t>
      </w:r>
      <w:r>
        <w:rPr>
          <w:rFonts w:hint="eastAsia" w:ascii="宋体" w:cs="宋体"/>
          <w:sz w:val="24"/>
          <w:u w:val="single"/>
        </w:rPr>
        <w:tab/>
      </w:r>
    </w:p>
    <w:p w14:paraId="490F4BAC">
      <w:pPr>
        <w:widowControl/>
        <w:adjustRightInd w:val="0"/>
        <w:spacing w:line="360" w:lineRule="auto"/>
        <w:rPr>
          <w:rFonts w:ascii="宋体" w:cs="仿宋"/>
          <w:kern w:val="0"/>
          <w:sz w:val="24"/>
        </w:rPr>
      </w:pPr>
    </w:p>
    <w:p w14:paraId="032445D7">
      <w:pPr>
        <w:widowControl/>
        <w:adjustRightInd w:val="0"/>
        <w:spacing w:line="360" w:lineRule="auto"/>
        <w:rPr>
          <w:rFonts w:ascii="宋体" w:cs="仿宋"/>
          <w:kern w:val="0"/>
          <w:sz w:val="24"/>
        </w:rPr>
      </w:pPr>
      <w:r>
        <w:rPr>
          <w:rFonts w:hint="eastAsia" w:ascii="宋体" w:cs="仿宋"/>
          <w:kern w:val="0"/>
          <w:sz w:val="24"/>
        </w:rPr>
        <w:t>供应商（加盖公章）：</w:t>
      </w:r>
    </w:p>
    <w:p w14:paraId="758E7236">
      <w:pPr>
        <w:spacing w:line="360" w:lineRule="auto"/>
        <w:rPr>
          <w:rFonts w:ascii="宋体" w:cs="仿宋"/>
          <w:sz w:val="24"/>
        </w:rPr>
      </w:pPr>
    </w:p>
    <w:p w14:paraId="7B313DCC">
      <w:pPr>
        <w:spacing w:line="360" w:lineRule="auto"/>
        <w:rPr>
          <w:rFonts w:ascii="宋体" w:cs="仿宋"/>
          <w:sz w:val="24"/>
        </w:rPr>
      </w:pPr>
      <w:r>
        <w:rPr>
          <w:rFonts w:hint="eastAsia" w:ascii="宋体" w:cs="仿宋"/>
          <w:sz w:val="24"/>
        </w:rPr>
        <w:t>法定代表人或授权代表（签字/盖章）：</w:t>
      </w:r>
    </w:p>
    <w:p w14:paraId="67B6E992">
      <w:pPr>
        <w:spacing w:line="360" w:lineRule="auto"/>
        <w:rPr>
          <w:rFonts w:ascii="宋体" w:cs="仿宋"/>
          <w:sz w:val="24"/>
        </w:rPr>
      </w:pPr>
    </w:p>
    <w:p w14:paraId="1DE02D53">
      <w:pPr>
        <w:spacing w:line="360" w:lineRule="auto"/>
        <w:rPr>
          <w:rFonts w:ascii="宋体" w:cs="仿宋"/>
          <w:sz w:val="24"/>
        </w:rPr>
      </w:pPr>
      <w:r>
        <w:rPr>
          <w:rFonts w:hint="eastAsia" w:ascii="宋体" w:cs="仿宋"/>
          <w:sz w:val="24"/>
        </w:rPr>
        <w:t>日期：    年  月   日</w:t>
      </w:r>
    </w:p>
    <w:p w14:paraId="25225DFC">
      <w:pPr>
        <w:spacing w:after="120"/>
      </w:pPr>
    </w:p>
    <w:bookmarkEnd w:id="14"/>
    <w:p w14:paraId="1C355709">
      <w:pPr>
        <w:spacing w:line="360" w:lineRule="auto"/>
        <w:jc w:val="left"/>
        <w:rPr>
          <w:rFonts w:ascii="宋体" w:hAnsi="宋体"/>
          <w:sz w:val="28"/>
          <w:szCs w:val="28"/>
        </w:rPr>
      </w:pPr>
      <w:bookmarkStart w:id="17" w:name="_Hlk89675716"/>
      <w:r>
        <w:rPr>
          <w:rFonts w:hint="eastAsia" w:ascii="宋体" w:hAnsi="宋体" w:cs="宋体"/>
          <w:color w:val="000000"/>
          <w:sz w:val="24"/>
        </w:rPr>
        <w:t xml:space="preserve"> </w:t>
      </w:r>
    </w:p>
    <w:bookmarkEnd w:id="17"/>
    <w:p w14:paraId="7FD0A4F4">
      <w:pPr>
        <w:pageBreakBefore/>
        <w:snapToGrid w:val="0"/>
        <w:spacing w:line="360" w:lineRule="auto"/>
        <w:outlineLvl w:val="0"/>
        <w:rPr>
          <w:rFonts w:ascii="宋体" w:hAnsi="宋体" w:cs="仿宋_GB2312"/>
          <w:sz w:val="32"/>
          <w:szCs w:val="32"/>
        </w:rPr>
      </w:pPr>
      <w:r>
        <w:rPr>
          <w:rFonts w:hint="eastAsia" w:ascii="宋体" w:hAnsi="宋体" w:cs="宋体"/>
          <w:b/>
          <w:kern w:val="0"/>
          <w:sz w:val="28"/>
          <w:szCs w:val="28"/>
        </w:rPr>
        <w:t>附件9</w:t>
      </w:r>
    </w:p>
    <w:p w14:paraId="62564795">
      <w:pPr>
        <w:snapToGrid w:val="0"/>
        <w:spacing w:line="360" w:lineRule="auto"/>
        <w:ind w:firstLine="643" w:firstLineChars="200"/>
        <w:jc w:val="center"/>
        <w:rPr>
          <w:rFonts w:hint="eastAsia" w:ascii="宋体" w:hAnsi="宋体"/>
          <w:b/>
          <w:sz w:val="32"/>
          <w:szCs w:val="32"/>
        </w:rPr>
      </w:pPr>
      <w:r>
        <w:rPr>
          <w:rFonts w:hint="eastAsia" w:ascii="宋体" w:hAnsi="宋体"/>
          <w:b/>
          <w:sz w:val="32"/>
          <w:szCs w:val="32"/>
        </w:rPr>
        <w:t>质疑函范本</w:t>
      </w:r>
    </w:p>
    <w:p w14:paraId="6D315C40">
      <w:pPr>
        <w:adjustRightInd w:val="0"/>
        <w:snapToGrid w:val="0"/>
        <w:spacing w:before="240" w:beforeLines="100" w:line="360" w:lineRule="auto"/>
        <w:rPr>
          <w:rFonts w:ascii="宋体" w:hAnsi="宋体" w:cs="仿宋_GB2312"/>
          <w:bCs/>
          <w:sz w:val="28"/>
          <w:szCs w:val="28"/>
        </w:rPr>
      </w:pPr>
      <w:r>
        <w:rPr>
          <w:rFonts w:hint="eastAsia" w:ascii="宋体" w:hAnsi="宋体" w:cs="仿宋_GB2312"/>
          <w:bCs/>
          <w:sz w:val="28"/>
          <w:szCs w:val="28"/>
        </w:rPr>
        <w:t>一、质疑供应商基本信息</w:t>
      </w:r>
    </w:p>
    <w:p w14:paraId="7C093A66">
      <w:pPr>
        <w:adjustRightInd w:val="0"/>
        <w:snapToGrid w:val="0"/>
        <w:spacing w:line="360" w:lineRule="auto"/>
        <w:rPr>
          <w:rFonts w:ascii="宋体" w:hAnsi="宋体" w:cs="仿宋_GB2312"/>
          <w:sz w:val="28"/>
          <w:szCs w:val="28"/>
          <w:u w:val="dotted"/>
        </w:rPr>
      </w:pPr>
      <w:r>
        <w:rPr>
          <w:rFonts w:hint="eastAsia" w:ascii="宋体" w:hAnsi="宋体" w:cs="仿宋_GB2312"/>
          <w:sz w:val="28"/>
          <w:szCs w:val="28"/>
        </w:rPr>
        <w:t>质疑供应商：</w:t>
      </w:r>
    </w:p>
    <w:p w14:paraId="43E00262">
      <w:pPr>
        <w:adjustRightInd w:val="0"/>
        <w:snapToGrid w:val="0"/>
        <w:spacing w:line="360" w:lineRule="auto"/>
        <w:rPr>
          <w:rFonts w:ascii="宋体" w:hAnsi="宋体" w:cs="仿宋_GB2312"/>
          <w:sz w:val="28"/>
          <w:szCs w:val="28"/>
        </w:rPr>
      </w:pPr>
      <w:r>
        <w:rPr>
          <w:rFonts w:hint="eastAsia" w:ascii="宋体" w:hAnsi="宋体" w:cs="仿宋_GB2312"/>
          <w:sz w:val="28"/>
          <w:szCs w:val="28"/>
        </w:rPr>
        <w:t>地址：邮编：</w:t>
      </w:r>
    </w:p>
    <w:p w14:paraId="42B4860F">
      <w:pPr>
        <w:adjustRightInd w:val="0"/>
        <w:snapToGrid w:val="0"/>
        <w:spacing w:line="360" w:lineRule="auto"/>
        <w:rPr>
          <w:rFonts w:ascii="宋体" w:hAnsi="宋体" w:cs="仿宋_GB2312"/>
          <w:sz w:val="28"/>
          <w:szCs w:val="28"/>
        </w:rPr>
      </w:pPr>
      <w:r>
        <w:rPr>
          <w:rFonts w:hint="eastAsia" w:ascii="宋体" w:hAnsi="宋体" w:cs="仿宋_GB2312"/>
          <w:sz w:val="28"/>
          <w:szCs w:val="28"/>
        </w:rPr>
        <w:t>联系人：联系电话：</w:t>
      </w:r>
    </w:p>
    <w:p w14:paraId="4E6C0068">
      <w:pPr>
        <w:adjustRightInd w:val="0"/>
        <w:snapToGrid w:val="0"/>
        <w:spacing w:line="360" w:lineRule="auto"/>
        <w:rPr>
          <w:rFonts w:ascii="宋体" w:hAnsi="宋体" w:cs="仿宋_GB2312"/>
          <w:sz w:val="28"/>
          <w:szCs w:val="28"/>
          <w:u w:val="dotted"/>
        </w:rPr>
      </w:pPr>
      <w:r>
        <w:rPr>
          <w:rFonts w:hint="eastAsia" w:ascii="宋体" w:hAnsi="宋体" w:cs="仿宋_GB2312"/>
          <w:sz w:val="28"/>
          <w:szCs w:val="28"/>
        </w:rPr>
        <w:t>授权代表：</w:t>
      </w:r>
    </w:p>
    <w:p w14:paraId="2C5F0AD4">
      <w:pPr>
        <w:adjustRightInd w:val="0"/>
        <w:snapToGrid w:val="0"/>
        <w:spacing w:line="360" w:lineRule="auto"/>
        <w:rPr>
          <w:rFonts w:ascii="宋体" w:hAnsi="宋体" w:cs="仿宋_GB2312"/>
          <w:sz w:val="28"/>
          <w:szCs w:val="28"/>
        </w:rPr>
      </w:pPr>
      <w:r>
        <w:rPr>
          <w:rFonts w:hint="eastAsia" w:ascii="宋体" w:hAnsi="宋体" w:cs="仿宋_GB2312"/>
          <w:sz w:val="28"/>
          <w:szCs w:val="28"/>
        </w:rPr>
        <w:t>联系电话：</w:t>
      </w:r>
    </w:p>
    <w:p w14:paraId="09173F8D">
      <w:pPr>
        <w:adjustRightInd w:val="0"/>
        <w:snapToGrid w:val="0"/>
        <w:spacing w:line="360" w:lineRule="auto"/>
        <w:rPr>
          <w:rFonts w:ascii="宋体" w:hAnsi="宋体" w:cs="仿宋_GB2312"/>
          <w:sz w:val="28"/>
          <w:szCs w:val="28"/>
        </w:rPr>
      </w:pPr>
      <w:r>
        <w:rPr>
          <w:rFonts w:hint="eastAsia" w:ascii="宋体" w:hAnsi="宋体" w:cs="仿宋_GB2312"/>
          <w:sz w:val="28"/>
          <w:szCs w:val="28"/>
        </w:rPr>
        <w:t>地址：邮编：</w:t>
      </w:r>
    </w:p>
    <w:p w14:paraId="797B1F22">
      <w:pPr>
        <w:adjustRightInd w:val="0"/>
        <w:snapToGrid w:val="0"/>
        <w:spacing w:line="360" w:lineRule="auto"/>
        <w:rPr>
          <w:rFonts w:ascii="宋体" w:hAnsi="宋体" w:cs="仿宋_GB2312"/>
          <w:bCs/>
          <w:sz w:val="28"/>
          <w:szCs w:val="28"/>
        </w:rPr>
      </w:pPr>
      <w:r>
        <w:rPr>
          <w:rFonts w:hint="eastAsia" w:ascii="宋体" w:hAnsi="宋体" w:cs="仿宋_GB2312"/>
          <w:bCs/>
          <w:sz w:val="28"/>
          <w:szCs w:val="28"/>
        </w:rPr>
        <w:t>二、质疑项目基本情况</w:t>
      </w:r>
    </w:p>
    <w:p w14:paraId="026B662A">
      <w:pPr>
        <w:adjustRightInd w:val="0"/>
        <w:snapToGrid w:val="0"/>
        <w:spacing w:line="360" w:lineRule="auto"/>
        <w:rPr>
          <w:rFonts w:ascii="宋体" w:hAnsi="宋体" w:cs="仿宋_GB2312"/>
          <w:sz w:val="28"/>
          <w:szCs w:val="28"/>
        </w:rPr>
      </w:pPr>
      <w:r>
        <w:rPr>
          <w:rFonts w:hint="eastAsia" w:ascii="宋体" w:hAnsi="宋体" w:cs="仿宋_GB2312"/>
          <w:sz w:val="28"/>
          <w:szCs w:val="28"/>
        </w:rPr>
        <w:t>质疑项目的名称：</w:t>
      </w:r>
    </w:p>
    <w:p w14:paraId="17EE16B6">
      <w:pPr>
        <w:adjustRightInd w:val="0"/>
        <w:snapToGrid w:val="0"/>
        <w:spacing w:line="360" w:lineRule="auto"/>
        <w:rPr>
          <w:rFonts w:ascii="宋体" w:hAnsi="宋体" w:cs="仿宋_GB2312"/>
          <w:sz w:val="28"/>
          <w:szCs w:val="28"/>
        </w:rPr>
      </w:pPr>
      <w:r>
        <w:rPr>
          <w:rFonts w:hint="eastAsia" w:ascii="宋体" w:hAnsi="宋体" w:cs="仿宋_GB2312"/>
          <w:sz w:val="28"/>
          <w:szCs w:val="28"/>
        </w:rPr>
        <w:t>质疑项目的编号：包号：</w:t>
      </w:r>
    </w:p>
    <w:p w14:paraId="071B79A8">
      <w:pPr>
        <w:adjustRightInd w:val="0"/>
        <w:snapToGrid w:val="0"/>
        <w:spacing w:line="360" w:lineRule="auto"/>
        <w:rPr>
          <w:rFonts w:ascii="宋体" w:hAnsi="宋体" w:cs="仿宋_GB2312"/>
          <w:sz w:val="28"/>
          <w:szCs w:val="28"/>
          <w:u w:val="dotted"/>
        </w:rPr>
      </w:pPr>
      <w:r>
        <w:rPr>
          <w:rFonts w:hint="eastAsia" w:ascii="宋体" w:hAnsi="宋体" w:cs="仿宋_GB2312"/>
          <w:sz w:val="28"/>
          <w:szCs w:val="28"/>
        </w:rPr>
        <w:t>采购人名称：</w:t>
      </w:r>
    </w:p>
    <w:p w14:paraId="6E6A6CBE">
      <w:pPr>
        <w:adjustRightInd w:val="0"/>
        <w:snapToGrid w:val="0"/>
        <w:spacing w:line="360" w:lineRule="auto"/>
        <w:rPr>
          <w:rFonts w:ascii="宋体" w:hAnsi="宋体" w:cs="仿宋_GB2312"/>
          <w:sz w:val="28"/>
          <w:szCs w:val="28"/>
        </w:rPr>
      </w:pPr>
      <w:r>
        <w:rPr>
          <w:rFonts w:hint="eastAsia" w:ascii="宋体" w:hAnsi="宋体" w:cs="仿宋_GB2312"/>
          <w:sz w:val="28"/>
          <w:szCs w:val="28"/>
        </w:rPr>
        <w:t>采购文件获取日期：</w:t>
      </w:r>
    </w:p>
    <w:p w14:paraId="086C180A">
      <w:pPr>
        <w:adjustRightInd w:val="0"/>
        <w:snapToGrid w:val="0"/>
        <w:spacing w:line="360" w:lineRule="auto"/>
        <w:rPr>
          <w:rFonts w:ascii="宋体" w:hAnsi="宋体" w:cs="仿宋_GB2312"/>
          <w:bCs/>
          <w:sz w:val="28"/>
          <w:szCs w:val="28"/>
        </w:rPr>
      </w:pPr>
      <w:r>
        <w:rPr>
          <w:rFonts w:hint="eastAsia" w:ascii="宋体" w:hAnsi="宋体" w:cs="仿宋_GB2312"/>
          <w:bCs/>
          <w:sz w:val="28"/>
          <w:szCs w:val="28"/>
        </w:rPr>
        <w:t>三、质疑事项具体内容</w:t>
      </w:r>
    </w:p>
    <w:p w14:paraId="68FE0F67">
      <w:pPr>
        <w:adjustRightInd w:val="0"/>
        <w:snapToGrid w:val="0"/>
        <w:spacing w:line="360" w:lineRule="auto"/>
        <w:rPr>
          <w:rFonts w:ascii="宋体" w:hAnsi="宋体" w:cs="仿宋_GB2312"/>
          <w:sz w:val="28"/>
          <w:szCs w:val="28"/>
          <w:u w:val="dotted"/>
        </w:rPr>
      </w:pPr>
      <w:r>
        <w:rPr>
          <w:rFonts w:hint="eastAsia" w:ascii="宋体" w:hAnsi="宋体" w:cs="仿宋_GB2312"/>
          <w:sz w:val="28"/>
          <w:szCs w:val="28"/>
        </w:rPr>
        <w:t>质疑事项1：</w:t>
      </w:r>
    </w:p>
    <w:p w14:paraId="19B05FBF">
      <w:pPr>
        <w:adjustRightInd w:val="0"/>
        <w:snapToGrid w:val="0"/>
        <w:spacing w:line="360" w:lineRule="auto"/>
        <w:rPr>
          <w:rFonts w:ascii="宋体" w:hAnsi="宋体" w:cs="仿宋_GB2312"/>
          <w:sz w:val="28"/>
          <w:szCs w:val="28"/>
          <w:u w:val="dotted"/>
        </w:rPr>
      </w:pPr>
      <w:r>
        <w:rPr>
          <w:rFonts w:hint="eastAsia" w:ascii="宋体" w:hAnsi="宋体" w:cs="仿宋_GB2312"/>
          <w:sz w:val="28"/>
          <w:szCs w:val="28"/>
        </w:rPr>
        <w:t>事实依据：</w:t>
      </w:r>
    </w:p>
    <w:p w14:paraId="1D8D3E43">
      <w:pPr>
        <w:adjustRightInd w:val="0"/>
        <w:snapToGrid w:val="0"/>
        <w:spacing w:line="360" w:lineRule="auto"/>
        <w:rPr>
          <w:rFonts w:ascii="宋体" w:hAnsi="宋体" w:cs="仿宋_GB2312"/>
          <w:sz w:val="28"/>
          <w:szCs w:val="28"/>
        </w:rPr>
      </w:pPr>
    </w:p>
    <w:p w14:paraId="402851A3">
      <w:pPr>
        <w:adjustRightInd w:val="0"/>
        <w:snapToGrid w:val="0"/>
        <w:spacing w:line="360" w:lineRule="auto"/>
        <w:rPr>
          <w:rFonts w:ascii="宋体" w:hAnsi="宋体" w:cs="仿宋_GB2312"/>
          <w:sz w:val="28"/>
          <w:szCs w:val="28"/>
          <w:u w:val="dotted"/>
        </w:rPr>
      </w:pPr>
      <w:r>
        <w:rPr>
          <w:rFonts w:hint="eastAsia" w:ascii="宋体" w:hAnsi="宋体" w:cs="仿宋_GB2312"/>
          <w:sz w:val="28"/>
          <w:szCs w:val="28"/>
        </w:rPr>
        <w:t>法律依据：</w:t>
      </w:r>
    </w:p>
    <w:p w14:paraId="511AD065">
      <w:pPr>
        <w:adjustRightInd w:val="0"/>
        <w:snapToGrid w:val="0"/>
        <w:spacing w:line="360" w:lineRule="auto"/>
        <w:rPr>
          <w:rFonts w:ascii="宋体" w:hAnsi="宋体" w:cs="仿宋_GB2312"/>
          <w:sz w:val="28"/>
          <w:szCs w:val="28"/>
          <w:u w:val="dotted"/>
        </w:rPr>
      </w:pPr>
    </w:p>
    <w:p w14:paraId="3CC07F6D">
      <w:pPr>
        <w:adjustRightInd w:val="0"/>
        <w:snapToGrid w:val="0"/>
        <w:spacing w:line="360" w:lineRule="auto"/>
        <w:rPr>
          <w:rFonts w:ascii="宋体" w:hAnsi="宋体" w:cs="仿宋_GB2312"/>
          <w:sz w:val="28"/>
          <w:szCs w:val="28"/>
          <w:u w:val="dotted"/>
        </w:rPr>
      </w:pPr>
      <w:r>
        <w:rPr>
          <w:rFonts w:hint="eastAsia" w:ascii="宋体" w:hAnsi="宋体" w:cs="仿宋_GB2312"/>
          <w:sz w:val="28"/>
          <w:szCs w:val="28"/>
        </w:rPr>
        <w:t>质疑事项2</w:t>
      </w:r>
    </w:p>
    <w:p w14:paraId="26C6E960">
      <w:pPr>
        <w:adjustRightInd w:val="0"/>
        <w:snapToGrid w:val="0"/>
        <w:spacing w:line="360" w:lineRule="auto"/>
        <w:rPr>
          <w:rFonts w:ascii="宋体" w:hAnsi="宋体" w:cs="仿宋_GB2312"/>
          <w:sz w:val="28"/>
          <w:szCs w:val="28"/>
        </w:rPr>
      </w:pPr>
      <w:r>
        <w:rPr>
          <w:rFonts w:hint="eastAsia" w:ascii="宋体" w:hAnsi="宋体" w:cs="仿宋_GB2312"/>
          <w:sz w:val="28"/>
          <w:szCs w:val="28"/>
        </w:rPr>
        <w:t>……</w:t>
      </w:r>
    </w:p>
    <w:p w14:paraId="441E50BA">
      <w:pPr>
        <w:adjustRightInd w:val="0"/>
        <w:snapToGrid w:val="0"/>
        <w:spacing w:line="360" w:lineRule="auto"/>
        <w:rPr>
          <w:rFonts w:ascii="宋体" w:hAnsi="宋体" w:cs="仿宋_GB2312"/>
          <w:bCs/>
          <w:sz w:val="28"/>
          <w:szCs w:val="28"/>
        </w:rPr>
      </w:pPr>
      <w:r>
        <w:rPr>
          <w:rFonts w:hint="eastAsia" w:ascii="宋体" w:hAnsi="宋体" w:cs="仿宋_GB2312"/>
          <w:bCs/>
          <w:sz w:val="28"/>
          <w:szCs w:val="28"/>
        </w:rPr>
        <w:t>四、与质疑事项相关的质疑请求</w:t>
      </w:r>
    </w:p>
    <w:p w14:paraId="3F5F4199">
      <w:pPr>
        <w:adjustRightInd w:val="0"/>
        <w:snapToGrid w:val="0"/>
        <w:spacing w:line="360" w:lineRule="auto"/>
        <w:rPr>
          <w:rFonts w:ascii="宋体" w:hAnsi="宋体" w:cs="仿宋_GB2312"/>
          <w:sz w:val="28"/>
          <w:szCs w:val="28"/>
          <w:u w:val="dotted"/>
        </w:rPr>
      </w:pPr>
      <w:r>
        <w:rPr>
          <w:rFonts w:hint="eastAsia" w:ascii="宋体" w:hAnsi="宋体" w:cs="仿宋_GB2312"/>
          <w:sz w:val="28"/>
          <w:szCs w:val="28"/>
        </w:rPr>
        <w:t>请求：</w:t>
      </w:r>
    </w:p>
    <w:p w14:paraId="6C75A2A8">
      <w:pPr>
        <w:spacing w:line="360" w:lineRule="auto"/>
        <w:rPr>
          <w:rFonts w:ascii="宋体" w:hAnsi="宋体" w:cs="仿宋_GB2312"/>
          <w:sz w:val="28"/>
          <w:szCs w:val="28"/>
        </w:rPr>
      </w:pPr>
      <w:r>
        <w:rPr>
          <w:rFonts w:hint="eastAsia" w:ascii="宋体" w:hAnsi="宋体" w:cs="仿宋_GB2312"/>
          <w:sz w:val="28"/>
          <w:szCs w:val="28"/>
        </w:rPr>
        <w:t>签字(签章)：公章：</w:t>
      </w:r>
    </w:p>
    <w:p w14:paraId="73F11134">
      <w:pPr>
        <w:spacing w:line="360" w:lineRule="auto"/>
        <w:rPr>
          <w:rFonts w:ascii="宋体" w:hAnsi="宋体" w:cs="仿宋_GB2312"/>
          <w:sz w:val="28"/>
          <w:szCs w:val="28"/>
        </w:rPr>
      </w:pPr>
      <w:r>
        <w:rPr>
          <w:rFonts w:hint="eastAsia" w:ascii="宋体" w:hAnsi="宋体" w:cs="仿宋_GB2312"/>
          <w:sz w:val="28"/>
          <w:szCs w:val="28"/>
        </w:rPr>
        <w:t>日期：</w:t>
      </w:r>
    </w:p>
    <w:p w14:paraId="1FF6AB0D">
      <w:pPr>
        <w:spacing w:line="360" w:lineRule="auto"/>
        <w:rPr>
          <w:rFonts w:ascii="宋体" w:hAnsi="宋体" w:cs="仿宋_GB2312"/>
          <w:b/>
          <w:sz w:val="28"/>
          <w:szCs w:val="28"/>
        </w:rPr>
      </w:pPr>
      <w:r>
        <w:rPr>
          <w:rFonts w:hint="eastAsia" w:ascii="宋体" w:hAnsi="宋体" w:cs="仿宋_GB2312"/>
          <w:b/>
          <w:sz w:val="28"/>
          <w:szCs w:val="28"/>
        </w:rPr>
        <w:t>质疑函制作说明：</w:t>
      </w:r>
    </w:p>
    <w:p w14:paraId="0CE8EA52">
      <w:pPr>
        <w:widowControl/>
        <w:spacing w:line="360" w:lineRule="auto"/>
        <w:ind w:firstLine="560" w:firstLineChars="200"/>
        <w:jc w:val="left"/>
        <w:rPr>
          <w:rFonts w:ascii="宋体" w:hAnsi="宋体" w:cs="仿宋_GB2312"/>
          <w:sz w:val="28"/>
          <w:szCs w:val="28"/>
        </w:rPr>
      </w:pPr>
      <w:r>
        <w:rPr>
          <w:rFonts w:hint="eastAsia" w:ascii="宋体" w:hAnsi="宋体" w:cs="仿宋_GB2312"/>
          <w:sz w:val="28"/>
          <w:szCs w:val="28"/>
        </w:rPr>
        <w:t>1、供应商提出质疑时，应提交质疑函和必要的证明材料。</w:t>
      </w:r>
    </w:p>
    <w:p w14:paraId="1686EEAE">
      <w:pPr>
        <w:widowControl/>
        <w:spacing w:line="360" w:lineRule="auto"/>
        <w:ind w:firstLine="560" w:firstLineChars="200"/>
        <w:jc w:val="left"/>
        <w:rPr>
          <w:rFonts w:ascii="宋体" w:hAnsi="宋体" w:cs="仿宋_GB2312"/>
          <w:sz w:val="28"/>
          <w:szCs w:val="28"/>
        </w:rPr>
      </w:pPr>
      <w:r>
        <w:rPr>
          <w:rFonts w:hint="eastAsia" w:ascii="宋体" w:hAnsi="宋体" w:cs="仿宋_GB2312"/>
          <w:sz w:val="28"/>
          <w:szCs w:val="28"/>
        </w:rPr>
        <w:t>2、质疑供应商若委托代理人进行质疑的，质疑函应按要求列明“授权代表”的有关内容，并在附件中提交由质疑</w:t>
      </w:r>
      <w:r>
        <w:rPr>
          <w:rFonts w:hint="eastAsia" w:ascii="宋体" w:hAnsi="宋体" w:cs="仿宋_GB2312"/>
          <w:kern w:val="0"/>
          <w:sz w:val="28"/>
          <w:szCs w:val="28"/>
        </w:rPr>
        <w:t>供应商签署的授权委托书。授权委托书应载明代理人的姓名或者名称、代理事项、具体权限、期限和相关事项。</w:t>
      </w:r>
    </w:p>
    <w:p w14:paraId="4EC1C5BA">
      <w:pPr>
        <w:widowControl/>
        <w:spacing w:line="360" w:lineRule="auto"/>
        <w:ind w:firstLine="560" w:firstLineChars="200"/>
        <w:jc w:val="left"/>
        <w:rPr>
          <w:rFonts w:ascii="宋体" w:hAnsi="宋体" w:cs="仿宋_GB2312"/>
          <w:sz w:val="28"/>
          <w:szCs w:val="28"/>
        </w:rPr>
      </w:pPr>
      <w:r>
        <w:rPr>
          <w:rFonts w:hint="eastAsia" w:ascii="宋体" w:hAnsi="宋体" w:cs="仿宋_GB2312"/>
          <w:sz w:val="28"/>
          <w:szCs w:val="28"/>
        </w:rPr>
        <w:t>3、质疑供应商若对项目的某一分包进行质疑，质疑函中应列明具体分包号。</w:t>
      </w:r>
    </w:p>
    <w:p w14:paraId="70AB6FAA">
      <w:pPr>
        <w:widowControl/>
        <w:spacing w:line="360" w:lineRule="auto"/>
        <w:ind w:firstLine="560" w:firstLineChars="200"/>
        <w:jc w:val="left"/>
        <w:rPr>
          <w:rFonts w:ascii="宋体" w:hAnsi="宋体" w:cs="仿宋_GB2312"/>
          <w:sz w:val="28"/>
          <w:szCs w:val="28"/>
        </w:rPr>
      </w:pPr>
      <w:r>
        <w:rPr>
          <w:rFonts w:hint="eastAsia" w:ascii="宋体" w:hAnsi="宋体" w:cs="仿宋_GB2312"/>
          <w:sz w:val="28"/>
          <w:szCs w:val="28"/>
        </w:rPr>
        <w:t>4、质疑函的质疑事项应具体、明确，并有必要的事实依据和法律依据。</w:t>
      </w:r>
    </w:p>
    <w:p w14:paraId="47E96D6D">
      <w:pPr>
        <w:widowControl/>
        <w:spacing w:line="360" w:lineRule="auto"/>
        <w:ind w:firstLine="560" w:firstLineChars="200"/>
        <w:jc w:val="left"/>
        <w:rPr>
          <w:rFonts w:ascii="宋体" w:hAnsi="宋体" w:cs="仿宋_GB2312"/>
          <w:sz w:val="28"/>
          <w:szCs w:val="28"/>
        </w:rPr>
      </w:pPr>
      <w:r>
        <w:rPr>
          <w:rFonts w:hint="eastAsia" w:ascii="宋体" w:hAnsi="宋体" w:cs="仿宋_GB2312"/>
          <w:sz w:val="28"/>
          <w:szCs w:val="28"/>
        </w:rPr>
        <w:t>5、质疑函的质疑请求应与质疑事项相关。</w:t>
      </w:r>
    </w:p>
    <w:p w14:paraId="55BBA15A">
      <w:pPr>
        <w:widowControl/>
        <w:spacing w:line="360" w:lineRule="auto"/>
        <w:ind w:firstLine="560" w:firstLineChars="200"/>
        <w:jc w:val="left"/>
        <w:rPr>
          <w:rFonts w:ascii="宋体" w:hAnsi="宋体" w:cs="宋体"/>
          <w:spacing w:val="-8"/>
          <w:sz w:val="24"/>
        </w:rPr>
      </w:pPr>
      <w:r>
        <w:rPr>
          <w:rFonts w:hint="eastAsia" w:ascii="宋体" w:hAnsi="宋体" w:cs="仿宋_GB2312"/>
          <w:sz w:val="28"/>
          <w:szCs w:val="28"/>
        </w:rPr>
        <w:t>6、质疑供应商为自然人的，质疑函应由本人签字；质疑供应商为法人或者其他组织的，质疑函应由法定代表人、主要负责人，或者其授权代表签字或者盖章，并加盖公章。</w:t>
      </w:r>
    </w:p>
    <w:p w14:paraId="679D573E">
      <w:pPr>
        <w:widowControl/>
        <w:spacing w:line="360" w:lineRule="auto"/>
        <w:ind w:firstLine="448" w:firstLineChars="200"/>
        <w:jc w:val="left"/>
        <w:rPr>
          <w:rFonts w:ascii="宋体" w:hAnsi="宋体" w:cs="宋体"/>
          <w:spacing w:val="-8"/>
          <w:sz w:val="24"/>
        </w:rPr>
      </w:pPr>
    </w:p>
    <w:p w14:paraId="3CE0F40C">
      <w:pPr>
        <w:snapToGrid w:val="0"/>
        <w:spacing w:line="360" w:lineRule="auto"/>
        <w:outlineLvl w:val="0"/>
        <w:rPr>
          <w:rFonts w:ascii="宋体" w:hAnsi="宋体"/>
          <w:sz w:val="28"/>
          <w:szCs w:val="28"/>
        </w:rPr>
      </w:pPr>
    </w:p>
    <w:p w14:paraId="04B65CB9">
      <w:pPr>
        <w:snapToGrid w:val="0"/>
        <w:spacing w:line="360" w:lineRule="auto"/>
        <w:rPr>
          <w:rFonts w:ascii="宋体" w:hAnsi="宋体"/>
          <w:b/>
          <w:sz w:val="28"/>
          <w:szCs w:val="28"/>
        </w:rPr>
      </w:pPr>
    </w:p>
    <w:p w14:paraId="4B951904">
      <w:pPr>
        <w:spacing w:line="360" w:lineRule="auto"/>
        <w:rPr>
          <w:rFonts w:hint="eastAsia" w:ascii="宋体" w:hAnsi="宋体" w:cs="宋体"/>
          <w:kern w:val="0"/>
          <w:sz w:val="28"/>
          <w:szCs w:val="28"/>
          <w:lang w:val="zh-CN"/>
        </w:rPr>
      </w:pPr>
    </w:p>
    <w:p w14:paraId="240E0C15">
      <w:pPr>
        <w:snapToGrid w:val="0"/>
        <w:spacing w:line="500" w:lineRule="exact"/>
        <w:ind w:left="1319" w:hanging="1318" w:hangingChars="471"/>
        <w:rPr>
          <w:rFonts w:hint="eastAsia" w:ascii="宋体" w:hAnsi="宋体" w:cs="宋体"/>
          <w:sz w:val="28"/>
          <w:szCs w:val="28"/>
        </w:rPr>
      </w:pPr>
    </w:p>
    <w:p w14:paraId="496295D3">
      <w:pPr>
        <w:pStyle w:val="7"/>
        <w:rPr>
          <w:rFonts w:hint="eastAsia" w:ascii="宋体" w:hAnsi="宋体" w:cs="宋体"/>
        </w:rPr>
      </w:pPr>
    </w:p>
    <w:p w14:paraId="78821682">
      <w:pPr>
        <w:rPr>
          <w:rFonts w:hint="eastAsia" w:ascii="宋体" w:hAnsi="宋体" w:cs="宋体"/>
        </w:rPr>
      </w:pPr>
    </w:p>
    <w:p w14:paraId="3525EE87">
      <w:pPr>
        <w:pStyle w:val="7"/>
        <w:rPr>
          <w:rFonts w:hint="eastAsia" w:ascii="宋体" w:hAnsi="宋体" w:cs="宋体"/>
        </w:rPr>
      </w:pPr>
    </w:p>
    <w:p w14:paraId="36FD4587">
      <w:pPr>
        <w:rPr>
          <w:rFonts w:hint="eastAsia" w:ascii="宋体" w:hAnsi="宋体" w:cs="宋体"/>
        </w:rPr>
      </w:pPr>
    </w:p>
    <w:p w14:paraId="10B0B30E">
      <w:pPr>
        <w:rPr>
          <w:rFonts w:hint="eastAsia" w:ascii="宋体" w:hAnsi="宋体" w:cs="宋体"/>
        </w:rPr>
      </w:pPr>
    </w:p>
    <w:p w14:paraId="37BA322A">
      <w:pPr>
        <w:rPr>
          <w:rFonts w:hint="eastAsia" w:ascii="宋体" w:hAnsi="宋体" w:cs="宋体"/>
        </w:rPr>
      </w:pPr>
    </w:p>
    <w:p w14:paraId="302CF1BC">
      <w:pPr>
        <w:rPr>
          <w:rFonts w:hint="eastAsia" w:ascii="宋体" w:hAnsi="宋体" w:cs="宋体"/>
        </w:rPr>
      </w:pPr>
    </w:p>
    <w:p w14:paraId="2CAB37A6">
      <w:pPr>
        <w:rPr>
          <w:rFonts w:hint="eastAsia" w:ascii="宋体" w:hAnsi="宋体" w:cs="宋体"/>
        </w:rPr>
      </w:pPr>
    </w:p>
    <w:p w14:paraId="44CE14F8"/>
    <w:sectPr>
      <w:headerReference r:id="rId5" w:type="default"/>
      <w:footerReference r:id="rId6" w:type="default"/>
      <w:pgSz w:w="11905" w:h="16838"/>
      <w:pgMar w:top="1361" w:right="1304" w:bottom="1361" w:left="1361" w:header="850" w:footer="85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ADAC258D-4BA3-4469-9C0D-C79DEBB55785}"/>
  </w:font>
  <w:font w:name="仿宋_GB2312">
    <w:altName w:val="仿宋"/>
    <w:panose1 w:val="02010609030101010101"/>
    <w:charset w:val="86"/>
    <w:family w:val="modern"/>
    <w:pitch w:val="default"/>
    <w:sig w:usb0="00000000" w:usb1="00000000" w:usb2="00000010" w:usb3="00000000" w:csb0="00040000" w:csb1="00000000"/>
    <w:embedRegular r:id="rId2" w:fontKey="{7C517D12-5804-4EAA-BCD8-89F158ADDD77}"/>
  </w:font>
  <w:font w:name="仿宋">
    <w:panose1 w:val="02010609060101010101"/>
    <w:charset w:val="86"/>
    <w:family w:val="modern"/>
    <w:pitch w:val="default"/>
    <w:sig w:usb0="800002BF" w:usb1="38CF7CFA" w:usb2="00000016" w:usb3="00000000" w:csb0="00040001" w:csb1="00000000"/>
    <w:embedRegular r:id="rId3" w:fontKey="{A85850D3-D8CE-476A-9303-AB788235DBC2}"/>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方正公文小标宋">
    <w:panose1 w:val="02000500000000000000"/>
    <w:charset w:val="86"/>
    <w:family w:val="auto"/>
    <w:pitch w:val="default"/>
    <w:sig w:usb0="A00002BF" w:usb1="38CF7CFA" w:usb2="00000016" w:usb3="00000000" w:csb0="00040001" w:csb1="00000000"/>
    <w:embedRegular r:id="rId4" w:fontKey="{C12DFC67-8BF0-4239-B8D3-84614EB888FF}"/>
  </w:font>
  <w:font w:name="华文新魏">
    <w:panose1 w:val="02010800040101010101"/>
    <w:charset w:val="86"/>
    <w:family w:val="auto"/>
    <w:pitch w:val="default"/>
    <w:sig w:usb0="00000001" w:usb1="080F0000" w:usb2="00000000" w:usb3="00000000" w:csb0="00040000" w:csb1="00000000"/>
    <w:embedRegular r:id="rId5" w:fontKey="{9CC9A371-31D9-4210-A8CE-DFE9EC2A4C2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A710E">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385494">
                          <w:pPr>
                            <w:pStyle w:val="1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7385494">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16490">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7D4748">
                          <w:pPr>
                            <w:pStyle w:val="10"/>
                          </w:pPr>
                          <w:r>
                            <w:fldChar w:fldCharType="begin"/>
                          </w:r>
                          <w:r>
                            <w:instrText xml:space="preserve"> PAGE  \* MERGEFORMAT </w:instrText>
                          </w:r>
                          <w:r>
                            <w:fldChar w:fldCharType="separate"/>
                          </w:r>
                          <w:r>
                            <w:t>24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037D4748">
                    <w:pPr>
                      <w:pStyle w:val="10"/>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E64DA">
    <w:pPr>
      <w:pStyle w:val="1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B44570">
                          <w:pPr>
                            <w:pStyle w:val="10"/>
                          </w:pPr>
                          <w:r>
                            <w:fldChar w:fldCharType="begin"/>
                          </w:r>
                          <w:r>
                            <w:instrText xml:space="preserve"> PAGE  \* MERGEFORMAT </w:instrText>
                          </w:r>
                          <w:r>
                            <w:fldChar w:fldCharType="separate"/>
                          </w:r>
                          <w:r>
                            <w:t>27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3BB44570">
                    <w:pPr>
                      <w:pStyle w:val="10"/>
                    </w:pPr>
                    <w:r>
                      <w:fldChar w:fldCharType="begin"/>
                    </w:r>
                    <w:r>
                      <w:instrText xml:space="preserve"> PAGE  \* MERGEFORMAT </w:instrText>
                    </w:r>
                    <w:r>
                      <w:fldChar w:fldCharType="separate"/>
                    </w:r>
                    <w:r>
                      <w:t>27</w:t>
                    </w:r>
                    <w:r>
                      <w:fldChar w:fldCharType="end"/>
                    </w:r>
                  </w:p>
                </w:txbxContent>
              </v:textbox>
            </v:shape>
          </w:pict>
        </mc:Fallback>
      </mc:AlternateContent>
    </w:r>
  </w:p>
  <w:p w14:paraId="14FED607">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C7FDB">
    <w:pPr>
      <w:pStyle w:val="11"/>
      <w:pBdr>
        <w:bottom w:val="none" w:color="auto" w:sz="0" w:space="1"/>
      </w:pBdr>
      <w:jc w:val="both"/>
      <w:rPr>
        <w:rFonts w:hint="eastAsia" w:ascii="华文新魏" w:eastAsia="华文新魏"/>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0F4DEB"/>
    <w:rsid w:val="133826F0"/>
    <w:rsid w:val="28EB582E"/>
    <w:rsid w:val="450F4DEB"/>
    <w:rsid w:val="63ED4111"/>
    <w:rsid w:val="717D0C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7">
    <w:name w:val="heading 3"/>
    <w:basedOn w:val="1"/>
    <w:next w:val="1"/>
    <w:qFormat/>
    <w:uiPriority w:val="0"/>
    <w:pPr>
      <w:keepNext/>
      <w:keepLines/>
      <w:widowControl w:val="0"/>
      <w:spacing w:before="260" w:after="260" w:line="415" w:lineRule="auto"/>
      <w:outlineLvl w:val="2"/>
    </w:pPr>
    <w:rPr>
      <w:b/>
      <w:bCs/>
      <w:kern w:val="0"/>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after="120"/>
      <w:ind w:firstLine="100" w:firstLineChars="100"/>
    </w:pPr>
    <w:rPr>
      <w:rFonts w:ascii="Times New Roman" w:hAnsi="Times New Roman" w:eastAsia="宋体"/>
      <w:szCs w:val="24"/>
    </w:rPr>
  </w:style>
  <w:style w:type="paragraph" w:styleId="3">
    <w:name w:val="Body Text"/>
    <w:basedOn w:val="1"/>
    <w:next w:val="4"/>
    <w:qFormat/>
    <w:uiPriority w:val="0"/>
    <w:rPr>
      <w:rFonts w:ascii="仿宋_GB2312" w:eastAsia="仿宋_GB2312"/>
      <w:kern w:val="0"/>
      <w:sz w:val="24"/>
      <w:szCs w:val="20"/>
    </w:rPr>
  </w:style>
  <w:style w:type="paragraph" w:customStyle="1" w:styleId="4">
    <w:name w:val="style4"/>
    <w:basedOn w:val="1"/>
    <w:next w:val="5"/>
    <w:qFormat/>
    <w:uiPriority w:val="0"/>
    <w:pPr>
      <w:widowControl/>
      <w:spacing w:before="280" w:after="280"/>
    </w:pPr>
    <w:rPr>
      <w:rFonts w:ascii="宋体"/>
      <w:sz w:val="18"/>
    </w:rPr>
  </w:style>
  <w:style w:type="paragraph" w:customStyle="1" w:styleId="5">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8">
    <w:name w:val="Body Text Indent"/>
    <w:basedOn w:val="1"/>
    <w:next w:val="9"/>
    <w:qFormat/>
    <w:uiPriority w:val="0"/>
    <w:pPr>
      <w:ind w:left="765"/>
    </w:pPr>
    <w:rPr>
      <w:rFonts w:ascii="仿宋_GB2312" w:eastAsia="仿宋_GB2312"/>
      <w:kern w:val="0"/>
      <w:sz w:val="28"/>
      <w:szCs w:val="20"/>
    </w:rPr>
  </w:style>
  <w:style w:type="paragraph" w:styleId="9">
    <w:name w:val="envelope return"/>
    <w:basedOn w:val="1"/>
    <w:qFormat/>
    <w:uiPriority w:val="0"/>
    <w:pPr>
      <w:snapToGrid w:val="0"/>
    </w:pPr>
    <w:rPr>
      <w:rFonts w:ascii="Arial" w:hAnsi="Arial"/>
    </w:rPr>
  </w:style>
  <w:style w:type="paragraph" w:styleId="10">
    <w:name w:val="footer"/>
    <w:basedOn w:val="1"/>
    <w:qFormat/>
    <w:uiPriority w:val="0"/>
    <w:pPr>
      <w:tabs>
        <w:tab w:val="center" w:pos="4153"/>
        <w:tab w:val="right" w:pos="8306"/>
      </w:tabs>
      <w:snapToGrid w:val="0"/>
      <w:jc w:val="left"/>
    </w:pPr>
    <w:rPr>
      <w:kern w:val="0"/>
      <w:sz w:val="18"/>
      <w:szCs w:val="20"/>
    </w:rPr>
  </w:style>
  <w:style w:type="paragraph" w:styleId="11">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2">
    <w:name w:val="Normal (Web)"/>
    <w:basedOn w:val="1"/>
    <w:qFormat/>
    <w:uiPriority w:val="0"/>
    <w:pPr>
      <w:widowControl/>
      <w:spacing w:before="100" w:beforeAutospacing="1" w:after="100" w:afterAutospacing="1"/>
      <w:jc w:val="left"/>
    </w:pPr>
    <w:rPr>
      <w:rFonts w:ascii="宋体"/>
      <w:color w:val="000000"/>
      <w:kern w:val="0"/>
      <w:sz w:val="24"/>
    </w:rPr>
  </w:style>
  <w:style w:type="paragraph" w:styleId="13">
    <w:name w:val="Body Text First Indent 2"/>
    <w:basedOn w:val="8"/>
    <w:qFormat/>
    <w:uiPriority w:val="0"/>
    <w:pPr>
      <w:ind w:firstLine="20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BodyText1I"/>
    <w:basedOn w:val="18"/>
    <w:qFormat/>
    <w:uiPriority w:val="0"/>
    <w:pPr>
      <w:spacing w:after="120" w:line="240" w:lineRule="auto"/>
      <w:ind w:firstLine="100" w:firstLineChars="100"/>
      <w:jc w:val="both"/>
      <w:textAlignment w:val="baseline"/>
    </w:pPr>
    <w:rPr>
      <w:rFonts w:ascii="楷体_GB2312" w:eastAsia="楷体_GB2312"/>
      <w:kern w:val="2"/>
      <w:sz w:val="21"/>
      <w:szCs w:val="20"/>
      <w:lang w:val="en-US" w:eastAsia="zh-CN" w:bidi="ar-SA"/>
    </w:rPr>
  </w:style>
  <w:style w:type="paragraph" w:customStyle="1" w:styleId="18">
    <w:name w:val="BodyText"/>
    <w:basedOn w:val="1"/>
    <w:next w:val="19"/>
    <w:qFormat/>
    <w:uiPriority w:val="0"/>
    <w:pPr>
      <w:jc w:val="both"/>
      <w:textAlignment w:val="baseline"/>
    </w:pPr>
    <w:rPr>
      <w:rFonts w:ascii="楷体_GB2312" w:eastAsia="楷体_GB2312"/>
      <w:kern w:val="2"/>
      <w:sz w:val="28"/>
      <w:szCs w:val="20"/>
      <w:lang w:val="en-US" w:eastAsia="zh-CN" w:bidi="ar-SA"/>
    </w:rPr>
  </w:style>
  <w:style w:type="paragraph" w:customStyle="1" w:styleId="19">
    <w:name w:val="UserStyle_0"/>
    <w:next w:val="1"/>
    <w:qFormat/>
    <w:uiPriority w:val="0"/>
    <w:pPr>
      <w:ind w:left="2550"/>
      <w:jc w:val="both"/>
      <w:textAlignment w:val="baseline"/>
    </w:pPr>
    <w:rPr>
      <w:rFonts w:ascii="Calibri" w:hAnsi="Calibri" w:eastAsia="宋体" w:cs="Times New Roman"/>
      <w:sz w:val="21"/>
      <w:lang w:val="en-US" w:eastAsia="zh-CN" w:bidi="ar-SA"/>
    </w:rPr>
  </w:style>
  <w:style w:type="paragraph" w:customStyle="1" w:styleId="20">
    <w:name w:val="Table Text"/>
    <w:basedOn w:val="1"/>
    <w:qFormat/>
    <w:uiPriority w:val="0"/>
    <w:rPr>
      <w:rFonts w:ascii="仿宋" w:eastAsia="仿宋" w:cs="仿宋"/>
      <w:sz w:val="24"/>
      <w:szCs w:val="24"/>
      <w:lang w:val="en-US" w:eastAsia="en-US" w:bidi="ar-SA"/>
    </w:rPr>
  </w:style>
  <w:style w:type="paragraph" w:customStyle="1" w:styleId="21">
    <w:name w:val="正文缩进2格"/>
    <w:basedOn w:val="1"/>
    <w:qFormat/>
    <w:uiPriority w:val="0"/>
    <w:pPr>
      <w:spacing w:line="600" w:lineRule="exact"/>
      <w:ind w:firstLine="206" w:firstLineChars="206"/>
    </w:pPr>
    <w:rPr>
      <w:rFonts w:ascii="仿宋_GB2312" w:eastAsia="仿宋_GB2312"/>
      <w:kern w:val="0"/>
      <w:sz w:val="31"/>
      <w:szCs w:val="28"/>
    </w:rPr>
  </w:style>
  <w:style w:type="paragraph" w:customStyle="1" w:styleId="22">
    <w:name w:val="正文 A"/>
    <w:next w:val="23"/>
    <w:qFormat/>
    <w:uiPriority w:val="0"/>
    <w:pPr>
      <w:widowControl w:val="0"/>
      <w:jc w:val="both"/>
    </w:pPr>
    <w:rPr>
      <w:rFonts w:ascii="Arial Unicode MS" w:hAnsi="Arial Unicode MS" w:eastAsia="Times New Roman" w:cs="Arial Unicode MS"/>
      <w:color w:val="000000"/>
      <w:kern w:val="2"/>
      <w:sz w:val="21"/>
      <w:szCs w:val="21"/>
      <w:lang w:val="en-US" w:eastAsia="zh-CN" w:bidi="ar-SA"/>
    </w:rPr>
  </w:style>
  <w:style w:type="paragraph" w:customStyle="1" w:styleId="23">
    <w:name w:val="段"/>
    <w:next w:val="1"/>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24">
    <w:name w:val="BodyText1I2"/>
    <w:basedOn w:val="25"/>
    <w:qFormat/>
    <w:uiPriority w:val="99"/>
    <w:pPr>
      <w:ind w:firstLine="420" w:firstLineChars="200"/>
    </w:pPr>
  </w:style>
  <w:style w:type="paragraph" w:customStyle="1" w:styleId="25">
    <w:name w:val="BodyTextIndent"/>
    <w:basedOn w:val="1"/>
    <w:next w:val="26"/>
    <w:qFormat/>
    <w:uiPriority w:val="99"/>
    <w:pPr>
      <w:spacing w:after="120"/>
      <w:ind w:left="420" w:leftChars="200"/>
    </w:pPr>
  </w:style>
  <w:style w:type="paragraph" w:customStyle="1" w:styleId="26">
    <w:name w:val="EnvelopeReturn"/>
    <w:basedOn w:val="1"/>
    <w:qFormat/>
    <w:uiPriority w:val="99"/>
    <w:pPr>
      <w:snapToGrid w:val="0"/>
    </w:pPr>
    <w:rPr>
      <w:rFonts w:ascii="Arial" w:hAnsi="Arial"/>
    </w:rPr>
  </w:style>
  <w:style w:type="paragraph" w:customStyle="1" w:styleId="27">
    <w:name w:val="msonormalcxspmiddle"/>
    <w:basedOn w:val="1"/>
    <w:qFormat/>
    <w:uiPriority w:val="0"/>
    <w:pPr>
      <w:widowControl/>
      <w:spacing w:before="100" w:beforeAutospacing="1" w:after="100" w:afterAutospacing="1"/>
      <w:jc w:val="left"/>
    </w:pPr>
    <w:rPr>
      <w:rFonts w:ascii="宋体" w:cs="宋体"/>
      <w:kern w:val="0"/>
      <w:sz w:val="24"/>
      <w:lang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12736</Words>
  <Characters>14567</Characters>
  <Lines>0</Lines>
  <Paragraphs>0</Paragraphs>
  <TotalTime>8</TotalTime>
  <ScaleCrop>false</ScaleCrop>
  <LinksUpToDate>false</LinksUpToDate>
  <CharactersWithSpaces>15080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2026-01-05T07:52:00Z</dcterms:created>
  <dc:creator>二旬</dc:creator>
  <cp:lastModifiedBy>二旬</cp:lastModifiedBy>
  <cp:lastPrinted>2026-01-05T08:04:00Z</cp:lastPrinted>
  <dcterms:modified xsi:type="dcterms:W3CDTF">2026-01-06T06:50:54Z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193F0D102E2943A8B108BA6E0954B735_11</vt:lpwstr>
  </property>
  <property fmtid="{D5CDD505-2E9C-101B-9397-08002B2CF9AE}" pid="4" name="KSOTemplateDocerSaveRecord">
    <vt:lpwstr>eyJoZGlkIjoiZDdiYTY4ZDMwMjMxN2U3YjhhNjI4M2IwZDkzY2VkNWYiLCJ1c2VySWQiOiI1ODY3MzUwMzEifQ==</vt:lpwstr>
  </property>
</Properties>
</file>