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ascii="楷体_GB2312" w:hAnsi="Times New Roman" w:eastAsia="楷体_GB2312"/>
          <w:b/>
          <w:spacing w:val="20"/>
          <w:sz w:val="44"/>
          <w:szCs w:val="44"/>
        </w:rPr>
      </w:pPr>
    </w:p>
    <w:p>
      <w:pPr>
        <w:spacing w:line="760" w:lineRule="exact"/>
        <w:ind w:firstLine="482" w:firstLineChars="100"/>
        <w:rPr>
          <w:rFonts w:ascii="楷体_GB2312" w:hAnsi="Times New Roman" w:eastAsia="楷体_GB2312"/>
          <w:b/>
          <w:spacing w:val="20"/>
          <w:sz w:val="44"/>
          <w:szCs w:val="44"/>
        </w:rPr>
      </w:pPr>
      <w:r>
        <w:rPr>
          <w:rFonts w:hint="eastAsia" w:ascii="楷体_GB2312" w:hAnsi="Times New Roman" w:eastAsia="楷体_GB2312"/>
          <w:b/>
          <w:spacing w:val="20"/>
          <w:sz w:val="44"/>
          <w:szCs w:val="44"/>
        </w:rPr>
        <w:t>南通市行政中心（含信访局）附属绿地</w:t>
      </w:r>
    </w:p>
    <w:p>
      <w:pPr>
        <w:spacing w:line="760" w:lineRule="exact"/>
        <w:ind w:firstLine="1686" w:firstLineChars="350"/>
        <w:rPr>
          <w:rFonts w:ascii="楷体_GB2312" w:hAnsi="Times New Roman" w:eastAsia="楷体_GB2312"/>
          <w:b/>
          <w:spacing w:val="20"/>
          <w:sz w:val="44"/>
          <w:szCs w:val="44"/>
        </w:rPr>
      </w:pPr>
      <w:r>
        <w:rPr>
          <w:rFonts w:hint="eastAsia" w:ascii="楷体_GB2312" w:hAnsi="Times New Roman" w:eastAsia="楷体_GB2312"/>
          <w:b/>
          <w:spacing w:val="20"/>
          <w:sz w:val="44"/>
          <w:szCs w:val="44"/>
        </w:rPr>
        <w:t xml:space="preserve">      管护项目</w:t>
      </w:r>
    </w:p>
    <w:p>
      <w:pPr>
        <w:spacing w:line="760" w:lineRule="exact"/>
        <w:jc w:val="center"/>
        <w:rPr>
          <w:rFonts w:ascii="宋体" w:hAnsi="宋体"/>
          <w:sz w:val="72"/>
          <w:szCs w:val="72"/>
        </w:rPr>
      </w:pPr>
    </w:p>
    <w:p>
      <w:pPr>
        <w:spacing w:line="760" w:lineRule="exact"/>
        <w:jc w:val="center"/>
        <w:rPr>
          <w:rFonts w:ascii="宋体" w:hAnsi="宋体"/>
          <w:sz w:val="72"/>
          <w:szCs w:val="72"/>
        </w:rPr>
      </w:pPr>
    </w:p>
    <w:p>
      <w:pPr>
        <w:spacing w:line="760" w:lineRule="exact"/>
        <w:jc w:val="center"/>
        <w:rPr>
          <w:rFonts w:ascii="宋体" w:hAnsi="宋体"/>
          <w:sz w:val="72"/>
          <w:szCs w:val="72"/>
        </w:rPr>
      </w:pPr>
    </w:p>
    <w:p>
      <w:pPr>
        <w:spacing w:line="760" w:lineRule="exact"/>
        <w:jc w:val="center"/>
        <w:rPr>
          <w:rFonts w:ascii="楷体_GB2312" w:hAnsi="Times New Roman" w:eastAsia="楷体_GB2312"/>
          <w:b/>
          <w:spacing w:val="20"/>
          <w:sz w:val="44"/>
          <w:szCs w:val="44"/>
        </w:rPr>
      </w:pPr>
      <w:r>
        <w:rPr>
          <w:rFonts w:hint="eastAsia" w:ascii="楷体_GB2312" w:hAnsi="Times New Roman" w:eastAsia="楷体_GB2312"/>
          <w:b/>
          <w:spacing w:val="20"/>
          <w:sz w:val="44"/>
          <w:szCs w:val="44"/>
        </w:rPr>
        <w:t>邀</w:t>
      </w:r>
    </w:p>
    <w:p>
      <w:pPr>
        <w:spacing w:line="760" w:lineRule="exact"/>
        <w:jc w:val="center"/>
        <w:rPr>
          <w:rFonts w:ascii="楷体_GB2312" w:hAnsi="Times New Roman" w:eastAsia="楷体_GB2312"/>
          <w:b/>
          <w:spacing w:val="20"/>
          <w:sz w:val="44"/>
          <w:szCs w:val="44"/>
        </w:rPr>
      </w:pPr>
      <w:r>
        <w:rPr>
          <w:rFonts w:hint="eastAsia" w:ascii="楷体_GB2312" w:hAnsi="Times New Roman" w:eastAsia="楷体_GB2312"/>
          <w:b/>
          <w:spacing w:val="20"/>
          <w:sz w:val="44"/>
          <w:szCs w:val="44"/>
        </w:rPr>
        <w:t>请</w:t>
      </w:r>
    </w:p>
    <w:p>
      <w:pPr>
        <w:spacing w:line="760" w:lineRule="exact"/>
        <w:jc w:val="center"/>
        <w:rPr>
          <w:rFonts w:ascii="楷体_GB2312" w:hAnsi="Times New Roman" w:eastAsia="楷体_GB2312"/>
          <w:b/>
          <w:spacing w:val="20"/>
          <w:sz w:val="44"/>
          <w:szCs w:val="44"/>
        </w:rPr>
      </w:pPr>
      <w:r>
        <w:rPr>
          <w:rFonts w:hint="eastAsia" w:ascii="楷体_GB2312" w:hAnsi="Times New Roman" w:eastAsia="楷体_GB2312"/>
          <w:b/>
          <w:spacing w:val="20"/>
          <w:sz w:val="44"/>
          <w:szCs w:val="44"/>
        </w:rPr>
        <w:t>招</w:t>
      </w:r>
    </w:p>
    <w:p>
      <w:pPr>
        <w:spacing w:line="760" w:lineRule="exact"/>
        <w:jc w:val="center"/>
        <w:rPr>
          <w:rFonts w:ascii="楷体_GB2312" w:hAnsi="Times New Roman" w:eastAsia="楷体_GB2312"/>
          <w:b/>
          <w:spacing w:val="20"/>
          <w:sz w:val="44"/>
          <w:szCs w:val="44"/>
        </w:rPr>
      </w:pPr>
      <w:r>
        <w:rPr>
          <w:rFonts w:hint="eastAsia" w:ascii="楷体_GB2312" w:hAnsi="Times New Roman" w:eastAsia="楷体_GB2312"/>
          <w:b/>
          <w:spacing w:val="20"/>
          <w:sz w:val="44"/>
          <w:szCs w:val="44"/>
        </w:rPr>
        <w:t>标</w:t>
      </w:r>
    </w:p>
    <w:p>
      <w:pPr>
        <w:spacing w:line="760" w:lineRule="exact"/>
        <w:jc w:val="center"/>
        <w:rPr>
          <w:rFonts w:ascii="楷体_GB2312" w:hAnsi="Times New Roman" w:eastAsia="楷体_GB2312"/>
          <w:b/>
          <w:spacing w:val="20"/>
          <w:sz w:val="44"/>
          <w:szCs w:val="44"/>
        </w:rPr>
      </w:pPr>
      <w:r>
        <w:rPr>
          <w:rFonts w:hint="eastAsia" w:ascii="楷体_GB2312" w:hAnsi="Times New Roman" w:eastAsia="楷体_GB2312"/>
          <w:b/>
          <w:spacing w:val="20"/>
          <w:sz w:val="44"/>
          <w:szCs w:val="44"/>
        </w:rPr>
        <w:t>文</w:t>
      </w:r>
    </w:p>
    <w:p>
      <w:pPr>
        <w:spacing w:line="760" w:lineRule="exact"/>
        <w:jc w:val="center"/>
        <w:rPr>
          <w:rFonts w:ascii="楷体_GB2312" w:hAnsi="Times New Roman" w:eastAsia="楷体_GB2312"/>
          <w:b/>
          <w:spacing w:val="20"/>
          <w:sz w:val="44"/>
          <w:szCs w:val="44"/>
        </w:rPr>
      </w:pPr>
      <w:r>
        <w:rPr>
          <w:rFonts w:hint="eastAsia" w:ascii="楷体_GB2312" w:hAnsi="Times New Roman" w:eastAsia="楷体_GB2312"/>
          <w:b/>
          <w:spacing w:val="20"/>
          <w:sz w:val="44"/>
          <w:szCs w:val="44"/>
        </w:rPr>
        <w:t>件</w:t>
      </w:r>
    </w:p>
    <w:p>
      <w:pPr>
        <w:spacing w:line="360" w:lineRule="auto"/>
        <w:jc w:val="center"/>
        <w:rPr>
          <w:rFonts w:ascii="宋体" w:hAnsi="宋体"/>
          <w:sz w:val="28"/>
          <w:szCs w:val="28"/>
        </w:rPr>
      </w:pPr>
    </w:p>
    <w:p>
      <w:pPr>
        <w:spacing w:line="360" w:lineRule="auto"/>
        <w:jc w:val="center"/>
        <w:rPr>
          <w:rFonts w:ascii="宋体" w:hAnsi="宋体"/>
          <w:sz w:val="28"/>
          <w:szCs w:val="28"/>
        </w:rPr>
      </w:pPr>
    </w:p>
    <w:p>
      <w:pPr>
        <w:spacing w:line="360" w:lineRule="auto"/>
        <w:jc w:val="center"/>
        <w:rPr>
          <w:rFonts w:ascii="宋体" w:hAnsi="宋体"/>
          <w:sz w:val="28"/>
          <w:szCs w:val="28"/>
        </w:rPr>
      </w:pPr>
    </w:p>
    <w:p>
      <w:pPr>
        <w:pStyle w:val="2"/>
        <w:ind w:left="0" w:leftChars="0" w:right="63"/>
        <w:jc w:val="both"/>
        <w:rPr>
          <w:rFonts w:ascii="宋体" w:hAnsi="宋体"/>
          <w:sz w:val="28"/>
          <w:szCs w:val="28"/>
        </w:rPr>
      </w:pPr>
    </w:p>
    <w:p/>
    <w:p>
      <w:pPr>
        <w:spacing w:line="360" w:lineRule="auto"/>
        <w:jc w:val="center"/>
        <w:rPr>
          <w:rFonts w:ascii="宋体" w:hAnsi="宋体"/>
          <w:sz w:val="28"/>
          <w:szCs w:val="28"/>
        </w:rPr>
      </w:pPr>
    </w:p>
    <w:p>
      <w:pPr>
        <w:spacing w:line="360" w:lineRule="auto"/>
        <w:rPr>
          <w:rFonts w:ascii="宋体" w:hAnsi="宋体"/>
          <w:sz w:val="28"/>
          <w:szCs w:val="28"/>
        </w:rPr>
      </w:pPr>
    </w:p>
    <w:p>
      <w:pPr>
        <w:tabs>
          <w:tab w:val="left" w:pos="2410"/>
        </w:tabs>
        <w:spacing w:line="360" w:lineRule="auto"/>
        <w:ind w:firstLine="640" w:firstLineChars="200"/>
        <w:rPr>
          <w:rFonts w:ascii="宋体" w:hAnsi="宋体" w:cs="宋体"/>
          <w:color w:val="000000"/>
          <w:sz w:val="32"/>
          <w:szCs w:val="24"/>
          <w:u w:val="single"/>
        </w:rPr>
      </w:pPr>
      <w:r>
        <w:rPr>
          <w:rFonts w:hint="eastAsia" w:ascii="宋体" w:hAnsi="宋体" w:cs="宋体"/>
          <w:color w:val="000000"/>
          <w:sz w:val="32"/>
          <w:szCs w:val="24"/>
        </w:rPr>
        <w:t>委</w:t>
      </w:r>
      <w:r>
        <w:rPr>
          <w:rFonts w:hint="eastAsia" w:ascii="宋体" w:hAnsi="宋体" w:cs="宋体"/>
          <w:sz w:val="32"/>
          <w:szCs w:val="24"/>
        </w:rPr>
        <w:t xml:space="preserve">  </w:t>
      </w:r>
      <w:r>
        <w:rPr>
          <w:rFonts w:hint="eastAsia" w:ascii="宋体" w:hAnsi="宋体" w:cs="宋体"/>
          <w:color w:val="000000"/>
          <w:sz w:val="32"/>
          <w:szCs w:val="24"/>
        </w:rPr>
        <w:t>托</w:t>
      </w:r>
      <w:r>
        <w:rPr>
          <w:rFonts w:hint="eastAsia" w:ascii="宋体" w:hAnsi="宋体" w:cs="宋体"/>
          <w:sz w:val="32"/>
          <w:szCs w:val="24"/>
        </w:rPr>
        <w:t xml:space="preserve"> </w:t>
      </w:r>
      <w:r>
        <w:rPr>
          <w:rFonts w:hint="eastAsia" w:ascii="宋体" w:hAnsi="宋体" w:cs="宋体"/>
          <w:color w:val="000000"/>
          <w:sz w:val="32"/>
          <w:szCs w:val="24"/>
        </w:rPr>
        <w:t>单</w:t>
      </w:r>
      <w:r>
        <w:rPr>
          <w:rFonts w:hint="eastAsia" w:ascii="宋体" w:hAnsi="宋体" w:cs="宋体"/>
          <w:sz w:val="32"/>
          <w:szCs w:val="24"/>
        </w:rPr>
        <w:t xml:space="preserve"> </w:t>
      </w:r>
      <w:r>
        <w:rPr>
          <w:rFonts w:hint="eastAsia" w:ascii="宋体" w:hAnsi="宋体" w:cs="宋体"/>
          <w:color w:val="000000"/>
          <w:sz w:val="32"/>
          <w:szCs w:val="24"/>
        </w:rPr>
        <w:t>位：</w:t>
      </w:r>
      <w:r>
        <w:rPr>
          <w:rFonts w:hint="eastAsia" w:ascii="宋体" w:hAnsi="宋体" w:cs="宋体"/>
          <w:sz w:val="32"/>
          <w:szCs w:val="24"/>
          <w:u w:val="single"/>
        </w:rPr>
        <w:t xml:space="preserve">    </w:t>
      </w:r>
      <w:r>
        <w:rPr>
          <w:rFonts w:hint="eastAsia" w:ascii="宋体" w:hAnsi="宋体" w:cs="宋体"/>
          <w:color w:val="000000"/>
          <w:sz w:val="32"/>
          <w:szCs w:val="24"/>
          <w:u w:val="single"/>
        </w:rPr>
        <w:t>南通市机关事务管理局</w:t>
      </w:r>
      <w:r>
        <w:rPr>
          <w:rFonts w:hint="eastAsia" w:ascii="宋体" w:hAnsi="宋体" w:cs="宋体"/>
          <w:sz w:val="32"/>
          <w:szCs w:val="24"/>
          <w:u w:val="single"/>
        </w:rPr>
        <w:t xml:space="preserve">    </w:t>
      </w:r>
    </w:p>
    <w:p>
      <w:pPr>
        <w:tabs>
          <w:tab w:val="left" w:pos="2410"/>
        </w:tabs>
        <w:spacing w:line="360" w:lineRule="auto"/>
        <w:ind w:firstLine="640" w:firstLineChars="200"/>
        <w:rPr>
          <w:rFonts w:ascii="宋体" w:hAnsi="宋体" w:cs="宋体"/>
          <w:sz w:val="32"/>
          <w:szCs w:val="24"/>
          <w:u w:val="single"/>
        </w:rPr>
      </w:pPr>
      <w:r>
        <w:rPr>
          <w:rFonts w:hint="eastAsia" w:ascii="宋体" w:hAnsi="宋体" w:cs="宋体"/>
          <w:sz w:val="32"/>
          <w:szCs w:val="24"/>
        </w:rPr>
        <w:t>招  标 单 位：</w:t>
      </w:r>
      <w:r>
        <w:rPr>
          <w:rFonts w:hint="eastAsia" w:ascii="宋体" w:hAnsi="宋体" w:cs="宋体"/>
          <w:sz w:val="32"/>
          <w:szCs w:val="24"/>
          <w:u w:val="single"/>
        </w:rPr>
        <w:t xml:space="preserve">    南通市园林绿化管理处    </w:t>
      </w:r>
    </w:p>
    <w:p>
      <w:pPr>
        <w:tabs>
          <w:tab w:val="left" w:pos="2410"/>
        </w:tabs>
        <w:spacing w:line="360" w:lineRule="auto"/>
        <w:ind w:firstLine="640" w:firstLineChars="200"/>
        <w:rPr>
          <w:rFonts w:ascii="宋体" w:hAnsi="宋体" w:cs="宋体"/>
          <w:sz w:val="32"/>
          <w:szCs w:val="24"/>
          <w:u w:val="single"/>
        </w:rPr>
      </w:pPr>
      <w:r>
        <w:rPr>
          <w:rFonts w:hint="eastAsia" w:ascii="宋体" w:hAnsi="宋体" w:cs="宋体"/>
          <w:sz w:val="32"/>
          <w:szCs w:val="24"/>
        </w:rPr>
        <w:t>日        期：</w:t>
      </w:r>
      <w:r>
        <w:rPr>
          <w:rFonts w:hint="eastAsia" w:ascii="宋体" w:hAnsi="宋体" w:cs="宋体"/>
          <w:sz w:val="32"/>
          <w:szCs w:val="24"/>
          <w:u w:val="single"/>
        </w:rPr>
        <w:t xml:space="preserve">       2025年9月2</w:t>
      </w:r>
      <w:r>
        <w:rPr>
          <w:rFonts w:hint="eastAsia" w:ascii="宋体" w:hAnsi="宋体" w:cs="宋体"/>
          <w:sz w:val="32"/>
          <w:szCs w:val="24"/>
          <w:u w:val="single"/>
          <w:lang w:val="en-US" w:eastAsia="zh-CN"/>
        </w:rPr>
        <w:t>4</w:t>
      </w:r>
      <w:r>
        <w:rPr>
          <w:rFonts w:hint="eastAsia" w:ascii="宋体" w:hAnsi="宋体" w:cs="宋体"/>
          <w:sz w:val="32"/>
          <w:szCs w:val="24"/>
          <w:u w:val="single"/>
        </w:rPr>
        <w:t xml:space="preserve">日     </w:t>
      </w:r>
    </w:p>
    <w:p>
      <w:pPr>
        <w:spacing w:line="360" w:lineRule="auto"/>
        <w:ind w:firstLine="848" w:firstLineChars="303"/>
        <w:jc w:val="left"/>
        <w:rPr>
          <w:rFonts w:ascii="宋体" w:hAnsi="宋体"/>
          <w:sz w:val="28"/>
          <w:szCs w:val="28"/>
          <w:u w:val="single"/>
        </w:rPr>
      </w:pPr>
    </w:p>
    <w:p>
      <w:pPr>
        <w:ind w:firstLine="2720" w:firstLineChars="850"/>
        <w:rPr>
          <w:rFonts w:ascii="宋体" w:hAnsi="宋体"/>
          <w:sz w:val="32"/>
          <w:szCs w:val="24"/>
        </w:rPr>
      </w:pPr>
      <w:r>
        <w:rPr>
          <w:rFonts w:hint="eastAsia" w:ascii="宋体" w:hAnsi="宋体"/>
          <w:sz w:val="32"/>
          <w:szCs w:val="24"/>
        </w:rPr>
        <w:t>工程招标文件备案表</w:t>
      </w:r>
    </w:p>
    <w:p>
      <w:pPr>
        <w:snapToGrid w:val="0"/>
        <w:spacing w:line="360" w:lineRule="auto"/>
        <w:rPr>
          <w:rFonts w:ascii="宋体" w:hAnsi="宋体"/>
          <w:sz w:val="25"/>
          <w:szCs w:val="24"/>
        </w:rPr>
      </w:pPr>
    </w:p>
    <w:tbl>
      <w:tblPr>
        <w:tblStyle w:val="5"/>
        <w:tblW w:w="8983" w:type="dxa"/>
        <w:tblInd w:w="0" w:type="dxa"/>
        <w:tblLayout w:type="fixed"/>
        <w:tblCellMar>
          <w:top w:w="0" w:type="dxa"/>
          <w:left w:w="0" w:type="dxa"/>
          <w:bottom w:w="0" w:type="dxa"/>
          <w:right w:w="0" w:type="dxa"/>
        </w:tblCellMar>
      </w:tblPr>
      <w:tblGrid>
        <w:gridCol w:w="8983"/>
      </w:tblGrid>
      <w:tr>
        <w:tblPrEx>
          <w:tblLayout w:type="fixed"/>
          <w:tblCellMar>
            <w:top w:w="0" w:type="dxa"/>
            <w:left w:w="0" w:type="dxa"/>
            <w:bottom w:w="0" w:type="dxa"/>
            <w:right w:w="0" w:type="dxa"/>
          </w:tblCellMar>
        </w:tblPrEx>
        <w:trPr>
          <w:trHeight w:val="5112" w:hRule="atLeast"/>
          <w:tblHeader/>
        </w:trPr>
        <w:tc>
          <w:tcPr>
            <w:tcW w:w="8983" w:type="dxa"/>
            <w:tcBorders>
              <w:top w:val="single" w:color="000000" w:sz="4" w:space="0"/>
              <w:left w:val="single" w:color="000000" w:sz="2" w:space="0"/>
              <w:bottom w:val="single" w:color="000000" w:sz="2" w:space="0"/>
              <w:right w:val="single" w:color="000000" w:sz="2" w:space="0"/>
            </w:tcBorders>
            <w:tcMar>
              <w:top w:w="0" w:type="dxa"/>
              <w:left w:w="108" w:type="dxa"/>
              <w:bottom w:w="0" w:type="dxa"/>
              <w:right w:w="108" w:type="dxa"/>
            </w:tcMar>
          </w:tcPr>
          <w:p>
            <w:pPr>
              <w:snapToGrid w:val="0"/>
              <w:spacing w:line="360" w:lineRule="auto"/>
              <w:rPr>
                <w:rFonts w:ascii="宋体" w:hAnsi="宋体"/>
                <w:sz w:val="24"/>
                <w:szCs w:val="24"/>
              </w:rPr>
            </w:pPr>
          </w:p>
          <w:p>
            <w:pPr>
              <w:snapToGrid w:val="0"/>
              <w:spacing w:line="360" w:lineRule="auto"/>
              <w:rPr>
                <w:rFonts w:ascii="宋体" w:hAnsi="宋体"/>
                <w:sz w:val="24"/>
                <w:szCs w:val="24"/>
              </w:rPr>
            </w:pPr>
          </w:p>
          <w:p>
            <w:pPr>
              <w:snapToGrid w:val="0"/>
              <w:spacing w:line="360" w:lineRule="auto"/>
              <w:ind w:firstLine="2880" w:firstLineChars="1200"/>
              <w:rPr>
                <w:rFonts w:ascii="宋体" w:hAnsi="宋体"/>
                <w:sz w:val="24"/>
                <w:szCs w:val="24"/>
              </w:rPr>
            </w:pPr>
            <w:r>
              <w:rPr>
                <w:rFonts w:hint="eastAsia" w:ascii="宋体" w:hAnsi="宋体"/>
                <w:sz w:val="24"/>
                <w:szCs w:val="24"/>
              </w:rPr>
              <w:t xml:space="preserve">编制人(组长签字)：   </w:t>
            </w:r>
          </w:p>
          <w:p>
            <w:pPr>
              <w:snapToGrid w:val="0"/>
              <w:spacing w:line="360" w:lineRule="auto"/>
              <w:ind w:firstLine="840"/>
              <w:rPr>
                <w:rFonts w:ascii="宋体" w:hAnsi="宋体"/>
                <w:sz w:val="24"/>
                <w:szCs w:val="24"/>
              </w:rPr>
            </w:pPr>
          </w:p>
          <w:p>
            <w:pPr>
              <w:pStyle w:val="2"/>
              <w:ind w:left="63" w:right="63"/>
            </w:pPr>
          </w:p>
          <w:p/>
          <w:p>
            <w:pPr>
              <w:pStyle w:val="2"/>
              <w:ind w:left="63" w:right="63"/>
            </w:pPr>
          </w:p>
          <w:p/>
          <w:p>
            <w:pPr>
              <w:pStyle w:val="2"/>
              <w:ind w:left="63" w:right="63"/>
            </w:pPr>
          </w:p>
          <w:p/>
          <w:p>
            <w:pPr>
              <w:pStyle w:val="2"/>
              <w:ind w:left="63" w:right="63"/>
            </w:pPr>
          </w:p>
          <w:p>
            <w:pPr>
              <w:snapToGrid w:val="0"/>
              <w:spacing w:line="360" w:lineRule="auto"/>
              <w:ind w:right="1440"/>
              <w:jc w:val="right"/>
              <w:rPr>
                <w:rFonts w:ascii="宋体" w:hAnsi="宋体"/>
                <w:sz w:val="24"/>
                <w:szCs w:val="24"/>
              </w:rPr>
            </w:pPr>
            <w:r>
              <w:rPr>
                <w:rFonts w:hint="eastAsia" w:ascii="宋体" w:hAnsi="宋体"/>
                <w:sz w:val="24"/>
                <w:szCs w:val="24"/>
              </w:rPr>
              <w:t>日  期： 2025年9月2</w:t>
            </w:r>
            <w:r>
              <w:rPr>
                <w:rFonts w:hint="eastAsia" w:ascii="宋体" w:hAnsi="宋体"/>
                <w:sz w:val="24"/>
                <w:szCs w:val="24"/>
                <w:lang w:val="en-US" w:eastAsia="zh-CN"/>
              </w:rPr>
              <w:t>4</w:t>
            </w:r>
            <w:r>
              <w:rPr>
                <w:rFonts w:hint="eastAsia" w:ascii="宋体" w:hAnsi="宋体"/>
                <w:sz w:val="24"/>
                <w:szCs w:val="24"/>
              </w:rPr>
              <w:t>日</w:t>
            </w:r>
          </w:p>
        </w:tc>
      </w:tr>
      <w:tr>
        <w:tblPrEx>
          <w:tblLayout w:type="fixed"/>
          <w:tblCellMar>
            <w:top w:w="0" w:type="dxa"/>
            <w:left w:w="0" w:type="dxa"/>
            <w:bottom w:w="0" w:type="dxa"/>
            <w:right w:w="0" w:type="dxa"/>
          </w:tblCellMar>
        </w:tblPrEx>
        <w:trPr>
          <w:trHeight w:val="7060" w:hRule="atLeast"/>
        </w:trPr>
        <w:tc>
          <w:tcPr>
            <w:tcW w:w="8983" w:type="dxa"/>
            <w:tcBorders>
              <w:top w:val="single" w:color="000000" w:sz="2" w:space="0"/>
              <w:left w:val="single" w:color="000000" w:sz="2" w:space="0"/>
              <w:bottom w:val="single" w:color="000000" w:sz="6" w:space="0"/>
              <w:right w:val="single" w:color="000000" w:sz="2" w:space="0"/>
            </w:tcBorders>
            <w:tcMar>
              <w:top w:w="0" w:type="dxa"/>
              <w:left w:w="108" w:type="dxa"/>
              <w:bottom w:w="0" w:type="dxa"/>
              <w:right w:w="108" w:type="dxa"/>
            </w:tcMar>
          </w:tcPr>
          <w:p>
            <w:pPr>
              <w:snapToGrid w:val="0"/>
              <w:spacing w:line="360" w:lineRule="auto"/>
              <w:rPr>
                <w:rFonts w:ascii="宋体" w:hAnsi="宋体"/>
                <w:sz w:val="24"/>
                <w:szCs w:val="24"/>
              </w:rPr>
            </w:pPr>
          </w:p>
          <w:p>
            <w:pPr>
              <w:snapToGrid w:val="0"/>
              <w:spacing w:line="360" w:lineRule="auto"/>
              <w:ind w:firstLine="720"/>
              <w:rPr>
                <w:rFonts w:ascii="宋体" w:hAnsi="宋体"/>
                <w:sz w:val="24"/>
                <w:szCs w:val="24"/>
              </w:rPr>
            </w:pPr>
          </w:p>
          <w:p>
            <w:pPr>
              <w:snapToGrid w:val="0"/>
              <w:spacing w:line="360" w:lineRule="auto"/>
              <w:ind w:firstLine="720"/>
              <w:rPr>
                <w:rFonts w:ascii="宋体" w:hAnsi="宋体"/>
                <w:sz w:val="24"/>
                <w:szCs w:val="24"/>
              </w:rPr>
            </w:pPr>
          </w:p>
          <w:p>
            <w:pPr>
              <w:snapToGrid w:val="0"/>
              <w:spacing w:line="360" w:lineRule="auto"/>
              <w:ind w:firstLine="720"/>
              <w:rPr>
                <w:rFonts w:ascii="宋体" w:hAnsi="宋体"/>
                <w:sz w:val="24"/>
                <w:szCs w:val="24"/>
              </w:rPr>
            </w:pPr>
            <w:r>
              <w:rPr>
                <w:rFonts w:hint="eastAsia" w:ascii="宋体" w:hAnsi="宋体"/>
                <w:sz w:val="24"/>
                <w:szCs w:val="24"/>
              </w:rPr>
              <w:t>招标人(盖章)：                 法定代表人(签字或盖章)：</w:t>
            </w:r>
          </w:p>
          <w:p>
            <w:pPr>
              <w:snapToGrid w:val="0"/>
              <w:spacing w:line="360" w:lineRule="auto"/>
              <w:rPr>
                <w:rFonts w:ascii="宋体" w:hAnsi="宋体"/>
                <w:sz w:val="24"/>
                <w:szCs w:val="24"/>
              </w:rPr>
            </w:pPr>
          </w:p>
          <w:p>
            <w:pPr>
              <w:snapToGrid w:val="0"/>
              <w:spacing w:line="360" w:lineRule="auto"/>
              <w:rPr>
                <w:rFonts w:ascii="宋体" w:hAnsi="宋体"/>
                <w:sz w:val="24"/>
                <w:szCs w:val="24"/>
              </w:rPr>
            </w:pPr>
          </w:p>
          <w:p>
            <w:pPr>
              <w:snapToGrid w:val="0"/>
              <w:spacing w:line="360" w:lineRule="auto"/>
              <w:rPr>
                <w:rFonts w:ascii="宋体" w:hAnsi="宋体"/>
                <w:sz w:val="24"/>
                <w:szCs w:val="24"/>
              </w:rPr>
            </w:pPr>
          </w:p>
          <w:p>
            <w:pPr>
              <w:snapToGrid w:val="0"/>
              <w:spacing w:line="360" w:lineRule="auto"/>
              <w:ind w:right="1039" w:firstLine="720" w:firstLineChars="300"/>
              <w:rPr>
                <w:rFonts w:ascii="宋体" w:hAnsi="宋体"/>
                <w:sz w:val="24"/>
                <w:szCs w:val="24"/>
              </w:rPr>
            </w:pPr>
            <w:r>
              <w:rPr>
                <w:rFonts w:hint="eastAsia" w:ascii="宋体" w:hAnsi="宋体"/>
                <w:sz w:val="24"/>
                <w:szCs w:val="24"/>
              </w:rPr>
              <w:t>：</w:t>
            </w:r>
          </w:p>
          <w:p>
            <w:pPr>
              <w:snapToGrid w:val="0"/>
              <w:spacing w:line="360" w:lineRule="auto"/>
              <w:ind w:firstLine="960"/>
              <w:jc w:val="center"/>
              <w:rPr>
                <w:rFonts w:ascii="宋体" w:hAnsi="宋体"/>
                <w:sz w:val="24"/>
                <w:szCs w:val="24"/>
              </w:rPr>
            </w:pPr>
          </w:p>
          <w:p>
            <w:pPr>
              <w:snapToGrid w:val="0"/>
              <w:spacing w:line="360" w:lineRule="auto"/>
              <w:rPr>
                <w:rFonts w:ascii="宋体" w:hAnsi="宋体"/>
                <w:sz w:val="24"/>
                <w:szCs w:val="24"/>
              </w:rPr>
            </w:pPr>
          </w:p>
          <w:p>
            <w:pPr>
              <w:pStyle w:val="2"/>
              <w:ind w:left="63" w:right="63"/>
            </w:pPr>
          </w:p>
          <w:p/>
          <w:p>
            <w:pPr>
              <w:pStyle w:val="2"/>
              <w:ind w:left="63" w:right="63"/>
            </w:pPr>
          </w:p>
          <w:p>
            <w:pPr>
              <w:pStyle w:val="2"/>
              <w:ind w:left="0" w:leftChars="0" w:right="63"/>
              <w:jc w:val="both"/>
            </w:pPr>
          </w:p>
          <w:p/>
          <w:p>
            <w:pPr>
              <w:snapToGrid w:val="0"/>
              <w:spacing w:line="360" w:lineRule="auto"/>
              <w:ind w:right="960"/>
              <w:rPr>
                <w:rFonts w:ascii="宋体" w:hAnsi="宋体"/>
                <w:sz w:val="24"/>
                <w:szCs w:val="24"/>
              </w:rPr>
            </w:pPr>
            <w:r>
              <w:rPr>
                <w:rFonts w:hint="eastAsia" w:ascii="宋体" w:hAnsi="宋体"/>
                <w:sz w:val="24"/>
                <w:szCs w:val="24"/>
              </w:rPr>
              <w:t xml:space="preserve">                                    日  期：2025年9月2</w:t>
            </w:r>
            <w:r>
              <w:rPr>
                <w:rFonts w:hint="eastAsia" w:ascii="宋体" w:hAnsi="宋体"/>
                <w:sz w:val="24"/>
                <w:szCs w:val="24"/>
                <w:lang w:val="en-US" w:eastAsia="zh-CN"/>
              </w:rPr>
              <w:t>4</w:t>
            </w:r>
            <w:r>
              <w:rPr>
                <w:rFonts w:hint="eastAsia" w:ascii="宋体" w:hAnsi="宋体"/>
                <w:sz w:val="24"/>
                <w:szCs w:val="24"/>
              </w:rPr>
              <w:t>日</w:t>
            </w:r>
          </w:p>
        </w:tc>
      </w:tr>
    </w:tbl>
    <w:p>
      <w:pPr>
        <w:rPr>
          <w:rFonts w:ascii="宋体" w:hAnsi="宋体"/>
          <w:szCs w:val="24"/>
        </w:rPr>
        <w:sectPr>
          <w:headerReference r:id="rId5" w:type="first"/>
          <w:footerReference r:id="rId8" w:type="first"/>
          <w:headerReference r:id="rId3" w:type="default"/>
          <w:footerReference r:id="rId6" w:type="default"/>
          <w:headerReference r:id="rId4" w:type="even"/>
          <w:footerReference r:id="rId7" w:type="even"/>
          <w:pgSz w:w="11910" w:h="16850"/>
          <w:pgMar w:top="1400" w:right="1320" w:bottom="1260" w:left="1460" w:header="0" w:footer="1071" w:gutter="0"/>
          <w:cols w:space="720" w:num="1"/>
          <w:titlePg/>
          <w:docGrid w:linePitch="286" w:charSpace="0"/>
        </w:sectPr>
      </w:pPr>
      <w:bookmarkStart w:id="0" w:name="_Toc389065120"/>
    </w:p>
    <w:p>
      <w:pPr>
        <w:keepNext/>
        <w:keepLines/>
        <w:spacing w:before="340" w:after="330" w:line="576" w:lineRule="auto"/>
        <w:jc w:val="center"/>
        <w:rPr>
          <w:rFonts w:eastAsia="黑体"/>
          <w:b/>
          <w:bCs/>
          <w:kern w:val="44"/>
          <w:sz w:val="44"/>
          <w:szCs w:val="44"/>
        </w:rPr>
      </w:pPr>
      <w:r>
        <w:rPr>
          <w:rFonts w:eastAsia="黑体"/>
          <w:b/>
          <w:bCs/>
          <w:kern w:val="44"/>
          <w:sz w:val="44"/>
          <w:szCs w:val="44"/>
          <w:lang w:val="zh-CN"/>
        </w:rPr>
        <w:t>目</w:t>
      </w:r>
      <w:r>
        <w:rPr>
          <w:rFonts w:hint="eastAsia" w:eastAsia="黑体"/>
          <w:b/>
          <w:bCs/>
          <w:kern w:val="44"/>
          <w:sz w:val="44"/>
          <w:szCs w:val="44"/>
          <w:lang w:val="zh-CN"/>
        </w:rPr>
        <w:t xml:space="preserve">  </w:t>
      </w:r>
      <w:r>
        <w:rPr>
          <w:rFonts w:eastAsia="黑体"/>
          <w:b/>
          <w:bCs/>
          <w:kern w:val="44"/>
          <w:sz w:val="44"/>
          <w:szCs w:val="44"/>
          <w:lang w:val="zh-CN"/>
        </w:rPr>
        <w:t>录</w:t>
      </w:r>
    </w:p>
    <w:p>
      <w:pPr>
        <w:tabs>
          <w:tab w:val="right" w:leader="dot" w:pos="8392"/>
        </w:tabs>
        <w:spacing w:before="60" w:line="480" w:lineRule="auto"/>
        <w:rPr>
          <w:rFonts w:ascii="宋体" w:hAnsi="宋体"/>
          <w:sz w:val="32"/>
          <w:szCs w:val="32"/>
        </w:rPr>
      </w:pPr>
      <w:r>
        <w:rPr>
          <w:rFonts w:hint="eastAsia" w:ascii="宋体" w:hAnsi="宋体"/>
          <w:b/>
          <w:bCs/>
          <w:sz w:val="32"/>
          <w:szCs w:val="32"/>
        </w:rPr>
        <w:t>第一章 招标公告</w:t>
      </w:r>
      <w:r>
        <w:rPr>
          <w:rFonts w:ascii="宋体" w:hAnsi="宋体"/>
          <w:b/>
          <w:bCs/>
          <w:sz w:val="32"/>
          <w:szCs w:val="32"/>
          <w:lang w:val="zh-CN"/>
        </w:rPr>
        <w:tab/>
      </w:r>
      <w:r>
        <w:rPr>
          <w:rFonts w:hint="eastAsia" w:ascii="宋体" w:hAnsi="宋体"/>
          <w:b/>
          <w:bCs/>
          <w:sz w:val="32"/>
          <w:szCs w:val="32"/>
          <w:lang w:val="zh-CN"/>
        </w:rPr>
        <w:t>01-05</w:t>
      </w:r>
    </w:p>
    <w:p>
      <w:pPr>
        <w:tabs>
          <w:tab w:val="right" w:leader="dot" w:pos="8392"/>
        </w:tabs>
        <w:spacing w:before="60" w:line="480" w:lineRule="auto"/>
        <w:rPr>
          <w:rFonts w:ascii="宋体" w:hAnsi="宋体"/>
          <w:sz w:val="32"/>
          <w:szCs w:val="32"/>
        </w:rPr>
      </w:pPr>
      <w:r>
        <w:rPr>
          <w:rFonts w:hint="eastAsia" w:ascii="宋体" w:hAnsi="宋体"/>
          <w:b/>
          <w:bCs/>
          <w:sz w:val="32"/>
          <w:szCs w:val="32"/>
        </w:rPr>
        <w:t>第二章 投标人须知</w:t>
      </w:r>
      <w:r>
        <w:rPr>
          <w:rFonts w:ascii="宋体" w:hAnsi="宋体"/>
          <w:b/>
          <w:bCs/>
          <w:sz w:val="32"/>
          <w:szCs w:val="32"/>
          <w:lang w:val="zh-CN"/>
        </w:rPr>
        <w:tab/>
      </w:r>
      <w:r>
        <w:rPr>
          <w:rFonts w:hint="eastAsia" w:ascii="宋体" w:hAnsi="宋体"/>
          <w:b/>
          <w:bCs/>
          <w:sz w:val="32"/>
          <w:szCs w:val="32"/>
          <w:lang w:val="zh-CN"/>
        </w:rPr>
        <w:t>06-19</w:t>
      </w:r>
    </w:p>
    <w:p>
      <w:pPr>
        <w:tabs>
          <w:tab w:val="right" w:leader="dot" w:pos="8392"/>
        </w:tabs>
        <w:spacing w:before="60" w:line="480" w:lineRule="auto"/>
        <w:rPr>
          <w:rFonts w:ascii="宋体" w:hAnsi="宋体"/>
          <w:sz w:val="32"/>
          <w:szCs w:val="32"/>
        </w:rPr>
      </w:pPr>
      <w:r>
        <w:rPr>
          <w:rFonts w:hint="eastAsia" w:ascii="宋体" w:hAnsi="宋体"/>
          <w:b/>
          <w:bCs/>
          <w:sz w:val="32"/>
          <w:szCs w:val="32"/>
        </w:rPr>
        <w:t>第三章 评标办法（综合评估法）</w:t>
      </w:r>
      <w:r>
        <w:rPr>
          <w:rFonts w:ascii="宋体" w:hAnsi="宋体"/>
          <w:b/>
          <w:bCs/>
          <w:sz w:val="32"/>
          <w:szCs w:val="32"/>
          <w:lang w:val="zh-CN"/>
        </w:rPr>
        <w:tab/>
      </w:r>
      <w:r>
        <w:rPr>
          <w:rFonts w:hint="eastAsia" w:ascii="宋体" w:hAnsi="宋体"/>
          <w:b/>
          <w:bCs/>
          <w:sz w:val="32"/>
          <w:szCs w:val="32"/>
          <w:lang w:val="zh-CN"/>
        </w:rPr>
        <w:t>20-27</w:t>
      </w:r>
    </w:p>
    <w:p>
      <w:pPr>
        <w:tabs>
          <w:tab w:val="right" w:leader="dot" w:pos="8392"/>
        </w:tabs>
        <w:spacing w:before="60" w:line="480" w:lineRule="auto"/>
        <w:rPr>
          <w:rFonts w:ascii="宋体" w:hAnsi="宋体"/>
          <w:sz w:val="32"/>
          <w:szCs w:val="32"/>
        </w:rPr>
      </w:pPr>
      <w:r>
        <w:rPr>
          <w:rFonts w:hint="eastAsia" w:ascii="宋体" w:hAnsi="宋体"/>
          <w:b/>
          <w:bCs/>
          <w:sz w:val="32"/>
          <w:szCs w:val="32"/>
        </w:rPr>
        <w:t>第四章 合同协议书</w:t>
      </w:r>
      <w:r>
        <w:rPr>
          <w:rFonts w:ascii="宋体" w:hAnsi="宋体"/>
          <w:b/>
          <w:bCs/>
          <w:sz w:val="32"/>
          <w:szCs w:val="32"/>
          <w:lang w:val="zh-CN"/>
        </w:rPr>
        <w:tab/>
      </w:r>
      <w:r>
        <w:rPr>
          <w:rFonts w:hint="eastAsia" w:ascii="宋体" w:hAnsi="宋体"/>
          <w:b/>
          <w:bCs/>
          <w:sz w:val="32"/>
          <w:szCs w:val="32"/>
          <w:lang w:val="zh-CN"/>
        </w:rPr>
        <w:t>28-45</w:t>
      </w:r>
    </w:p>
    <w:p>
      <w:pPr>
        <w:tabs>
          <w:tab w:val="right" w:leader="dot" w:pos="8392"/>
        </w:tabs>
        <w:spacing w:before="60" w:line="480" w:lineRule="auto"/>
        <w:rPr>
          <w:rFonts w:ascii="宋体" w:hAnsi="宋体"/>
          <w:sz w:val="32"/>
          <w:szCs w:val="32"/>
        </w:rPr>
      </w:pPr>
      <w:r>
        <w:rPr>
          <w:rFonts w:hint="eastAsia" w:ascii="宋体" w:hAnsi="宋体"/>
          <w:b/>
          <w:bCs/>
          <w:sz w:val="32"/>
          <w:szCs w:val="32"/>
        </w:rPr>
        <w:t>第五章 投标文件格式</w:t>
      </w:r>
      <w:r>
        <w:rPr>
          <w:rFonts w:ascii="宋体" w:hAnsi="宋体"/>
          <w:b/>
          <w:bCs/>
          <w:sz w:val="32"/>
          <w:szCs w:val="32"/>
          <w:lang w:val="zh-CN"/>
        </w:rPr>
        <w:tab/>
      </w:r>
      <w:r>
        <w:rPr>
          <w:rFonts w:hint="eastAsia" w:ascii="宋体" w:hAnsi="宋体"/>
          <w:b/>
          <w:bCs/>
          <w:sz w:val="32"/>
          <w:szCs w:val="32"/>
          <w:lang w:val="zh-CN"/>
        </w:rPr>
        <w:t>46-70</w:t>
      </w:r>
    </w:p>
    <w:p>
      <w:pPr>
        <w:spacing w:line="480" w:lineRule="auto"/>
        <w:jc w:val="center"/>
        <w:rPr>
          <w:rFonts w:ascii="宋体" w:hAnsi="宋体"/>
          <w:b/>
          <w:bCs/>
          <w:sz w:val="32"/>
          <w:szCs w:val="32"/>
        </w:rPr>
      </w:pPr>
    </w:p>
    <w:p>
      <w:pPr>
        <w:spacing w:line="480" w:lineRule="auto"/>
        <w:jc w:val="center"/>
        <w:rPr>
          <w:rFonts w:ascii="宋体" w:hAnsi="宋体"/>
          <w:sz w:val="32"/>
          <w:szCs w:val="32"/>
        </w:rPr>
      </w:pPr>
    </w:p>
    <w:p>
      <w:pPr>
        <w:spacing w:line="480" w:lineRule="auto"/>
        <w:jc w:val="center"/>
        <w:rPr>
          <w:rFonts w:ascii="宋体" w:hAnsi="宋体"/>
          <w:sz w:val="44"/>
          <w:szCs w:val="44"/>
        </w:rPr>
      </w:pPr>
    </w:p>
    <w:p>
      <w:pPr>
        <w:jc w:val="center"/>
        <w:rPr>
          <w:rFonts w:ascii="宋体" w:hAnsi="宋体"/>
          <w:sz w:val="44"/>
          <w:szCs w:val="44"/>
        </w:rPr>
      </w:pPr>
    </w:p>
    <w:p>
      <w:pPr>
        <w:jc w:val="center"/>
        <w:rPr>
          <w:rFonts w:ascii="宋体" w:hAnsi="宋体"/>
          <w:sz w:val="44"/>
          <w:szCs w:val="44"/>
        </w:rPr>
      </w:pPr>
    </w:p>
    <w:p>
      <w:pPr>
        <w:jc w:val="center"/>
        <w:rPr>
          <w:rFonts w:ascii="宋体" w:hAnsi="宋体"/>
          <w:sz w:val="44"/>
          <w:szCs w:val="44"/>
        </w:rPr>
      </w:pPr>
    </w:p>
    <w:p>
      <w:pPr>
        <w:jc w:val="center"/>
        <w:rPr>
          <w:rFonts w:ascii="宋体" w:hAnsi="宋体"/>
          <w:sz w:val="44"/>
          <w:szCs w:val="44"/>
        </w:rPr>
      </w:pPr>
    </w:p>
    <w:p>
      <w:pPr>
        <w:jc w:val="center"/>
        <w:rPr>
          <w:rFonts w:ascii="宋体" w:hAnsi="宋体"/>
          <w:sz w:val="44"/>
          <w:szCs w:val="44"/>
        </w:rPr>
      </w:pPr>
    </w:p>
    <w:p>
      <w:pPr>
        <w:jc w:val="center"/>
        <w:rPr>
          <w:rFonts w:ascii="宋体" w:hAnsi="宋体"/>
          <w:sz w:val="44"/>
          <w:szCs w:val="44"/>
        </w:rPr>
      </w:pPr>
    </w:p>
    <w:p>
      <w:pPr>
        <w:jc w:val="center"/>
        <w:rPr>
          <w:rFonts w:ascii="宋体" w:hAnsi="宋体"/>
          <w:sz w:val="44"/>
          <w:szCs w:val="44"/>
        </w:rPr>
      </w:pPr>
    </w:p>
    <w:p>
      <w:pPr>
        <w:rPr>
          <w:rFonts w:ascii="宋体" w:hAnsi="宋体"/>
          <w:sz w:val="44"/>
          <w:szCs w:val="44"/>
        </w:rPr>
      </w:pPr>
    </w:p>
    <w:p>
      <w:pPr>
        <w:ind w:firstLine="2420" w:firstLineChars="550"/>
        <w:rPr>
          <w:rFonts w:ascii="宋体" w:hAnsi="宋体"/>
          <w:sz w:val="44"/>
          <w:szCs w:val="44"/>
        </w:rPr>
        <w:sectPr>
          <w:headerReference r:id="rId9" w:type="default"/>
          <w:footerReference r:id="rId10" w:type="default"/>
          <w:pgSz w:w="11906" w:h="16838"/>
          <w:pgMar w:top="850" w:right="1797" w:bottom="1417" w:left="1644" w:header="851" w:footer="992" w:gutter="0"/>
          <w:cols w:space="720" w:num="1"/>
          <w:docGrid w:linePitch="312" w:charSpace="0"/>
        </w:sectPr>
      </w:pPr>
    </w:p>
    <w:p>
      <w:pPr>
        <w:spacing w:line="560" w:lineRule="exact"/>
        <w:ind w:firstLine="2420" w:firstLineChars="550"/>
        <w:rPr>
          <w:rFonts w:ascii="宋体" w:hAnsi="宋体"/>
          <w:sz w:val="44"/>
          <w:szCs w:val="44"/>
        </w:rPr>
      </w:pPr>
      <w:r>
        <w:rPr>
          <w:rFonts w:ascii="宋体" w:hAnsi="宋体"/>
          <w:sz w:val="44"/>
          <w:szCs w:val="44"/>
        </w:rPr>
        <w:t xml:space="preserve">第一章 </w:t>
      </w:r>
      <w:bookmarkStart w:id="1" w:name="OLE_LINK1"/>
      <w:r>
        <w:rPr>
          <w:rFonts w:ascii="宋体" w:hAnsi="宋体"/>
          <w:sz w:val="44"/>
          <w:szCs w:val="44"/>
        </w:rPr>
        <w:t>招标公告</w:t>
      </w:r>
      <w:bookmarkEnd w:id="0"/>
    </w:p>
    <w:p>
      <w:pPr>
        <w:snapToGrid w:val="0"/>
        <w:spacing w:line="560" w:lineRule="exact"/>
        <w:ind w:firstLine="964" w:firstLineChars="300"/>
        <w:rPr>
          <w:rFonts w:ascii="宋体" w:hAnsi="宋体"/>
          <w:b/>
          <w:sz w:val="32"/>
          <w:szCs w:val="32"/>
        </w:rPr>
      </w:pPr>
      <w:bookmarkStart w:id="2" w:name="_Toc389065121"/>
      <w:bookmarkStart w:id="3" w:name="_Toc389065142"/>
      <w:r>
        <w:rPr>
          <w:rFonts w:ascii="宋体" w:hAnsi="宋体"/>
          <w:b/>
          <w:sz w:val="32"/>
          <w:szCs w:val="32"/>
        </w:rPr>
        <w:t>南通市行政中心</w:t>
      </w:r>
      <w:r>
        <w:rPr>
          <w:rFonts w:hint="eastAsia" w:ascii="宋体" w:hAnsi="宋体"/>
          <w:b/>
          <w:sz w:val="32"/>
          <w:szCs w:val="32"/>
        </w:rPr>
        <w:t>（含信访局）</w:t>
      </w:r>
      <w:r>
        <w:rPr>
          <w:rFonts w:ascii="宋体" w:hAnsi="宋体"/>
          <w:b/>
          <w:sz w:val="32"/>
          <w:szCs w:val="32"/>
        </w:rPr>
        <w:t>附属绿地管护项目</w:t>
      </w:r>
    </w:p>
    <w:p>
      <w:pPr>
        <w:pStyle w:val="2"/>
        <w:ind w:left="63" w:right="63"/>
      </w:pPr>
    </w:p>
    <w:bookmarkEnd w:id="2"/>
    <w:p>
      <w:pPr>
        <w:keepNext/>
        <w:keepLines/>
        <w:adjustRightInd w:val="0"/>
        <w:snapToGrid w:val="0"/>
        <w:spacing w:line="560" w:lineRule="exact"/>
        <w:outlineLvl w:val="1"/>
        <w:rPr>
          <w:rFonts w:ascii="宋体" w:hAnsi="宋体" w:cs="宋体"/>
          <w:b/>
          <w:bCs/>
          <w:sz w:val="24"/>
          <w:szCs w:val="24"/>
        </w:rPr>
      </w:pPr>
      <w:bookmarkStart w:id="4" w:name="_Toc535487074"/>
      <w:bookmarkStart w:id="5" w:name="_Toc389065122"/>
      <w:r>
        <w:rPr>
          <w:rFonts w:hint="eastAsia" w:ascii="宋体" w:hAnsi="宋体" w:cs="宋体"/>
          <w:b/>
          <w:bCs/>
          <w:sz w:val="24"/>
          <w:szCs w:val="24"/>
        </w:rPr>
        <w:t>1. 项目招标条件</w:t>
      </w:r>
      <w:bookmarkEnd w:id="4"/>
      <w:bookmarkEnd w:id="5"/>
    </w:p>
    <w:p>
      <w:pPr>
        <w:adjustRightInd w:val="0"/>
        <w:snapToGrid w:val="0"/>
        <w:spacing w:line="560" w:lineRule="exact"/>
        <w:ind w:firstLine="480" w:firstLineChars="200"/>
        <w:rPr>
          <w:rFonts w:ascii="宋体" w:hAnsi="宋体"/>
          <w:b/>
          <w:color w:val="0000FF"/>
          <w:sz w:val="24"/>
          <w:szCs w:val="24"/>
        </w:rPr>
      </w:pPr>
      <w:r>
        <w:rPr>
          <w:rFonts w:hint="eastAsia" w:ascii="宋体" w:hAnsi="宋体"/>
          <w:sz w:val="24"/>
          <w:szCs w:val="24"/>
        </w:rPr>
        <w:t>受南通市机关事务管理局委托，南通市园林绿化管理处对</w:t>
      </w:r>
      <w:r>
        <w:rPr>
          <w:rFonts w:hint="eastAsia" w:ascii="宋体" w:hAnsi="宋体"/>
          <w:sz w:val="24"/>
          <w:szCs w:val="24"/>
          <w:u w:val="single"/>
        </w:rPr>
        <w:t xml:space="preserve">  南通市行政中心（含信访局）附属绿地管护项目  </w:t>
      </w:r>
      <w:r>
        <w:rPr>
          <w:rFonts w:hint="eastAsia" w:ascii="宋体" w:hAnsi="宋体"/>
          <w:sz w:val="24"/>
          <w:szCs w:val="24"/>
        </w:rPr>
        <w:t>进行邀请招标。所需资金来源是</w:t>
      </w:r>
      <w:r>
        <w:rPr>
          <w:rFonts w:hint="eastAsia" w:ascii="宋体" w:hAnsi="宋体"/>
          <w:sz w:val="24"/>
          <w:szCs w:val="24"/>
          <w:u w:val="single"/>
        </w:rPr>
        <w:t xml:space="preserve">  财政资金  </w:t>
      </w:r>
      <w:r>
        <w:rPr>
          <w:rFonts w:hint="eastAsia" w:ascii="宋体" w:hAnsi="宋体"/>
          <w:sz w:val="24"/>
          <w:szCs w:val="24"/>
        </w:rPr>
        <w:t xml:space="preserve"> ,项目出资比例为 100% 。</w:t>
      </w:r>
      <w:r>
        <w:rPr>
          <w:rFonts w:hint="eastAsia" w:ascii="宋体" w:hAnsi="宋体"/>
          <w:b/>
          <w:color w:val="0000FF"/>
          <w:sz w:val="24"/>
          <w:szCs w:val="24"/>
        </w:rPr>
        <w:t>特邀请承担南通市园林绿化管理处5年及以上绿地管护任务，并且近五年内（2020-2024年）至少获得一次绿地管护优秀标段的单位参加投标。</w:t>
      </w:r>
    </w:p>
    <w:p>
      <w:pPr>
        <w:keepNext/>
        <w:keepLines/>
        <w:adjustRightInd w:val="0"/>
        <w:snapToGrid w:val="0"/>
        <w:spacing w:line="560" w:lineRule="exact"/>
        <w:outlineLvl w:val="1"/>
        <w:rPr>
          <w:rFonts w:ascii="宋体" w:hAnsi="宋体" w:cs="宋体"/>
          <w:b/>
          <w:bCs/>
          <w:sz w:val="24"/>
          <w:szCs w:val="24"/>
        </w:rPr>
      </w:pPr>
      <w:r>
        <w:rPr>
          <w:rFonts w:hint="eastAsia" w:ascii="宋体" w:hAnsi="宋体" w:cs="宋体"/>
          <w:b/>
          <w:bCs/>
          <w:sz w:val="24"/>
          <w:szCs w:val="24"/>
        </w:rPr>
        <w:t>2. 项目概况及招标内容</w:t>
      </w:r>
    </w:p>
    <w:p>
      <w:pPr>
        <w:adjustRightInd w:val="0"/>
        <w:snapToGrid w:val="0"/>
        <w:spacing w:line="560" w:lineRule="exact"/>
        <w:ind w:firstLine="482" w:firstLineChars="200"/>
        <w:rPr>
          <w:rFonts w:ascii="宋体" w:hAnsi="宋体" w:cs="宋体"/>
          <w:b/>
          <w:sz w:val="24"/>
          <w:szCs w:val="24"/>
        </w:rPr>
      </w:pPr>
      <w:r>
        <w:rPr>
          <w:rFonts w:hint="eastAsia" w:ascii="宋体" w:hAnsi="宋体" w:cs="宋体"/>
          <w:b/>
          <w:sz w:val="24"/>
          <w:szCs w:val="24"/>
        </w:rPr>
        <w:t>2.1项目地点</w:t>
      </w:r>
    </w:p>
    <w:p>
      <w:pPr>
        <w:adjustRightInd w:val="0"/>
        <w:snapToGrid w:val="0"/>
        <w:spacing w:line="560" w:lineRule="exact"/>
        <w:ind w:firstLine="480" w:firstLineChars="200"/>
        <w:rPr>
          <w:rFonts w:ascii="宋体" w:hAnsi="宋体"/>
          <w:sz w:val="24"/>
          <w:szCs w:val="24"/>
        </w:rPr>
      </w:pPr>
      <w:r>
        <w:rPr>
          <w:rFonts w:hint="eastAsia" w:ascii="宋体" w:hAnsi="宋体"/>
          <w:sz w:val="24"/>
          <w:szCs w:val="24"/>
        </w:rPr>
        <w:t>南通市世纪大道6号：世纪大道北、府东路西、府西路东、江岳路南</w:t>
      </w:r>
    </w:p>
    <w:p>
      <w:pPr>
        <w:adjustRightInd w:val="0"/>
        <w:snapToGrid w:val="0"/>
        <w:spacing w:line="560" w:lineRule="exact"/>
        <w:ind w:firstLine="480" w:firstLineChars="200"/>
        <w:rPr>
          <w:rFonts w:ascii="宋体" w:hAnsi="宋体"/>
          <w:sz w:val="24"/>
          <w:szCs w:val="24"/>
        </w:rPr>
      </w:pPr>
      <w:r>
        <w:rPr>
          <w:rFonts w:hint="eastAsia" w:ascii="宋体" w:hAnsi="宋体"/>
          <w:sz w:val="24"/>
          <w:szCs w:val="24"/>
        </w:rPr>
        <w:t>即南通市行政中心（含信访局）附属绿地</w:t>
      </w:r>
    </w:p>
    <w:p>
      <w:pPr>
        <w:widowControl/>
        <w:snapToGrid w:val="0"/>
        <w:spacing w:line="560" w:lineRule="exact"/>
        <w:ind w:firstLine="482" w:firstLineChars="200"/>
        <w:jc w:val="left"/>
        <w:rPr>
          <w:rFonts w:ascii="Times New Roman" w:hAnsi="宋体"/>
          <w:b/>
          <w:color w:val="000000"/>
          <w:sz w:val="24"/>
          <w:szCs w:val="24"/>
        </w:rPr>
      </w:pPr>
      <w:r>
        <w:rPr>
          <w:rFonts w:hint="eastAsia" w:ascii="宋体" w:hAnsi="宋体" w:cs="宋体"/>
          <w:b/>
          <w:sz w:val="24"/>
          <w:szCs w:val="24"/>
        </w:rPr>
        <w:t>2.2</w:t>
      </w:r>
      <w:r>
        <w:rPr>
          <w:rFonts w:hint="eastAsia" w:ascii="Times New Roman" w:hAnsi="宋体"/>
          <w:b/>
          <w:color w:val="000000"/>
          <w:sz w:val="24"/>
          <w:szCs w:val="24"/>
        </w:rPr>
        <w:t>项目规模</w:t>
      </w:r>
    </w:p>
    <w:p>
      <w:pPr>
        <w:widowControl/>
        <w:snapToGrid w:val="0"/>
        <w:spacing w:line="560" w:lineRule="exact"/>
        <w:ind w:firstLine="480" w:firstLineChars="200"/>
        <w:jc w:val="left"/>
        <w:rPr>
          <w:rFonts w:ascii="Times New Roman" w:hAnsi="宋体"/>
          <w:b/>
          <w:color w:val="000000"/>
          <w:sz w:val="24"/>
          <w:szCs w:val="24"/>
        </w:rPr>
      </w:pPr>
      <w:r>
        <w:rPr>
          <w:rFonts w:hint="eastAsia" w:ascii="宋体" w:hAnsi="宋体"/>
          <w:sz w:val="24"/>
          <w:szCs w:val="24"/>
        </w:rPr>
        <w:t>绿地总面积约15.5442公顷（含廊架及6座木桥等园林设施,但不含水面），其中草坪117254平方米、园路广场等地面硬质铺装7716平方米、草花804平方米。</w:t>
      </w:r>
    </w:p>
    <w:p>
      <w:pPr>
        <w:widowControl/>
        <w:snapToGrid w:val="0"/>
        <w:spacing w:line="560" w:lineRule="exact"/>
        <w:ind w:firstLine="482" w:firstLineChars="200"/>
        <w:jc w:val="left"/>
        <w:rPr>
          <w:rFonts w:ascii="宋体" w:hAnsi="宋体" w:cs="宋体"/>
          <w:b/>
          <w:sz w:val="24"/>
          <w:szCs w:val="24"/>
        </w:rPr>
      </w:pPr>
      <w:r>
        <w:rPr>
          <w:rFonts w:hint="eastAsia" w:ascii="宋体" w:hAnsi="宋体" w:cs="宋体"/>
          <w:b/>
          <w:sz w:val="24"/>
          <w:szCs w:val="24"/>
        </w:rPr>
        <w:t>2.3管护标准</w:t>
      </w:r>
    </w:p>
    <w:p>
      <w:pPr>
        <w:widowControl/>
        <w:snapToGrid w:val="0"/>
        <w:spacing w:line="560" w:lineRule="exact"/>
        <w:ind w:firstLine="480" w:firstLineChars="200"/>
        <w:jc w:val="left"/>
        <w:rPr>
          <w:rFonts w:ascii="宋体" w:hAnsi="宋体" w:cs="宋体"/>
          <w:b/>
          <w:sz w:val="24"/>
          <w:szCs w:val="24"/>
        </w:rPr>
      </w:pPr>
      <w:r>
        <w:rPr>
          <w:rFonts w:hint="eastAsia" w:ascii="宋体" w:hAnsi="宋体"/>
          <w:sz w:val="24"/>
          <w:szCs w:val="24"/>
        </w:rPr>
        <w:t>通政园管〔2020〕43号《南通市城市绿化养护质量等级标准（试行）》城市公园及区域绿地一级管护</w:t>
      </w:r>
    </w:p>
    <w:p>
      <w:pPr>
        <w:widowControl/>
        <w:snapToGrid w:val="0"/>
        <w:spacing w:line="560" w:lineRule="exact"/>
        <w:ind w:firstLine="482" w:firstLineChars="200"/>
        <w:rPr>
          <w:rFonts w:ascii="宋体" w:hAnsi="宋体"/>
          <w:b/>
          <w:bCs/>
          <w:kern w:val="0"/>
          <w:sz w:val="24"/>
          <w:szCs w:val="24"/>
          <w:u w:val="single"/>
        </w:rPr>
      </w:pPr>
      <w:r>
        <w:rPr>
          <w:rFonts w:hint="eastAsia" w:ascii="宋体" w:hAnsi="宋体" w:cs="宋体"/>
          <w:b/>
          <w:sz w:val="24"/>
          <w:szCs w:val="24"/>
        </w:rPr>
        <w:t>2.4承包期限</w:t>
      </w:r>
      <w:bookmarkStart w:id="6" w:name="OLE_LINK5"/>
      <w:bookmarkStart w:id="7" w:name="OLE_LINK6"/>
    </w:p>
    <w:bookmarkEnd w:id="6"/>
    <w:bookmarkEnd w:id="7"/>
    <w:p>
      <w:pPr>
        <w:adjustRightInd w:val="0"/>
        <w:snapToGrid w:val="0"/>
        <w:spacing w:line="560" w:lineRule="exact"/>
        <w:ind w:firstLine="480" w:firstLineChars="200"/>
        <w:rPr>
          <w:rFonts w:ascii="宋体" w:hAnsi="宋体"/>
          <w:sz w:val="24"/>
          <w:szCs w:val="24"/>
        </w:rPr>
      </w:pPr>
      <w:r>
        <w:rPr>
          <w:rFonts w:hint="eastAsia" w:ascii="宋体" w:hAnsi="宋体"/>
          <w:sz w:val="24"/>
          <w:szCs w:val="24"/>
        </w:rPr>
        <w:t>本次招标合同期一年（2025年11月1日-2026年10月31日），管护起始日暂定，实际以进场指令单为准。如合同期内每月考核得分均合格的，次年可按原中标价续签，但只可续签一次。</w:t>
      </w:r>
    </w:p>
    <w:p>
      <w:pPr>
        <w:widowControl/>
        <w:snapToGrid w:val="0"/>
        <w:spacing w:line="560" w:lineRule="exact"/>
        <w:ind w:firstLine="482" w:firstLineChars="200"/>
        <w:jc w:val="left"/>
        <w:rPr>
          <w:rFonts w:ascii="Times New Roman" w:hAnsi="宋体"/>
          <w:color w:val="000000"/>
          <w:sz w:val="24"/>
          <w:szCs w:val="24"/>
        </w:rPr>
      </w:pPr>
      <w:r>
        <w:rPr>
          <w:rFonts w:hint="eastAsia" w:ascii="宋体" w:hAnsi="宋体" w:cs="宋体"/>
          <w:b/>
          <w:sz w:val="24"/>
          <w:szCs w:val="24"/>
        </w:rPr>
        <w:t>2.5</w:t>
      </w:r>
      <w:r>
        <w:rPr>
          <w:rFonts w:hint="eastAsia" w:ascii="宋体" w:hAnsi="宋体" w:cs="宋体"/>
          <w:b/>
          <w:bCs/>
          <w:sz w:val="24"/>
          <w:szCs w:val="24"/>
        </w:rPr>
        <w:t>项目招标主要内容</w:t>
      </w:r>
    </w:p>
    <w:p>
      <w:pPr>
        <w:widowControl/>
        <w:snapToGrid w:val="0"/>
        <w:spacing w:line="560" w:lineRule="exact"/>
        <w:ind w:firstLine="480" w:firstLineChars="200"/>
        <w:jc w:val="left"/>
        <w:rPr>
          <w:rFonts w:ascii="Times New Roman" w:hAnsi="宋体"/>
          <w:b/>
          <w:sz w:val="24"/>
          <w:szCs w:val="24"/>
        </w:rPr>
      </w:pPr>
      <w:r>
        <w:rPr>
          <w:rFonts w:hint="eastAsia" w:ascii="Times New Roman" w:hAnsi="宋体"/>
          <w:sz w:val="24"/>
          <w:szCs w:val="24"/>
        </w:rPr>
        <w:t>（1）</w:t>
      </w:r>
      <w:r>
        <w:rPr>
          <w:rFonts w:hint="eastAsia" w:ascii="宋体" w:hAnsi="宋体"/>
          <w:sz w:val="24"/>
          <w:szCs w:val="24"/>
        </w:rPr>
        <w:t>修剪、施肥、除草、浇水、排涝、补植、涂白、防寒、病虫害防治、绿地保洁、园林废弃物处置等日常养护；黑麦草复播、草花栽植布置、园林设施维护、应急抢险</w:t>
      </w:r>
      <w:r>
        <w:rPr>
          <w:rFonts w:hint="eastAsia" w:ascii="宋体" w:hAnsi="宋体"/>
          <w:color w:val="000000"/>
          <w:sz w:val="24"/>
          <w:szCs w:val="24"/>
        </w:rPr>
        <w:t>、迎检迎查</w:t>
      </w:r>
      <w:r>
        <w:rPr>
          <w:rFonts w:hint="eastAsia" w:ascii="宋体" w:hAnsi="宋体"/>
          <w:sz w:val="24"/>
          <w:szCs w:val="24"/>
        </w:rPr>
        <w:t>、老绿地缺陷完善等专项管护工作</w:t>
      </w:r>
      <w:r>
        <w:rPr>
          <w:rFonts w:hint="eastAsia" w:ascii="Times New Roman" w:hAnsi="宋体"/>
          <w:sz w:val="24"/>
          <w:szCs w:val="24"/>
        </w:rPr>
        <w:t>。</w:t>
      </w:r>
    </w:p>
    <w:p>
      <w:pPr>
        <w:widowControl/>
        <w:snapToGrid w:val="0"/>
        <w:spacing w:line="560" w:lineRule="exact"/>
        <w:ind w:firstLine="482" w:firstLineChars="200"/>
        <w:jc w:val="left"/>
        <w:rPr>
          <w:rFonts w:ascii="Times New Roman" w:hAnsi="宋体"/>
          <w:sz w:val="24"/>
          <w:szCs w:val="24"/>
        </w:rPr>
      </w:pPr>
      <w:r>
        <w:rPr>
          <w:rFonts w:hint="eastAsia" w:ascii="Times New Roman" w:hAnsi="宋体"/>
          <w:b/>
          <w:sz w:val="24"/>
          <w:szCs w:val="24"/>
        </w:rPr>
        <w:t>重要提醒：</w:t>
      </w:r>
    </w:p>
    <w:p>
      <w:pPr>
        <w:widowControl/>
        <w:snapToGrid w:val="0"/>
        <w:spacing w:line="560" w:lineRule="exact"/>
        <w:ind w:firstLine="482" w:firstLineChars="200"/>
        <w:jc w:val="left"/>
        <w:rPr>
          <w:rFonts w:ascii="Times New Roman" w:hAnsi="宋体"/>
          <w:sz w:val="24"/>
          <w:szCs w:val="24"/>
        </w:rPr>
      </w:pPr>
      <w:r>
        <w:rPr>
          <w:rFonts w:hint="eastAsia" w:ascii="Times New Roman" w:hAnsi="宋体"/>
          <w:b/>
          <w:sz w:val="24"/>
          <w:szCs w:val="24"/>
        </w:rPr>
        <w:t>①</w:t>
      </w:r>
      <w:r>
        <w:rPr>
          <w:rFonts w:hint="eastAsia" w:ascii="宋体" w:hAnsi="宋体"/>
          <w:b/>
          <w:bCs/>
          <w:sz w:val="24"/>
          <w:szCs w:val="24"/>
        </w:rPr>
        <w:t>老绿地缺陷完善:</w:t>
      </w:r>
      <w:r>
        <w:rPr>
          <w:rFonts w:ascii="Times New Roman" w:hAnsi="宋体"/>
          <w:bCs/>
          <w:sz w:val="24"/>
          <w:szCs w:val="24"/>
        </w:rPr>
        <w:t xml:space="preserve"> </w:t>
      </w:r>
      <w:r>
        <w:rPr>
          <w:rFonts w:hint="eastAsia" w:ascii="Times New Roman" w:hAnsi="宋体"/>
          <w:bCs/>
          <w:sz w:val="24"/>
          <w:szCs w:val="24"/>
        </w:rPr>
        <w:t>招标文件虽然已将绿地主要缺陷统计标出，并单列分项报价。但其余缺陷必须由投标单位投标前自行仔细踏勘现场，并在绿地管护分项报价时充分考虑此部分的完善费用，进场后除缺陷完善</w:t>
      </w:r>
      <w:r>
        <w:rPr>
          <w:rFonts w:hint="eastAsia" w:ascii="Times New Roman" w:hAnsi="宋体"/>
          <w:bCs/>
          <w:sz w:val="24"/>
          <w:szCs w:val="24"/>
          <w:u w:val="single"/>
        </w:rPr>
        <w:t>过渡期外</w:t>
      </w:r>
      <w:r>
        <w:rPr>
          <w:rFonts w:hint="eastAsia" w:ascii="Times New Roman" w:hAnsi="宋体"/>
          <w:bCs/>
          <w:sz w:val="24"/>
          <w:szCs w:val="24"/>
        </w:rPr>
        <w:t>均列入承包期内考核范围。</w:t>
      </w:r>
    </w:p>
    <w:p>
      <w:pPr>
        <w:widowControl/>
        <w:snapToGrid w:val="0"/>
        <w:spacing w:line="560" w:lineRule="exact"/>
        <w:ind w:firstLine="480" w:firstLineChars="200"/>
        <w:jc w:val="left"/>
        <w:rPr>
          <w:rFonts w:ascii="Times New Roman" w:hAnsi="宋体"/>
          <w:sz w:val="24"/>
          <w:szCs w:val="24"/>
        </w:rPr>
      </w:pPr>
      <w:r>
        <w:rPr>
          <w:rFonts w:hint="eastAsia" w:ascii="宋体" w:hAnsi="宋体"/>
          <w:bCs/>
          <w:sz w:val="24"/>
          <w:szCs w:val="24"/>
        </w:rPr>
        <w:t>承包方进场后15日内完成实施方案编制报批，发包方收到报批方案后10日内完成审核，原则上承包方在核批的工期内完成实施。</w:t>
      </w:r>
    </w:p>
    <w:p>
      <w:pPr>
        <w:widowControl/>
        <w:snapToGrid w:val="0"/>
        <w:spacing w:line="560" w:lineRule="exact"/>
        <w:ind w:firstLine="482" w:firstLineChars="200"/>
        <w:jc w:val="left"/>
        <w:rPr>
          <w:rFonts w:ascii="Times New Roman" w:hAnsi="宋体"/>
          <w:sz w:val="24"/>
          <w:szCs w:val="24"/>
        </w:rPr>
      </w:pPr>
      <w:r>
        <w:rPr>
          <w:rFonts w:hint="eastAsia" w:ascii="宋体" w:hAnsi="宋体"/>
          <w:b/>
          <w:bCs/>
          <w:sz w:val="24"/>
          <w:szCs w:val="24"/>
        </w:rPr>
        <w:t>②</w:t>
      </w:r>
      <w:r>
        <w:rPr>
          <w:rFonts w:hint="eastAsia" w:ascii="Times New Roman" w:hAnsi="宋体"/>
          <w:b/>
          <w:sz w:val="24"/>
          <w:szCs w:val="24"/>
        </w:rPr>
        <w:t>绿化补植：</w:t>
      </w:r>
      <w:r>
        <w:rPr>
          <w:rFonts w:hint="eastAsia" w:ascii="Times New Roman" w:hAnsi="宋体"/>
          <w:sz w:val="24"/>
          <w:szCs w:val="24"/>
        </w:rPr>
        <w:t>包含台风等恶劣气候引起的苗木缺失补植（气象灾害预警级别橙色及以上并且管护措施到位的除外）</w:t>
      </w:r>
      <w:r>
        <w:rPr>
          <w:rFonts w:hint="eastAsia" w:ascii="Times New Roman" w:hAnsi="宋体"/>
          <w:bCs/>
          <w:sz w:val="24"/>
          <w:szCs w:val="24"/>
        </w:rPr>
        <w:t>。</w:t>
      </w:r>
    </w:p>
    <w:p>
      <w:pPr>
        <w:widowControl/>
        <w:snapToGrid w:val="0"/>
        <w:spacing w:line="560" w:lineRule="exact"/>
        <w:ind w:firstLine="482" w:firstLineChars="200"/>
        <w:jc w:val="left"/>
        <w:rPr>
          <w:rFonts w:ascii="Times New Roman" w:hAnsi="宋体"/>
          <w:sz w:val="24"/>
          <w:szCs w:val="24"/>
        </w:rPr>
      </w:pPr>
      <w:r>
        <w:rPr>
          <w:rFonts w:hint="eastAsia"/>
          <w:b/>
          <w:sz w:val="24"/>
          <w:szCs w:val="24"/>
        </w:rPr>
        <w:t>③园林废弃物处置</w:t>
      </w:r>
      <w:r>
        <w:rPr>
          <w:b/>
          <w:sz w:val="24"/>
          <w:szCs w:val="24"/>
        </w:rPr>
        <w:t>:</w:t>
      </w:r>
      <w:r>
        <w:rPr>
          <w:sz w:val="24"/>
          <w:szCs w:val="24"/>
        </w:rPr>
        <w:t xml:space="preserve"> </w:t>
      </w:r>
      <w:r>
        <w:rPr>
          <w:rFonts w:hint="eastAsia"/>
          <w:sz w:val="24"/>
          <w:szCs w:val="24"/>
        </w:rPr>
        <w:t>为规范园林废弃物处理方式，提高园林废弃物资源化利用，承包方需将养护管理中所产生的枯枝败叶、树枝枝干、草屑等园林绿化垃圾送至发包方（或处置单位）确定的收集点集中处理，</w:t>
      </w:r>
      <w:r>
        <w:rPr>
          <w:rFonts w:hint="eastAsia" w:ascii="宋体" w:hAnsi="宋体" w:cs="宋体"/>
          <w:sz w:val="24"/>
          <w:szCs w:val="24"/>
        </w:rPr>
        <w:t>尚未确定处置单位前的过渡期内，由中标人按园林废弃物处理利用相关要求自行处置，严禁随意弃置，相应费用在投标报价时应予考虑</w:t>
      </w:r>
      <w:r>
        <w:rPr>
          <w:rFonts w:hint="eastAsia"/>
          <w:sz w:val="24"/>
          <w:szCs w:val="24"/>
        </w:rPr>
        <w:t>。</w:t>
      </w:r>
    </w:p>
    <w:p>
      <w:pPr>
        <w:widowControl/>
        <w:snapToGrid w:val="0"/>
        <w:spacing w:line="560" w:lineRule="exact"/>
        <w:ind w:firstLine="480" w:firstLineChars="200"/>
        <w:jc w:val="left"/>
        <w:rPr>
          <w:rFonts w:ascii="Times New Roman" w:hAnsi="宋体"/>
          <w:sz w:val="24"/>
          <w:szCs w:val="24"/>
        </w:rPr>
      </w:pPr>
      <w:r>
        <w:rPr>
          <w:rFonts w:hint="eastAsia" w:ascii="宋体" w:hAnsi="宋体" w:cs="宋体"/>
          <w:sz w:val="24"/>
          <w:szCs w:val="24"/>
        </w:rPr>
        <w:t>（2）</w:t>
      </w:r>
      <w:r>
        <w:rPr>
          <w:rFonts w:hint="eastAsia" w:ascii="Times New Roman" w:hAnsi="宋体"/>
          <w:sz w:val="24"/>
          <w:szCs w:val="24"/>
        </w:rPr>
        <w:t>中标后，做好待接管护量的清点登记工作，并形成书面交接确认单。</w:t>
      </w:r>
    </w:p>
    <w:p>
      <w:pPr>
        <w:widowControl/>
        <w:snapToGrid w:val="0"/>
        <w:spacing w:line="560" w:lineRule="exact"/>
        <w:ind w:firstLine="480" w:firstLineChars="200"/>
        <w:jc w:val="left"/>
        <w:rPr>
          <w:rFonts w:ascii="Times New Roman" w:hAnsi="宋体"/>
          <w:sz w:val="24"/>
          <w:szCs w:val="24"/>
        </w:rPr>
      </w:pPr>
      <w:r>
        <w:rPr>
          <w:rFonts w:hint="eastAsia" w:ascii="宋体" w:hAnsi="宋体" w:cs="宋体"/>
          <w:sz w:val="24"/>
          <w:szCs w:val="24"/>
        </w:rPr>
        <w:t>（3）</w:t>
      </w:r>
      <w:r>
        <w:rPr>
          <w:rFonts w:hint="eastAsia" w:ascii="Times New Roman" w:hAnsi="宋体"/>
          <w:sz w:val="24"/>
          <w:szCs w:val="24"/>
        </w:rPr>
        <w:t>本轮养护期满前</w:t>
      </w:r>
      <w:r>
        <w:rPr>
          <w:rFonts w:ascii="Times New Roman" w:hAnsi="宋体"/>
          <w:sz w:val="24"/>
          <w:szCs w:val="24"/>
        </w:rPr>
        <w:t>1</w:t>
      </w:r>
      <w:r>
        <w:rPr>
          <w:rFonts w:hint="eastAsia" w:ascii="Times New Roman" w:hAnsi="宋体"/>
          <w:sz w:val="24"/>
          <w:szCs w:val="24"/>
        </w:rPr>
        <w:t>个月内，乙方完成与下轮中标单位的交接。</w:t>
      </w:r>
    </w:p>
    <w:p>
      <w:pPr>
        <w:widowControl/>
        <w:snapToGrid w:val="0"/>
        <w:spacing w:line="560" w:lineRule="exact"/>
        <w:ind w:firstLine="482" w:firstLineChars="200"/>
        <w:jc w:val="left"/>
        <w:rPr>
          <w:sz w:val="24"/>
          <w:szCs w:val="24"/>
        </w:rPr>
      </w:pPr>
      <w:r>
        <w:rPr>
          <w:rFonts w:hint="eastAsia" w:ascii="宋体" w:hAnsi="宋体" w:cs="宋体"/>
          <w:b/>
          <w:sz w:val="24"/>
          <w:szCs w:val="24"/>
        </w:rPr>
        <w:t>2.6项目预算（即财政最高限价）</w:t>
      </w:r>
    </w:p>
    <w:p>
      <w:pPr>
        <w:widowControl/>
        <w:snapToGrid w:val="0"/>
        <w:spacing w:line="560" w:lineRule="exact"/>
        <w:ind w:firstLine="480" w:firstLineChars="200"/>
        <w:jc w:val="left"/>
        <w:rPr>
          <w:color w:val="0000FF"/>
          <w:sz w:val="24"/>
          <w:szCs w:val="24"/>
        </w:rPr>
      </w:pPr>
      <w:r>
        <w:rPr>
          <w:color w:val="0000FF"/>
          <w:sz w:val="24"/>
          <w:szCs w:val="24"/>
        </w:rPr>
        <w:t>报价超过预算的为无效</w:t>
      </w:r>
      <w:r>
        <w:rPr>
          <w:rFonts w:hint="eastAsia"/>
          <w:color w:val="0000FF"/>
          <w:sz w:val="24"/>
          <w:szCs w:val="24"/>
        </w:rPr>
        <w:t>报价。</w:t>
      </w:r>
    </w:p>
    <w:p>
      <w:pPr>
        <w:widowControl/>
        <w:snapToGrid w:val="0"/>
        <w:spacing w:line="560" w:lineRule="exact"/>
        <w:ind w:firstLine="480" w:firstLineChars="200"/>
        <w:jc w:val="left"/>
        <w:rPr>
          <w:color w:val="0000FF"/>
          <w:sz w:val="24"/>
          <w:szCs w:val="24"/>
        </w:rPr>
      </w:pPr>
      <w:r>
        <w:rPr>
          <w:rFonts w:hint="eastAsia"/>
          <w:color w:val="0000FF"/>
          <w:sz w:val="24"/>
          <w:szCs w:val="24"/>
        </w:rPr>
        <w:t xml:space="preserve">预算为187.6980万元/年=绿地管护（含草花地栽布置）185.0292万元/年+老绿地缺陷完善2.6688万元/年   </w:t>
      </w:r>
    </w:p>
    <w:p>
      <w:pPr>
        <w:widowControl/>
        <w:snapToGrid w:val="0"/>
        <w:spacing w:line="560" w:lineRule="exact"/>
        <w:ind w:firstLine="480" w:firstLineChars="200"/>
        <w:jc w:val="left"/>
        <w:rPr>
          <w:sz w:val="24"/>
          <w:szCs w:val="24"/>
        </w:rPr>
      </w:pPr>
      <w:r>
        <w:rPr>
          <w:rFonts w:hint="eastAsia"/>
          <w:color w:val="0000FF"/>
          <w:sz w:val="24"/>
          <w:szCs w:val="24"/>
        </w:rPr>
        <w:t>备注：老绿地缺陷完善按定额下浮10%后为5.3376万元，两年内完成实施。</w:t>
      </w:r>
    </w:p>
    <w:p>
      <w:pPr>
        <w:widowControl/>
        <w:snapToGrid w:val="0"/>
        <w:spacing w:line="560" w:lineRule="exact"/>
        <w:ind w:firstLine="480" w:firstLineChars="200"/>
        <w:jc w:val="left"/>
        <w:rPr>
          <w:sz w:val="24"/>
          <w:szCs w:val="24"/>
        </w:rPr>
      </w:pPr>
    </w:p>
    <w:p>
      <w:pPr>
        <w:widowControl/>
        <w:snapToGrid w:val="0"/>
        <w:spacing w:line="560" w:lineRule="exact"/>
        <w:ind w:firstLine="480" w:firstLineChars="200"/>
        <w:jc w:val="left"/>
        <w:rPr>
          <w:sz w:val="24"/>
          <w:szCs w:val="24"/>
        </w:rPr>
      </w:pPr>
    </w:p>
    <w:tbl>
      <w:tblPr>
        <w:tblStyle w:val="5"/>
        <w:tblW w:w="9640" w:type="dxa"/>
        <w:tblInd w:w="-601" w:type="dxa"/>
        <w:tblLayout w:type="fixed"/>
        <w:tblCellMar>
          <w:top w:w="0" w:type="dxa"/>
          <w:left w:w="108" w:type="dxa"/>
          <w:bottom w:w="0" w:type="dxa"/>
          <w:right w:w="108" w:type="dxa"/>
        </w:tblCellMar>
      </w:tblPr>
      <w:tblGrid>
        <w:gridCol w:w="2694"/>
        <w:gridCol w:w="1134"/>
        <w:gridCol w:w="1559"/>
        <w:gridCol w:w="1559"/>
        <w:gridCol w:w="1843"/>
        <w:gridCol w:w="851"/>
      </w:tblGrid>
      <w:tr>
        <w:tblPrEx>
          <w:tblLayout w:type="fixed"/>
          <w:tblCellMar>
            <w:top w:w="0" w:type="dxa"/>
            <w:left w:w="108" w:type="dxa"/>
            <w:bottom w:w="0" w:type="dxa"/>
            <w:right w:w="108" w:type="dxa"/>
          </w:tblCellMar>
        </w:tblPrEx>
        <w:trPr>
          <w:trHeight w:val="620" w:hRule="atLeast"/>
        </w:trPr>
        <w:tc>
          <w:tcPr>
            <w:tcW w:w="269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地段名称</w:t>
            </w:r>
          </w:p>
          <w:p>
            <w:pPr>
              <w:widowControl/>
              <w:jc w:val="center"/>
              <w:textAlignment w:val="center"/>
              <w:rPr>
                <w:rFonts w:ascii="宋体" w:hAnsi="宋体" w:cs="宋体"/>
                <w:color w:val="000000"/>
                <w:szCs w:val="21"/>
              </w:rPr>
            </w:pPr>
            <w:r>
              <w:rPr>
                <w:rFonts w:hint="eastAsia" w:ascii="宋体" w:hAnsi="宋体" w:cs="宋体"/>
                <w:color w:val="000000"/>
                <w:kern w:val="0"/>
                <w:szCs w:val="21"/>
              </w:rPr>
              <w:t>及起讫点</w:t>
            </w:r>
          </w:p>
        </w:tc>
        <w:tc>
          <w:tcPr>
            <w:tcW w:w="113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绿地                                                     总面积                                              （㎡）</w:t>
            </w:r>
          </w:p>
        </w:tc>
        <w:tc>
          <w:tcPr>
            <w:tcW w:w="5812"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其中（含廊架、汀步、6座木桥等设施）</w:t>
            </w:r>
          </w:p>
        </w:tc>
      </w:tr>
      <w:tr>
        <w:tblPrEx>
          <w:tblLayout w:type="fixed"/>
          <w:tblCellMar>
            <w:top w:w="0" w:type="dxa"/>
            <w:left w:w="108" w:type="dxa"/>
            <w:bottom w:w="0" w:type="dxa"/>
            <w:right w:w="108" w:type="dxa"/>
          </w:tblCellMar>
        </w:tblPrEx>
        <w:trPr>
          <w:trHeight w:val="1409" w:hRule="atLeast"/>
        </w:trPr>
        <w:tc>
          <w:tcPr>
            <w:tcW w:w="269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Cs w:val="21"/>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Cs w:val="21"/>
              </w:rPr>
            </w:pPr>
          </w:p>
        </w:tc>
        <w:tc>
          <w:tcPr>
            <w:tcW w:w="155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乔灌木</w:t>
            </w:r>
          </w:p>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色块地被                                                                                                         （㎡）</w:t>
            </w:r>
          </w:p>
        </w:tc>
        <w:tc>
          <w:tcPr>
            <w:tcW w:w="155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草坪</w:t>
            </w:r>
          </w:p>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（需复播                                                           黑麦草）</w:t>
            </w:r>
          </w:p>
          <w:p>
            <w:pPr>
              <w:widowControl/>
              <w:jc w:val="center"/>
              <w:textAlignment w:val="center"/>
              <w:rPr>
                <w:rFonts w:ascii="宋体" w:hAnsi="宋体" w:cs="宋体"/>
                <w:color w:val="000000"/>
                <w:szCs w:val="21"/>
              </w:rPr>
            </w:pPr>
            <w:r>
              <w:rPr>
                <w:rFonts w:hint="eastAsia" w:ascii="宋体" w:hAnsi="宋体" w:cs="宋体"/>
                <w:color w:val="000000"/>
                <w:kern w:val="0"/>
                <w:szCs w:val="21"/>
              </w:rPr>
              <w:t>（㎡）</w:t>
            </w:r>
          </w:p>
        </w:tc>
        <w:tc>
          <w:tcPr>
            <w:tcW w:w="18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 xml:space="preserve">园路广场等地面硬质铺装（㎡）                           </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草花                                                                        （㎡）</w:t>
            </w:r>
          </w:p>
        </w:tc>
      </w:tr>
      <w:tr>
        <w:tblPrEx>
          <w:tblLayout w:type="fixed"/>
          <w:tblCellMar>
            <w:top w:w="0" w:type="dxa"/>
            <w:left w:w="108" w:type="dxa"/>
            <w:bottom w:w="0" w:type="dxa"/>
            <w:right w:w="108" w:type="dxa"/>
          </w:tblCellMar>
        </w:tblPrEx>
        <w:trPr>
          <w:trHeight w:val="1754" w:hRule="atLeast"/>
        </w:trPr>
        <w:tc>
          <w:tcPr>
            <w:tcW w:w="269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南通市行政中心（含信访局）附属绿地位于南通市世纪大道6号：世纪大道北、府东路西、府西路东、江岳路南。</w:t>
            </w:r>
            <w:r>
              <w:rPr>
                <w:rFonts w:ascii="宋体" w:hAnsi="宋体" w:cs="宋体"/>
                <w:color w:val="000000"/>
                <w:kern w:val="0"/>
                <w:szCs w:val="21"/>
              </w:rPr>
              <w:t xml:space="preserve"> </w:t>
            </w:r>
            <w:r>
              <w:rPr>
                <w:rFonts w:hint="eastAsia" w:ascii="宋体" w:hAnsi="宋体" w:cs="宋体"/>
                <w:color w:val="000000"/>
                <w:kern w:val="0"/>
                <w:szCs w:val="21"/>
              </w:rPr>
              <w:t>（一级管护标准）</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155442</w:t>
            </w:r>
          </w:p>
        </w:tc>
        <w:tc>
          <w:tcPr>
            <w:tcW w:w="155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29668</w:t>
            </w:r>
          </w:p>
        </w:tc>
        <w:tc>
          <w:tcPr>
            <w:tcW w:w="155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117254</w:t>
            </w:r>
          </w:p>
        </w:tc>
        <w:tc>
          <w:tcPr>
            <w:tcW w:w="18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7716</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804</w:t>
            </w:r>
          </w:p>
        </w:tc>
      </w:tr>
    </w:tbl>
    <w:p>
      <w:pPr>
        <w:widowControl/>
        <w:adjustRightInd w:val="0"/>
        <w:snapToGrid w:val="0"/>
        <w:spacing w:line="360" w:lineRule="auto"/>
        <w:ind w:firstLine="480" w:firstLineChars="200"/>
        <w:jc w:val="left"/>
        <w:rPr>
          <w:rFonts w:ascii="宋体" w:hAnsi="宋体"/>
          <w:color w:val="000000"/>
          <w:sz w:val="24"/>
          <w:szCs w:val="24"/>
        </w:rPr>
      </w:pPr>
    </w:p>
    <w:p>
      <w:pPr>
        <w:keepNext/>
        <w:keepLines/>
        <w:adjustRightInd w:val="0"/>
        <w:snapToGrid w:val="0"/>
        <w:spacing w:line="360" w:lineRule="auto"/>
        <w:outlineLvl w:val="1"/>
        <w:rPr>
          <w:rFonts w:ascii="宋体" w:hAnsi="宋体" w:cs="宋体"/>
          <w:b/>
          <w:bCs/>
          <w:sz w:val="24"/>
          <w:szCs w:val="24"/>
        </w:rPr>
      </w:pPr>
      <w:bookmarkStart w:id="8" w:name="_Toc389065124"/>
      <w:bookmarkStart w:id="9" w:name="_Toc535487076"/>
      <w:r>
        <w:rPr>
          <w:rFonts w:hint="eastAsia" w:ascii="宋体" w:hAnsi="宋体" w:cs="宋体"/>
          <w:b/>
          <w:bCs/>
          <w:sz w:val="24"/>
          <w:szCs w:val="24"/>
        </w:rPr>
        <w:t>3. 投标人资格要求</w:t>
      </w:r>
      <w:bookmarkEnd w:id="8"/>
      <w:bookmarkEnd w:id="9"/>
    </w:p>
    <w:p>
      <w:pPr>
        <w:snapToGrid w:val="0"/>
        <w:spacing w:line="360" w:lineRule="auto"/>
        <w:ind w:firstLine="482" w:firstLineChars="200"/>
        <w:contextualSpacing/>
        <w:rPr>
          <w:rFonts w:ascii="Times New Roman" w:hAnsi="Times New Roman"/>
          <w:sz w:val="24"/>
          <w:szCs w:val="24"/>
        </w:rPr>
      </w:pPr>
      <w:r>
        <w:rPr>
          <w:rFonts w:hint="eastAsia" w:ascii="宋体" w:hAnsi="宋体"/>
          <w:b/>
          <w:sz w:val="24"/>
          <w:szCs w:val="24"/>
        </w:rPr>
        <w:t>3.1</w:t>
      </w:r>
      <w:r>
        <w:rPr>
          <w:rFonts w:hint="eastAsia" w:ascii="Times New Roman" w:hAnsi="Times New Roman"/>
          <w:sz w:val="24"/>
          <w:szCs w:val="24"/>
        </w:rPr>
        <w:t>有独立订立合同的能力；</w:t>
      </w:r>
    </w:p>
    <w:p>
      <w:pPr>
        <w:snapToGrid w:val="0"/>
        <w:spacing w:line="360" w:lineRule="auto"/>
        <w:ind w:firstLine="480" w:firstLineChars="200"/>
        <w:contextualSpacing/>
        <w:rPr>
          <w:rFonts w:ascii="Times New Roman" w:hAnsi="Times New Roman"/>
          <w:sz w:val="24"/>
          <w:szCs w:val="24"/>
        </w:rPr>
      </w:pPr>
      <w:r>
        <w:rPr>
          <w:rFonts w:hint="eastAsia" w:ascii="Times New Roman" w:hAnsi="Times New Roman"/>
          <w:sz w:val="24"/>
          <w:szCs w:val="24"/>
        </w:rPr>
        <w:t xml:space="preserve"> 核查内容：投标人持有效的企业法人营业执照。</w:t>
      </w:r>
    </w:p>
    <w:p>
      <w:pPr>
        <w:snapToGrid w:val="0"/>
        <w:spacing w:line="360" w:lineRule="auto"/>
        <w:ind w:firstLine="482" w:firstLineChars="200"/>
        <w:contextualSpacing/>
        <w:rPr>
          <w:rFonts w:ascii="宋体" w:hAnsi="宋体"/>
          <w:b/>
          <w:sz w:val="24"/>
          <w:szCs w:val="24"/>
        </w:rPr>
      </w:pPr>
      <w:r>
        <w:rPr>
          <w:rFonts w:hint="eastAsia" w:ascii="宋体" w:hAnsi="宋体"/>
          <w:b/>
          <w:sz w:val="24"/>
          <w:szCs w:val="24"/>
        </w:rPr>
        <w:t>3.2</w:t>
      </w:r>
      <w:r>
        <w:rPr>
          <w:rFonts w:hint="eastAsia" w:ascii="宋体" w:hAnsi="宋体"/>
          <w:sz w:val="24"/>
          <w:szCs w:val="24"/>
        </w:rPr>
        <w:t>投标单位承担南通市园林绿化管理处5年及以上绿地管护任务，并且近五年内（2020-2024年）至少获得一次绿地管护优秀标段称号。</w:t>
      </w:r>
    </w:p>
    <w:p>
      <w:pPr>
        <w:snapToGrid w:val="0"/>
        <w:spacing w:line="360" w:lineRule="auto"/>
        <w:ind w:firstLine="482" w:firstLineChars="200"/>
        <w:contextualSpacing/>
        <w:rPr>
          <w:rFonts w:ascii="宋体" w:hAnsi="宋体"/>
          <w:b/>
          <w:sz w:val="24"/>
          <w:szCs w:val="24"/>
        </w:rPr>
      </w:pPr>
      <w:r>
        <w:rPr>
          <w:rFonts w:hint="eastAsia" w:ascii="宋体" w:hAnsi="宋体"/>
          <w:b/>
          <w:sz w:val="24"/>
          <w:szCs w:val="24"/>
        </w:rPr>
        <w:t>核查内容：</w:t>
      </w:r>
      <w:r>
        <w:rPr>
          <w:rFonts w:hint="eastAsia" w:ascii="宋体" w:hAnsi="宋体"/>
          <w:color w:val="000000" w:themeColor="text1"/>
          <w:sz w:val="24"/>
          <w:szCs w:val="24"/>
        </w:rPr>
        <w:t>提供表彰文件等佐证材料。</w:t>
      </w:r>
    </w:p>
    <w:p>
      <w:pPr>
        <w:snapToGrid w:val="0"/>
        <w:spacing w:line="460" w:lineRule="exact"/>
        <w:ind w:firstLine="482" w:firstLineChars="200"/>
        <w:contextualSpacing/>
        <w:rPr>
          <w:rFonts w:ascii="Times New Roman" w:hAnsi="Times New Roman"/>
          <w:b/>
          <w:sz w:val="24"/>
          <w:szCs w:val="24"/>
        </w:rPr>
      </w:pPr>
      <w:r>
        <w:rPr>
          <w:rFonts w:hint="eastAsia" w:ascii="宋体" w:hAnsi="宋体"/>
          <w:b/>
          <w:sz w:val="24"/>
          <w:szCs w:val="24"/>
        </w:rPr>
        <w:t>3.3标段派驻项目负责人、现场负责人各</w:t>
      </w:r>
      <w:r>
        <w:rPr>
          <w:rFonts w:ascii="宋体" w:hAnsi="宋体"/>
          <w:b/>
          <w:color w:val="000000" w:themeColor="text1"/>
          <w:sz w:val="24"/>
          <w:szCs w:val="24"/>
        </w:rPr>
        <w:t>1名</w:t>
      </w:r>
      <w:r>
        <w:rPr>
          <w:rFonts w:hint="eastAsia" w:ascii="宋体" w:hAnsi="宋体"/>
          <w:b/>
          <w:color w:val="000000" w:themeColor="text1"/>
          <w:sz w:val="24"/>
          <w:szCs w:val="24"/>
        </w:rPr>
        <w:t>，技术</w:t>
      </w:r>
      <w:r>
        <w:rPr>
          <w:rFonts w:hint="eastAsia" w:ascii="Times New Roman" w:hAnsi="Times New Roman"/>
          <w:b/>
          <w:color w:val="000000" w:themeColor="text1"/>
          <w:sz w:val="24"/>
          <w:szCs w:val="24"/>
        </w:rPr>
        <w:t>工5</w:t>
      </w:r>
      <w:r>
        <w:rPr>
          <w:rFonts w:ascii="Times New Roman" w:hAnsi="Times New Roman"/>
          <w:b/>
          <w:color w:val="000000" w:themeColor="text1"/>
          <w:sz w:val="24"/>
          <w:szCs w:val="24"/>
        </w:rPr>
        <w:t>名</w:t>
      </w:r>
      <w:r>
        <w:rPr>
          <w:rFonts w:hint="eastAsia" w:ascii="Times New Roman" w:hAnsi="Times New Roman"/>
          <w:b/>
          <w:color w:val="000000" w:themeColor="text1"/>
          <w:sz w:val="24"/>
          <w:szCs w:val="24"/>
        </w:rPr>
        <w:t>，其中：</w:t>
      </w:r>
    </w:p>
    <w:p>
      <w:pPr>
        <w:widowControl/>
        <w:snapToGrid w:val="0"/>
        <w:spacing w:line="460" w:lineRule="exact"/>
        <w:ind w:firstLine="480" w:firstLineChars="200"/>
        <w:jc w:val="left"/>
        <w:rPr>
          <w:rFonts w:ascii="Times New Roman" w:hAnsi="Times New Roman"/>
          <w:sz w:val="24"/>
          <w:szCs w:val="24"/>
        </w:rPr>
      </w:pPr>
      <w:r>
        <w:rPr>
          <w:rFonts w:hint="eastAsia" w:ascii="Times New Roman" w:hAnsi="Times New Roman"/>
          <w:sz w:val="24"/>
          <w:szCs w:val="24"/>
        </w:rPr>
        <w:t>（1）项目负责人具备园林绿化及相关专业的工程师及以上职称，现场负责人具备园林绿化及相关专业的助理工程师及以上职称（或高级工及以上资格）。</w:t>
      </w:r>
    </w:p>
    <w:p>
      <w:pPr>
        <w:widowControl/>
        <w:snapToGrid w:val="0"/>
        <w:spacing w:line="460" w:lineRule="exact"/>
        <w:ind w:firstLine="480" w:firstLineChars="200"/>
        <w:jc w:val="left"/>
        <w:rPr>
          <w:rFonts w:ascii="Times New Roman" w:hAnsi="Times New Roman"/>
          <w:sz w:val="24"/>
          <w:szCs w:val="24"/>
        </w:rPr>
      </w:pPr>
      <w:r>
        <w:rPr>
          <w:rFonts w:hint="eastAsia" w:ascii="Times New Roman" w:hAnsi="Times New Roman"/>
          <w:sz w:val="24"/>
          <w:szCs w:val="24"/>
        </w:rPr>
        <w:t>（2）技术工具备园林绿化及相关专业的中级工及以上职业资格，或绿化养护作业五年以上的从业经历。</w:t>
      </w:r>
    </w:p>
    <w:p>
      <w:pPr>
        <w:widowControl/>
        <w:snapToGrid w:val="0"/>
        <w:spacing w:line="460" w:lineRule="exact"/>
        <w:ind w:firstLine="482" w:firstLineChars="200"/>
        <w:jc w:val="left"/>
        <w:rPr>
          <w:rFonts w:ascii="Times New Roman" w:hAnsi="Times New Roman"/>
          <w:b/>
          <w:sz w:val="24"/>
          <w:szCs w:val="24"/>
        </w:rPr>
      </w:pPr>
      <w:r>
        <w:rPr>
          <w:rFonts w:hint="eastAsia" w:ascii="Times New Roman" w:hAnsi="Times New Roman"/>
          <w:b/>
          <w:sz w:val="24"/>
          <w:szCs w:val="24"/>
        </w:rPr>
        <w:t>说明：</w:t>
      </w:r>
    </w:p>
    <w:p>
      <w:pPr>
        <w:widowControl/>
        <w:snapToGrid w:val="0"/>
        <w:spacing w:line="460" w:lineRule="exact"/>
        <w:ind w:firstLine="480" w:firstLineChars="200"/>
        <w:jc w:val="left"/>
        <w:rPr>
          <w:rFonts w:ascii="Times New Roman" w:hAnsi="Times New Roman"/>
          <w:sz w:val="24"/>
          <w:szCs w:val="24"/>
        </w:rPr>
      </w:pPr>
      <w:r>
        <w:rPr>
          <w:rFonts w:hint="eastAsia" w:ascii="Times New Roman" w:hAnsi="Times New Roman"/>
          <w:sz w:val="24"/>
          <w:szCs w:val="24"/>
        </w:rPr>
        <w:t>①</w:t>
      </w:r>
      <w:r>
        <w:rPr>
          <w:rFonts w:hint="eastAsia" w:ascii="Times New Roman" w:hAnsi="Times New Roman"/>
          <w:b/>
          <w:color w:val="0000FF"/>
          <w:sz w:val="24"/>
          <w:szCs w:val="24"/>
        </w:rPr>
        <w:t>上述人员不得相互兼任，承包期内年龄均60周岁内（即身份证出生日期在1967年10月31日以后）</w:t>
      </w:r>
      <w:r>
        <w:rPr>
          <w:rFonts w:hint="eastAsia" w:ascii="Times New Roman" w:hAnsi="Times New Roman"/>
          <w:sz w:val="24"/>
          <w:szCs w:val="24"/>
        </w:rPr>
        <w:t>，必须为投标企业正式员工，提供企业聘用合同和社保部门出具的“</w:t>
      </w:r>
      <w:r>
        <w:rPr>
          <w:rFonts w:hint="eastAsia" w:ascii="Times New Roman" w:hAnsi="Times New Roman"/>
          <w:b/>
          <w:color w:val="0000FF"/>
          <w:sz w:val="24"/>
          <w:szCs w:val="24"/>
        </w:rPr>
        <w:t>2025年9月份社保缴费记录</w:t>
      </w:r>
      <w:r>
        <w:rPr>
          <w:rFonts w:hint="eastAsia" w:ascii="Times New Roman" w:hAnsi="Times New Roman"/>
          <w:sz w:val="24"/>
          <w:szCs w:val="24"/>
        </w:rPr>
        <w:t>”（提供原件扫描件并标明缴费时间）。</w:t>
      </w:r>
    </w:p>
    <w:p>
      <w:pPr>
        <w:widowControl/>
        <w:snapToGrid w:val="0"/>
        <w:spacing w:line="460" w:lineRule="exact"/>
        <w:ind w:firstLine="480" w:firstLineChars="200"/>
        <w:jc w:val="left"/>
        <w:rPr>
          <w:rFonts w:ascii="Times New Roman" w:hAnsi="Times New Roman"/>
          <w:sz w:val="24"/>
          <w:szCs w:val="24"/>
        </w:rPr>
      </w:pPr>
      <w:r>
        <w:rPr>
          <w:rFonts w:hint="eastAsia" w:ascii="Times New Roman" w:hAnsi="Times New Roman"/>
          <w:sz w:val="24"/>
          <w:szCs w:val="24"/>
        </w:rPr>
        <w:t>②项目负责人最多可以有一个在管绿化养护项目，但不得为在管项目的现场负责人。项目现场负责人无在管绿化养护项目。两者均无在建项目。两者一年（从开标之日往前推）内均未发生过变更。</w:t>
      </w:r>
    </w:p>
    <w:p>
      <w:pPr>
        <w:snapToGrid w:val="0"/>
        <w:spacing w:line="460" w:lineRule="exact"/>
        <w:ind w:firstLine="480" w:firstLineChars="200"/>
        <w:contextualSpacing/>
        <w:rPr>
          <w:rFonts w:ascii="Times New Roman" w:hAnsi="Times New Roman"/>
          <w:sz w:val="24"/>
          <w:szCs w:val="24"/>
        </w:rPr>
      </w:pPr>
      <w:r>
        <w:rPr>
          <w:rFonts w:hint="eastAsia" w:ascii="Times New Roman" w:hAnsi="Times New Roman"/>
          <w:sz w:val="24"/>
          <w:szCs w:val="24"/>
        </w:rPr>
        <w:t>③项目负责人、现场负责人的职称证书不能体现园林绿化专业的，可提供园林绿化专业毕业证书。</w:t>
      </w:r>
    </w:p>
    <w:p>
      <w:pPr>
        <w:widowControl/>
        <w:snapToGrid w:val="0"/>
        <w:spacing w:line="460" w:lineRule="exact"/>
        <w:ind w:firstLine="480" w:firstLineChars="200"/>
        <w:jc w:val="left"/>
        <w:rPr>
          <w:rFonts w:ascii="Times New Roman" w:hAnsi="Times New Roman"/>
          <w:sz w:val="24"/>
          <w:szCs w:val="24"/>
        </w:rPr>
      </w:pPr>
      <w:r>
        <w:rPr>
          <w:rFonts w:hint="eastAsia" w:ascii="Times New Roman" w:hAnsi="Times New Roman"/>
          <w:sz w:val="24"/>
          <w:szCs w:val="24"/>
        </w:rPr>
        <w:t>④园林绿化及相关专业：包括园林（含园林规划设计、园林植物、风景园林、园林绿化等）、园艺、城市规划、景观、植物（含植保、森保等）、风景旅游、环境艺术等专业。</w:t>
      </w:r>
    </w:p>
    <w:p>
      <w:pPr>
        <w:snapToGrid w:val="0"/>
        <w:spacing w:line="360" w:lineRule="auto"/>
        <w:ind w:firstLine="480" w:firstLineChars="200"/>
        <w:contextualSpacing/>
        <w:rPr>
          <w:rFonts w:ascii="Times New Roman" w:hAnsi="Times New Roman"/>
          <w:sz w:val="24"/>
          <w:szCs w:val="24"/>
        </w:rPr>
      </w:pPr>
      <w:r>
        <w:rPr>
          <w:rFonts w:hint="eastAsia" w:ascii="Times New Roman" w:hAnsi="Times New Roman"/>
          <w:sz w:val="24"/>
          <w:szCs w:val="24"/>
        </w:rPr>
        <w:t>3.5本项目不接受联合体投标、不允许分包。</w:t>
      </w:r>
    </w:p>
    <w:p>
      <w:pPr>
        <w:snapToGrid w:val="0"/>
        <w:spacing w:line="360" w:lineRule="auto"/>
        <w:contextualSpacing/>
        <w:rPr>
          <w:rFonts w:ascii="Times New Roman" w:hAnsi="Times New Roman"/>
          <w:sz w:val="24"/>
          <w:szCs w:val="24"/>
        </w:rPr>
      </w:pPr>
      <w:r>
        <w:rPr>
          <w:rFonts w:hint="eastAsia" w:ascii="Times New Roman" w:hAnsi="Times New Roman"/>
          <w:sz w:val="24"/>
          <w:szCs w:val="24"/>
        </w:rPr>
        <w:t>4.</w:t>
      </w:r>
      <w:r>
        <w:rPr>
          <w:rFonts w:hint="eastAsia" w:ascii="Times New Roman" w:hAnsi="Times New Roman"/>
          <w:b/>
          <w:bCs/>
          <w:color w:val="0000FF"/>
          <w:sz w:val="24"/>
          <w:szCs w:val="24"/>
        </w:rPr>
        <w:t>投标人邀请名单</w:t>
      </w:r>
    </w:p>
    <w:p>
      <w:pPr>
        <w:snapToGrid w:val="0"/>
        <w:spacing w:line="360" w:lineRule="auto"/>
        <w:ind w:firstLine="482" w:firstLineChars="200"/>
        <w:contextualSpacing/>
        <w:rPr>
          <w:rFonts w:ascii="Times New Roman" w:hAnsi="Times New Roman"/>
          <w:b/>
          <w:color w:val="0000FF"/>
          <w:sz w:val="24"/>
          <w:szCs w:val="24"/>
        </w:rPr>
      </w:pPr>
      <w:r>
        <w:rPr>
          <w:rFonts w:hint="eastAsia" w:ascii="Times New Roman" w:hAnsi="Times New Roman"/>
          <w:b/>
          <w:color w:val="0000FF"/>
          <w:sz w:val="24"/>
          <w:szCs w:val="24"/>
        </w:rPr>
        <w:t>南通市绿化造园开发有限公司、南通新城园林绿化工程有限公司、无锡南长生态科技有限公司、无锡市园林工程有限责任公司、江苏锡州园林建设有限公司</w:t>
      </w:r>
    </w:p>
    <w:p>
      <w:pPr>
        <w:snapToGrid w:val="0"/>
        <w:spacing w:line="360" w:lineRule="auto"/>
        <w:contextualSpacing/>
        <w:rPr>
          <w:rFonts w:ascii="Times New Roman" w:hAnsi="Times New Roman"/>
          <w:b/>
          <w:bCs/>
          <w:sz w:val="24"/>
          <w:szCs w:val="24"/>
        </w:rPr>
      </w:pPr>
      <w:r>
        <w:rPr>
          <w:rFonts w:hint="eastAsia" w:ascii="Times New Roman" w:hAnsi="Times New Roman"/>
          <w:b/>
          <w:bCs/>
          <w:sz w:val="24"/>
          <w:szCs w:val="24"/>
        </w:rPr>
        <w:t xml:space="preserve">5. </w:t>
      </w:r>
      <w:bookmarkStart w:id="10" w:name="_Toc389065126"/>
      <w:r>
        <w:rPr>
          <w:rFonts w:hint="eastAsia" w:ascii="Times New Roman" w:hAnsi="Times New Roman"/>
          <w:b/>
          <w:bCs/>
          <w:sz w:val="24"/>
          <w:szCs w:val="24"/>
        </w:rPr>
        <w:t>招标文件的获取</w:t>
      </w:r>
      <w:bookmarkEnd w:id="10"/>
    </w:p>
    <w:p>
      <w:pPr>
        <w:snapToGrid w:val="0"/>
        <w:spacing w:line="360" w:lineRule="auto"/>
        <w:ind w:firstLine="480" w:firstLineChars="200"/>
        <w:contextualSpacing/>
        <w:rPr>
          <w:rFonts w:ascii="Times New Roman" w:hAnsi="Times New Roman"/>
          <w:sz w:val="24"/>
          <w:szCs w:val="24"/>
        </w:rPr>
      </w:pPr>
      <w:r>
        <w:rPr>
          <w:rFonts w:hint="eastAsia" w:ascii="Times New Roman" w:hAnsi="Times New Roman"/>
          <w:sz w:val="24"/>
          <w:szCs w:val="24"/>
        </w:rPr>
        <w:t>招标公告在</w:t>
      </w:r>
      <w:r>
        <w:rPr>
          <w:rFonts w:hint="eastAsia" w:ascii="Times New Roman" w:hAnsi="Times New Roman"/>
          <w:b/>
          <w:color w:val="0000FF"/>
          <w:sz w:val="24"/>
          <w:szCs w:val="24"/>
        </w:rPr>
        <w:t>南通市住房和城乡建设局官网</w:t>
      </w:r>
      <w:r>
        <w:rPr>
          <w:rFonts w:hint="eastAsia" w:ascii="Times New Roman" w:hAnsi="Times New Roman"/>
          <w:sz w:val="24"/>
          <w:szCs w:val="24"/>
        </w:rPr>
        <w:t>发布，招标文件、招标限价、工程量清单、标前答疑、补充通知等各投标人自行上网查询、下载，所有信息资料在网站上一经公布，视为投标人己知悉并且按要求进行了修改，招标人无需采取其他方式另行通知。</w:t>
      </w:r>
    </w:p>
    <w:p>
      <w:pPr>
        <w:keepNext/>
        <w:keepLines/>
        <w:adjustRightInd w:val="0"/>
        <w:snapToGrid w:val="0"/>
        <w:spacing w:line="360" w:lineRule="auto"/>
        <w:outlineLvl w:val="1"/>
        <w:rPr>
          <w:rFonts w:ascii="宋体" w:hAnsi="宋体" w:cs="宋体"/>
          <w:b/>
          <w:bCs/>
          <w:sz w:val="24"/>
          <w:szCs w:val="24"/>
        </w:rPr>
      </w:pPr>
      <w:r>
        <w:rPr>
          <w:rFonts w:hint="eastAsia" w:ascii="宋体" w:hAnsi="宋体" w:cs="宋体"/>
          <w:b/>
          <w:bCs/>
          <w:sz w:val="24"/>
          <w:szCs w:val="24"/>
        </w:rPr>
        <w:t>6. 投标文件递交截止时间及地点</w:t>
      </w:r>
    </w:p>
    <w:p>
      <w:pPr>
        <w:snapToGrid w:val="0"/>
        <w:spacing w:line="360" w:lineRule="auto"/>
        <w:ind w:firstLine="480" w:firstLineChars="200"/>
        <w:contextualSpacing/>
        <w:rPr>
          <w:rFonts w:ascii="宋体" w:hAnsi="宋体" w:cs="宋体"/>
          <w:sz w:val="24"/>
          <w:szCs w:val="24"/>
        </w:rPr>
      </w:pPr>
      <w:r>
        <w:rPr>
          <w:rFonts w:hint="eastAsia" w:ascii="宋体" w:hAnsi="宋体" w:cs="宋体"/>
          <w:sz w:val="24"/>
          <w:szCs w:val="24"/>
        </w:rPr>
        <w:t>6.1 投标截止时间为</w:t>
      </w:r>
      <w:r>
        <w:rPr>
          <w:rFonts w:hint="eastAsia" w:ascii="宋体" w:hAnsi="宋体" w:cs="宋体"/>
          <w:kern w:val="0"/>
          <w:sz w:val="24"/>
          <w:szCs w:val="24"/>
        </w:rPr>
        <w:t>：</w:t>
      </w:r>
      <w:r>
        <w:rPr>
          <w:rFonts w:hint="eastAsia" w:ascii="宋体" w:hAnsi="宋体" w:cs="宋体"/>
          <w:b/>
          <w:bCs/>
          <w:color w:val="0000FF"/>
          <w:sz w:val="24"/>
          <w:szCs w:val="24"/>
          <w:u w:val="single"/>
        </w:rPr>
        <w:t>2025年 10月2</w:t>
      </w:r>
      <w:r>
        <w:rPr>
          <w:rFonts w:hint="eastAsia" w:ascii="宋体" w:hAnsi="宋体" w:cs="宋体"/>
          <w:b/>
          <w:bCs/>
          <w:color w:val="0000FF"/>
          <w:sz w:val="24"/>
          <w:szCs w:val="24"/>
          <w:u w:val="single"/>
          <w:lang w:val="en-US" w:eastAsia="zh-CN"/>
        </w:rPr>
        <w:t>3</w:t>
      </w:r>
      <w:r>
        <w:rPr>
          <w:rFonts w:hint="eastAsia" w:ascii="宋体" w:hAnsi="宋体" w:cs="宋体"/>
          <w:b/>
          <w:bCs/>
          <w:color w:val="0000FF"/>
          <w:sz w:val="24"/>
          <w:szCs w:val="24"/>
          <w:u w:val="single"/>
        </w:rPr>
        <w:t>日周</w:t>
      </w:r>
      <w:r>
        <w:rPr>
          <w:rFonts w:hint="eastAsia" w:ascii="宋体" w:hAnsi="宋体" w:cs="宋体"/>
          <w:b/>
          <w:bCs/>
          <w:color w:val="0000FF"/>
          <w:sz w:val="24"/>
          <w:szCs w:val="24"/>
          <w:u w:val="single"/>
          <w:lang w:val="en-US" w:eastAsia="zh-CN"/>
        </w:rPr>
        <w:t>四</w:t>
      </w:r>
      <w:r>
        <w:rPr>
          <w:rFonts w:hint="eastAsia" w:ascii="宋体" w:hAnsi="宋体" w:cs="宋体"/>
          <w:b/>
          <w:bCs/>
          <w:color w:val="0000FF"/>
          <w:sz w:val="24"/>
          <w:szCs w:val="24"/>
          <w:u w:val="single"/>
        </w:rPr>
        <w:t>下午14:00</w:t>
      </w:r>
    </w:p>
    <w:p>
      <w:pPr>
        <w:snapToGrid w:val="0"/>
        <w:spacing w:line="360" w:lineRule="auto"/>
        <w:ind w:firstLine="480" w:firstLineChars="200"/>
        <w:contextualSpacing/>
        <w:rPr>
          <w:rFonts w:ascii="宋体" w:hAnsi="宋体" w:cs="宋体"/>
          <w:sz w:val="24"/>
          <w:szCs w:val="24"/>
        </w:rPr>
      </w:pPr>
      <w:r>
        <w:rPr>
          <w:rFonts w:hint="eastAsia" w:ascii="宋体" w:hAnsi="宋体" w:cs="宋体"/>
          <w:sz w:val="24"/>
          <w:szCs w:val="24"/>
        </w:rPr>
        <w:t>6.2逾期送达的投标文件，招标人不予受理。</w:t>
      </w:r>
    </w:p>
    <w:p>
      <w:pPr>
        <w:snapToGrid w:val="0"/>
        <w:spacing w:line="360" w:lineRule="auto"/>
        <w:ind w:firstLine="480" w:firstLineChars="200"/>
        <w:contextualSpacing/>
        <w:rPr>
          <w:rFonts w:ascii="宋体" w:hAnsi="宋体" w:cs="宋体"/>
          <w:sz w:val="24"/>
          <w:szCs w:val="24"/>
        </w:rPr>
      </w:pPr>
      <w:r>
        <w:rPr>
          <w:rFonts w:hint="eastAsia" w:ascii="宋体" w:hAnsi="宋体" w:cs="宋体"/>
          <w:sz w:val="24"/>
          <w:szCs w:val="24"/>
        </w:rPr>
        <w:t>6.3地点：</w:t>
      </w:r>
      <w:bookmarkStart w:id="11" w:name="OLE_LINK9"/>
      <w:bookmarkStart w:id="12" w:name="OLE_LINK3"/>
      <w:r>
        <w:rPr>
          <w:rFonts w:hint="eastAsia" w:ascii="宋体" w:hAnsi="宋体" w:cs="宋体"/>
          <w:b/>
          <w:bCs/>
          <w:sz w:val="24"/>
          <w:szCs w:val="24"/>
          <w:u w:val="single"/>
        </w:rPr>
        <w:t>南通市园林绿化管理处底楼会议室（园林路111号）</w:t>
      </w:r>
      <w:bookmarkEnd w:id="11"/>
      <w:bookmarkEnd w:id="12"/>
    </w:p>
    <w:p>
      <w:pPr>
        <w:keepNext/>
        <w:keepLines/>
        <w:adjustRightInd w:val="0"/>
        <w:snapToGrid w:val="0"/>
        <w:spacing w:line="360" w:lineRule="auto"/>
        <w:outlineLvl w:val="1"/>
        <w:rPr>
          <w:rFonts w:ascii="宋体" w:hAnsi="宋体" w:cs="宋体"/>
          <w:b/>
          <w:bCs/>
          <w:sz w:val="24"/>
          <w:szCs w:val="24"/>
        </w:rPr>
      </w:pPr>
      <w:r>
        <w:rPr>
          <w:rFonts w:hint="eastAsia" w:ascii="宋体" w:hAnsi="宋体" w:cs="宋体"/>
          <w:b/>
          <w:bCs/>
          <w:sz w:val="24"/>
          <w:szCs w:val="24"/>
        </w:rPr>
        <w:t>7. 资格审查</w:t>
      </w:r>
    </w:p>
    <w:p>
      <w:pPr>
        <w:snapToGrid w:val="0"/>
        <w:spacing w:line="360" w:lineRule="auto"/>
        <w:ind w:firstLine="480" w:firstLineChars="200"/>
        <w:contextualSpacing/>
        <w:rPr>
          <w:rFonts w:ascii="宋体" w:hAnsi="宋体" w:cs="宋体"/>
          <w:sz w:val="24"/>
          <w:szCs w:val="24"/>
        </w:rPr>
      </w:pPr>
      <w:r>
        <w:rPr>
          <w:rFonts w:hint="eastAsia" w:ascii="宋体" w:hAnsi="宋体" w:cs="宋体"/>
          <w:sz w:val="24"/>
          <w:szCs w:val="24"/>
        </w:rPr>
        <w:t xml:space="preserve">本次邀请招标采用资格后审方式进行资格审查，资格审查文件与投标文件同时递交。资格评审标准详见招标文件第三章。   </w:t>
      </w:r>
    </w:p>
    <w:p>
      <w:pPr>
        <w:keepNext/>
        <w:keepLines/>
        <w:snapToGrid w:val="0"/>
        <w:spacing w:line="360" w:lineRule="auto"/>
        <w:contextualSpacing/>
        <w:outlineLvl w:val="1"/>
        <w:rPr>
          <w:rFonts w:ascii="宋体" w:hAnsi="宋体" w:cs="宋体"/>
          <w:b/>
          <w:bCs/>
          <w:sz w:val="24"/>
          <w:szCs w:val="24"/>
        </w:rPr>
      </w:pPr>
      <w:bookmarkStart w:id="13" w:name="_Toc535487080"/>
      <w:r>
        <w:rPr>
          <w:rFonts w:ascii="宋体" w:hAnsi="宋体" w:cs="宋体"/>
          <w:b/>
          <w:bCs/>
          <w:sz w:val="24"/>
          <w:szCs w:val="24"/>
        </w:rPr>
        <w:t>8.开评标时间及地点</w:t>
      </w:r>
    </w:p>
    <w:p>
      <w:pPr>
        <w:snapToGrid w:val="0"/>
        <w:spacing w:line="360" w:lineRule="auto"/>
        <w:ind w:firstLine="480" w:firstLineChars="200"/>
        <w:contextualSpacing/>
        <w:rPr>
          <w:rFonts w:ascii="宋体" w:hAnsi="宋体" w:cs="宋体"/>
          <w:color w:val="0000FF"/>
          <w:sz w:val="24"/>
          <w:szCs w:val="24"/>
        </w:rPr>
      </w:pPr>
      <w:r>
        <w:rPr>
          <w:rFonts w:hint="eastAsia" w:ascii="宋体" w:hAnsi="宋体" w:cs="宋体"/>
          <w:sz w:val="24"/>
          <w:szCs w:val="24"/>
        </w:rPr>
        <w:t>时间：</w:t>
      </w:r>
      <w:r>
        <w:rPr>
          <w:rFonts w:hint="eastAsia" w:ascii="宋体" w:hAnsi="宋体" w:cs="宋体"/>
          <w:b/>
          <w:bCs/>
          <w:color w:val="0000FF"/>
          <w:sz w:val="24"/>
          <w:szCs w:val="24"/>
          <w:u w:val="single"/>
        </w:rPr>
        <w:t>2025年 10月2</w:t>
      </w:r>
      <w:r>
        <w:rPr>
          <w:rFonts w:hint="eastAsia" w:ascii="宋体" w:hAnsi="宋体" w:cs="宋体"/>
          <w:b/>
          <w:bCs/>
          <w:color w:val="0000FF"/>
          <w:sz w:val="24"/>
          <w:szCs w:val="24"/>
          <w:u w:val="single"/>
          <w:lang w:val="en-US" w:eastAsia="zh-CN"/>
        </w:rPr>
        <w:t>3</w:t>
      </w:r>
      <w:r>
        <w:rPr>
          <w:rFonts w:hint="eastAsia" w:ascii="宋体" w:hAnsi="宋体" w:cs="宋体"/>
          <w:b/>
          <w:bCs/>
          <w:color w:val="0000FF"/>
          <w:sz w:val="24"/>
          <w:szCs w:val="24"/>
          <w:u w:val="single"/>
        </w:rPr>
        <w:t>日周</w:t>
      </w:r>
      <w:r>
        <w:rPr>
          <w:rFonts w:hint="eastAsia" w:ascii="宋体" w:hAnsi="宋体" w:cs="宋体"/>
          <w:b/>
          <w:bCs/>
          <w:color w:val="0000FF"/>
          <w:sz w:val="24"/>
          <w:szCs w:val="24"/>
          <w:u w:val="single"/>
          <w:lang w:val="en-US" w:eastAsia="zh-CN"/>
        </w:rPr>
        <w:t>四</w:t>
      </w:r>
      <w:r>
        <w:rPr>
          <w:rFonts w:hint="eastAsia" w:ascii="宋体" w:hAnsi="宋体" w:cs="宋体"/>
          <w:b/>
          <w:bCs/>
          <w:color w:val="0000FF"/>
          <w:sz w:val="24"/>
          <w:szCs w:val="24"/>
          <w:u w:val="single"/>
        </w:rPr>
        <w:t>下午14:00</w:t>
      </w:r>
    </w:p>
    <w:p>
      <w:pPr>
        <w:snapToGrid w:val="0"/>
        <w:spacing w:line="360" w:lineRule="auto"/>
        <w:ind w:firstLine="480" w:firstLineChars="200"/>
        <w:contextualSpacing/>
        <w:rPr>
          <w:rFonts w:ascii="宋体" w:hAnsi="宋体" w:cs="宋体"/>
          <w:sz w:val="24"/>
          <w:szCs w:val="24"/>
        </w:rPr>
      </w:pPr>
      <w:r>
        <w:rPr>
          <w:rFonts w:hint="eastAsia" w:ascii="宋体" w:hAnsi="宋体" w:cs="宋体"/>
          <w:sz w:val="24"/>
          <w:szCs w:val="24"/>
        </w:rPr>
        <w:t>地点：</w:t>
      </w:r>
      <w:r>
        <w:rPr>
          <w:rFonts w:hint="eastAsia" w:ascii="宋体" w:hAnsi="宋体" w:cs="宋体"/>
          <w:b/>
          <w:bCs/>
          <w:sz w:val="24"/>
          <w:szCs w:val="24"/>
          <w:u w:val="single"/>
        </w:rPr>
        <w:t>南通市园林绿化管理处底楼会议室（园林路111号）</w:t>
      </w:r>
    </w:p>
    <w:p>
      <w:pPr>
        <w:keepNext/>
        <w:keepLines/>
        <w:adjustRightInd w:val="0"/>
        <w:snapToGrid w:val="0"/>
        <w:spacing w:line="360" w:lineRule="auto"/>
        <w:outlineLvl w:val="1"/>
        <w:rPr>
          <w:rFonts w:ascii="宋体" w:hAnsi="宋体" w:cs="宋体"/>
          <w:b/>
          <w:bCs/>
          <w:sz w:val="24"/>
          <w:szCs w:val="24"/>
        </w:rPr>
      </w:pPr>
      <w:r>
        <w:rPr>
          <w:rFonts w:hint="eastAsia" w:ascii="宋体" w:hAnsi="宋体" w:cs="宋体"/>
          <w:b/>
          <w:bCs/>
          <w:sz w:val="24"/>
          <w:szCs w:val="24"/>
        </w:rPr>
        <w:t>9</w:t>
      </w:r>
      <w:r>
        <w:rPr>
          <w:rFonts w:ascii="宋体" w:hAnsi="宋体" w:cs="宋体"/>
          <w:b/>
          <w:bCs/>
          <w:sz w:val="24"/>
          <w:szCs w:val="24"/>
        </w:rPr>
        <w:t>.评标方法</w:t>
      </w:r>
      <w:bookmarkEnd w:id="13"/>
    </w:p>
    <w:p>
      <w:pPr>
        <w:snapToGrid w:val="0"/>
        <w:spacing w:line="360" w:lineRule="auto"/>
        <w:ind w:firstLine="480" w:firstLineChars="200"/>
        <w:contextualSpacing/>
        <w:rPr>
          <w:rFonts w:ascii="宋体" w:hAnsi="宋体" w:cs="宋体"/>
          <w:sz w:val="24"/>
          <w:szCs w:val="24"/>
        </w:rPr>
      </w:pPr>
      <w:r>
        <w:rPr>
          <w:rFonts w:hint="eastAsia" w:ascii="宋体" w:hAnsi="宋体" w:cs="宋体"/>
          <w:sz w:val="24"/>
          <w:szCs w:val="24"/>
        </w:rPr>
        <w:t>本次邀请招标采用</w:t>
      </w:r>
      <w:r>
        <w:rPr>
          <w:rFonts w:hint="eastAsia" w:ascii="宋体" w:hAnsi="宋体" w:cs="宋体"/>
          <w:sz w:val="24"/>
          <w:szCs w:val="24"/>
          <w:u w:val="single"/>
        </w:rPr>
        <w:t xml:space="preserve"> </w:t>
      </w:r>
      <w:r>
        <w:rPr>
          <w:rFonts w:ascii="宋体" w:hAnsi="宋体" w:cs="宋体"/>
          <w:b/>
          <w:sz w:val="24"/>
          <w:szCs w:val="24"/>
          <w:u w:val="single"/>
        </w:rPr>
        <w:fldChar w:fldCharType="begin"/>
      </w:r>
      <w:r>
        <w:rPr>
          <w:rFonts w:hint="eastAsia" w:ascii="宋体" w:hAnsi="宋体" w:cs="宋体"/>
          <w:b/>
          <w:sz w:val="24"/>
          <w:szCs w:val="24"/>
          <w:u w:val="single"/>
        </w:rPr>
        <w:instrText xml:space="preserve">eq \o\ac(</w:instrText>
      </w:r>
      <w:r>
        <w:rPr>
          <w:rFonts w:hint="eastAsia" w:ascii="宋体" w:hAnsi="宋体" w:cs="宋体"/>
          <w:b/>
          <w:position w:val="-4"/>
          <w:sz w:val="36"/>
          <w:szCs w:val="24"/>
          <w:u w:val="single"/>
        </w:rPr>
        <w:instrText xml:space="preserve">□</w:instrText>
      </w:r>
      <w:r>
        <w:rPr>
          <w:rFonts w:hint="eastAsia" w:ascii="宋体" w:hAnsi="宋体" w:cs="宋体"/>
          <w:b/>
          <w:sz w:val="24"/>
          <w:szCs w:val="24"/>
          <w:u w:val="single"/>
        </w:rPr>
        <w:instrText xml:space="preserve">,√)</w:instrText>
      </w:r>
      <w:r>
        <w:rPr>
          <w:rFonts w:ascii="宋体" w:hAnsi="宋体" w:cs="宋体"/>
          <w:b/>
          <w:sz w:val="24"/>
          <w:szCs w:val="24"/>
          <w:u w:val="single"/>
        </w:rPr>
        <w:fldChar w:fldCharType="end"/>
      </w:r>
      <w:r>
        <w:rPr>
          <w:rFonts w:hint="eastAsia" w:ascii="宋体" w:hAnsi="宋体" w:cs="宋体"/>
          <w:sz w:val="24"/>
          <w:szCs w:val="24"/>
          <w:u w:val="single"/>
        </w:rPr>
        <w:t xml:space="preserve">综合评估法  □经评审的最低投标价法  □合理低价法  </w:t>
      </w:r>
      <w:r>
        <w:rPr>
          <w:rFonts w:hint="eastAsia" w:ascii="宋体" w:hAnsi="宋体" w:cs="宋体"/>
          <w:sz w:val="24"/>
          <w:szCs w:val="24"/>
        </w:rPr>
        <w:t>，评标标准和方法详见招标文件第三章。</w:t>
      </w:r>
    </w:p>
    <w:p>
      <w:pPr>
        <w:keepNext/>
        <w:keepLines/>
        <w:adjustRightInd w:val="0"/>
        <w:snapToGrid w:val="0"/>
        <w:spacing w:line="360" w:lineRule="auto"/>
        <w:outlineLvl w:val="1"/>
        <w:rPr>
          <w:rFonts w:ascii="宋体" w:hAnsi="宋体" w:cs="宋体"/>
          <w:b/>
          <w:bCs/>
          <w:strike/>
          <w:sz w:val="24"/>
          <w:szCs w:val="24"/>
        </w:rPr>
      </w:pPr>
      <w:bookmarkStart w:id="14" w:name="_Toc535487081"/>
      <w:r>
        <w:rPr>
          <w:rFonts w:hint="eastAsia" w:ascii="宋体" w:hAnsi="宋体" w:cs="宋体"/>
          <w:b/>
          <w:bCs/>
          <w:sz w:val="24"/>
          <w:szCs w:val="24"/>
        </w:rPr>
        <w:t>10.发布公告的媒介</w:t>
      </w:r>
      <w:bookmarkEnd w:id="14"/>
      <w:r>
        <w:rPr>
          <w:rFonts w:hint="eastAsia" w:ascii="宋体" w:hAnsi="宋体" w:cs="宋体"/>
          <w:b/>
          <w:bCs/>
          <w:sz w:val="24"/>
          <w:szCs w:val="24"/>
        </w:rPr>
        <w:t>：</w:t>
      </w:r>
    </w:p>
    <w:p>
      <w:pPr>
        <w:snapToGrid w:val="0"/>
        <w:spacing w:line="360" w:lineRule="auto"/>
        <w:ind w:firstLine="480" w:firstLineChars="200"/>
        <w:contextualSpacing/>
        <w:rPr>
          <w:rFonts w:ascii="宋体" w:hAnsi="宋体" w:cs="宋体"/>
          <w:b/>
          <w:bCs/>
          <w:sz w:val="24"/>
          <w:szCs w:val="24"/>
        </w:rPr>
      </w:pPr>
      <w:r>
        <w:rPr>
          <w:rFonts w:hint="eastAsia" w:ascii="Times New Roman" w:hAnsi="Times New Roman"/>
          <w:sz w:val="24"/>
          <w:szCs w:val="24"/>
        </w:rPr>
        <w:t>在</w:t>
      </w:r>
      <w:r>
        <w:rPr>
          <w:rFonts w:hint="eastAsia" w:ascii="Times New Roman" w:hAnsi="Times New Roman"/>
          <w:b/>
          <w:color w:val="0000FF"/>
          <w:sz w:val="24"/>
          <w:szCs w:val="24"/>
        </w:rPr>
        <w:t>南通市住房和城乡建设局官网</w:t>
      </w:r>
      <w:r>
        <w:rPr>
          <w:rFonts w:hint="eastAsia" w:ascii="Times New Roman" w:hAnsi="Times New Roman"/>
          <w:sz w:val="24"/>
          <w:szCs w:val="24"/>
        </w:rPr>
        <w:t>发布</w:t>
      </w:r>
    </w:p>
    <w:p>
      <w:pPr>
        <w:spacing w:line="360" w:lineRule="auto"/>
        <w:rPr>
          <w:rFonts w:ascii="宋体" w:hAnsi="宋体" w:cs="宋体"/>
          <w:b/>
          <w:bCs/>
          <w:sz w:val="24"/>
          <w:szCs w:val="24"/>
        </w:rPr>
      </w:pPr>
      <w:bookmarkStart w:id="15" w:name="_Toc32718"/>
      <w:bookmarkStart w:id="16" w:name="_Toc389065130"/>
      <w:r>
        <w:rPr>
          <w:rFonts w:hint="eastAsia" w:ascii="宋体" w:hAnsi="宋体" w:cs="宋体"/>
          <w:b/>
          <w:bCs/>
          <w:sz w:val="24"/>
          <w:szCs w:val="24"/>
        </w:rPr>
        <w:t>11.联系方式：</w:t>
      </w:r>
    </w:p>
    <w:p>
      <w:pPr>
        <w:spacing w:line="360" w:lineRule="auto"/>
        <w:ind w:firstLine="360" w:firstLineChars="150"/>
        <w:rPr>
          <w:rFonts w:ascii="宋体" w:hAnsi="宋体"/>
          <w:sz w:val="24"/>
          <w:szCs w:val="24"/>
        </w:rPr>
      </w:pPr>
      <w:r>
        <w:rPr>
          <w:rFonts w:hint="eastAsia" w:ascii="宋体" w:hAnsi="宋体"/>
          <w:sz w:val="24"/>
          <w:szCs w:val="24"/>
        </w:rPr>
        <w:t>招标机构：</w:t>
      </w:r>
      <w:r>
        <w:rPr>
          <w:rFonts w:hint="eastAsia" w:ascii="宋体" w:hAnsi="宋体"/>
          <w:sz w:val="24"/>
          <w:szCs w:val="24"/>
          <w:u w:val="single"/>
        </w:rPr>
        <w:t>南通市园林绿化管理处</w:t>
      </w:r>
    </w:p>
    <w:p>
      <w:pPr>
        <w:spacing w:line="360" w:lineRule="auto"/>
        <w:ind w:firstLine="360" w:firstLineChars="150"/>
        <w:rPr>
          <w:rFonts w:ascii="宋体" w:hAnsi="宋体"/>
          <w:sz w:val="24"/>
          <w:szCs w:val="24"/>
          <w:u w:val="single"/>
        </w:rPr>
      </w:pPr>
      <w:r>
        <w:rPr>
          <w:rFonts w:hint="eastAsia" w:ascii="宋体" w:hAnsi="宋体"/>
          <w:sz w:val="24"/>
          <w:szCs w:val="24"/>
        </w:rPr>
        <w:t>招标人地址：</w:t>
      </w:r>
      <w:r>
        <w:rPr>
          <w:rFonts w:hint="eastAsia" w:ascii="宋体" w:hAnsi="宋体"/>
          <w:sz w:val="24"/>
          <w:szCs w:val="24"/>
          <w:u w:val="single"/>
        </w:rPr>
        <w:t>南通市崇川区园林路111号（与观阳路交叉口的西南角）</w:t>
      </w:r>
    </w:p>
    <w:p>
      <w:pPr>
        <w:spacing w:line="360" w:lineRule="auto"/>
        <w:ind w:firstLine="360" w:firstLineChars="150"/>
        <w:rPr>
          <w:rFonts w:ascii="宋体" w:hAnsi="宋体"/>
          <w:sz w:val="24"/>
          <w:szCs w:val="24"/>
        </w:rPr>
      </w:pPr>
      <w:r>
        <w:rPr>
          <w:rFonts w:hint="eastAsia" w:ascii="宋体" w:hAnsi="宋体"/>
          <w:sz w:val="24"/>
          <w:szCs w:val="24"/>
        </w:rPr>
        <w:t>联系人：</w:t>
      </w:r>
      <w:r>
        <w:rPr>
          <w:rFonts w:hint="eastAsia" w:ascii="宋体" w:hAnsi="宋体"/>
          <w:sz w:val="24"/>
          <w:szCs w:val="24"/>
          <w:u w:val="single"/>
        </w:rPr>
        <w:t xml:space="preserve">  仇女士   </w:t>
      </w:r>
      <w:r>
        <w:rPr>
          <w:rFonts w:hint="eastAsia" w:ascii="宋体" w:hAnsi="宋体"/>
          <w:sz w:val="24"/>
          <w:szCs w:val="24"/>
        </w:rPr>
        <w:t xml:space="preserve">  </w:t>
      </w:r>
    </w:p>
    <w:p>
      <w:pPr>
        <w:spacing w:line="360" w:lineRule="auto"/>
        <w:ind w:firstLine="360" w:firstLineChars="150"/>
        <w:rPr>
          <w:rFonts w:ascii="宋体" w:hAnsi="宋体"/>
          <w:sz w:val="24"/>
          <w:szCs w:val="24"/>
        </w:rPr>
      </w:pPr>
      <w:r>
        <w:rPr>
          <w:rFonts w:hint="eastAsia" w:ascii="宋体" w:hAnsi="宋体"/>
          <w:sz w:val="24"/>
          <w:szCs w:val="24"/>
        </w:rPr>
        <w:t>电话：</w:t>
      </w:r>
      <w:r>
        <w:rPr>
          <w:rFonts w:hint="eastAsia" w:ascii="宋体" w:hAnsi="宋体"/>
          <w:sz w:val="24"/>
          <w:szCs w:val="24"/>
          <w:u w:val="single"/>
        </w:rPr>
        <w:t>0513-85010189</w:t>
      </w:r>
      <w:r>
        <w:rPr>
          <w:rFonts w:hint="eastAsia" w:ascii="宋体" w:hAnsi="宋体"/>
          <w:sz w:val="24"/>
          <w:szCs w:val="24"/>
        </w:rPr>
        <w:t xml:space="preserve">     </w:t>
      </w:r>
    </w:p>
    <w:p>
      <w:pPr>
        <w:spacing w:line="360" w:lineRule="auto"/>
        <w:ind w:firstLine="360" w:firstLineChars="150"/>
        <w:rPr>
          <w:rFonts w:ascii="宋体" w:hAnsi="宋体"/>
          <w:sz w:val="24"/>
          <w:szCs w:val="24"/>
        </w:rPr>
      </w:pPr>
      <w:r>
        <w:rPr>
          <w:rFonts w:hint="eastAsia" w:ascii="宋体" w:hAnsi="宋体"/>
          <w:sz w:val="24"/>
          <w:szCs w:val="24"/>
        </w:rPr>
        <w:t>传真：</w:t>
      </w:r>
      <w:r>
        <w:rPr>
          <w:rFonts w:hint="eastAsia" w:ascii="宋体" w:hAnsi="宋体"/>
          <w:sz w:val="24"/>
          <w:szCs w:val="24"/>
          <w:u w:val="single"/>
        </w:rPr>
        <w:t>0513-83586255</w:t>
      </w:r>
      <w:r>
        <w:rPr>
          <w:rFonts w:hint="eastAsia" w:ascii="宋体" w:hAnsi="宋体"/>
          <w:sz w:val="24"/>
          <w:szCs w:val="24"/>
        </w:rPr>
        <w:t xml:space="preserve">     </w:t>
      </w:r>
    </w:p>
    <w:p>
      <w:pPr>
        <w:spacing w:line="360" w:lineRule="auto"/>
        <w:ind w:firstLine="360" w:firstLineChars="150"/>
        <w:rPr>
          <w:rFonts w:ascii="宋体" w:hAnsi="宋体"/>
          <w:sz w:val="24"/>
          <w:szCs w:val="24"/>
          <w:u w:val="single"/>
        </w:rPr>
      </w:pPr>
      <w:r>
        <w:rPr>
          <w:rFonts w:hint="eastAsia" w:ascii="宋体" w:hAnsi="宋体"/>
          <w:sz w:val="24"/>
          <w:szCs w:val="24"/>
        </w:rPr>
        <w:t>邮编：</w:t>
      </w:r>
      <w:r>
        <w:rPr>
          <w:rFonts w:hint="eastAsia" w:ascii="宋体" w:hAnsi="宋体"/>
          <w:sz w:val="24"/>
          <w:szCs w:val="24"/>
          <w:u w:val="single"/>
        </w:rPr>
        <w:t>226001</w:t>
      </w:r>
    </w:p>
    <w:bookmarkEnd w:id="1"/>
    <w:bookmarkEnd w:id="15"/>
    <w:bookmarkEnd w:id="16"/>
    <w:p>
      <w:pPr>
        <w:adjustRightInd w:val="0"/>
        <w:snapToGrid w:val="0"/>
        <w:spacing w:line="360" w:lineRule="auto"/>
        <w:jc w:val="center"/>
        <w:rPr>
          <w:rFonts w:ascii="宋体" w:hAnsi="宋体"/>
          <w:szCs w:val="24"/>
        </w:rPr>
      </w:pPr>
      <w:r>
        <w:rPr>
          <w:rFonts w:ascii="宋体" w:hAnsi="宋体"/>
          <w:color w:val="000000" w:themeColor="text1"/>
          <w:sz w:val="44"/>
          <w:szCs w:val="44"/>
        </w:rPr>
        <w:br w:type="page"/>
      </w:r>
      <w:r>
        <w:rPr>
          <w:rFonts w:ascii="宋体" w:hAnsi="宋体"/>
          <w:sz w:val="44"/>
          <w:szCs w:val="44"/>
        </w:rPr>
        <w:t>第二章  投标人须知</w:t>
      </w:r>
      <w:bookmarkEnd w:id="3"/>
    </w:p>
    <w:p>
      <w:pPr>
        <w:keepNext/>
        <w:keepLines/>
        <w:spacing w:line="360" w:lineRule="auto"/>
        <w:jc w:val="center"/>
        <w:outlineLvl w:val="0"/>
        <w:rPr>
          <w:rFonts w:ascii="宋体" w:hAnsi="宋体"/>
          <w:b/>
          <w:bCs/>
          <w:kern w:val="44"/>
          <w:sz w:val="32"/>
          <w:szCs w:val="44"/>
        </w:rPr>
      </w:pPr>
      <w:bookmarkStart w:id="17" w:name="_Toc535487082"/>
      <w:bookmarkStart w:id="18" w:name="_Toc389065143"/>
      <w:r>
        <w:rPr>
          <w:rFonts w:ascii="宋体" w:hAnsi="宋体"/>
          <w:b/>
          <w:bCs/>
          <w:kern w:val="44"/>
          <w:sz w:val="32"/>
          <w:szCs w:val="44"/>
        </w:rPr>
        <w:t>投标人须知前附表</w:t>
      </w:r>
      <w:bookmarkEnd w:id="17"/>
      <w:bookmarkEnd w:id="18"/>
    </w:p>
    <w:tbl>
      <w:tblPr>
        <w:tblStyle w:val="5"/>
        <w:tblW w:w="10135"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14"/>
        <w:gridCol w:w="1848"/>
        <w:gridCol w:w="737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blHeader/>
          <w:jc w:val="center"/>
        </w:trPr>
        <w:tc>
          <w:tcPr>
            <w:tcW w:w="914" w:type="dxa"/>
            <w:shd w:val="clear" w:color="auto" w:fill="E6E6E6"/>
            <w:vAlign w:val="center"/>
          </w:tcPr>
          <w:p>
            <w:pPr>
              <w:adjustRightInd w:val="0"/>
              <w:snapToGrid w:val="0"/>
              <w:spacing w:line="320" w:lineRule="exact"/>
              <w:jc w:val="center"/>
              <w:rPr>
                <w:rFonts w:ascii="宋体" w:hAnsi="宋体" w:cs="宋体"/>
                <w:b/>
                <w:szCs w:val="21"/>
              </w:rPr>
            </w:pPr>
            <w:r>
              <w:rPr>
                <w:rFonts w:hint="eastAsia" w:ascii="宋体" w:hAnsi="宋体" w:cs="宋体"/>
                <w:b/>
                <w:szCs w:val="21"/>
              </w:rPr>
              <w:t>条款号</w:t>
            </w:r>
          </w:p>
        </w:tc>
        <w:tc>
          <w:tcPr>
            <w:tcW w:w="1848" w:type="dxa"/>
            <w:shd w:val="clear" w:color="auto" w:fill="E6E6E6"/>
            <w:vAlign w:val="center"/>
          </w:tcPr>
          <w:p>
            <w:pPr>
              <w:adjustRightInd w:val="0"/>
              <w:snapToGrid w:val="0"/>
              <w:spacing w:line="320" w:lineRule="exact"/>
              <w:jc w:val="center"/>
              <w:rPr>
                <w:rFonts w:ascii="宋体" w:hAnsi="宋体" w:cs="宋体"/>
                <w:b/>
                <w:szCs w:val="21"/>
              </w:rPr>
            </w:pPr>
            <w:r>
              <w:rPr>
                <w:rFonts w:hint="eastAsia" w:ascii="宋体" w:hAnsi="宋体" w:cs="宋体"/>
                <w:b/>
                <w:szCs w:val="21"/>
              </w:rPr>
              <w:t>条 款 名 称</w:t>
            </w:r>
          </w:p>
        </w:tc>
        <w:tc>
          <w:tcPr>
            <w:tcW w:w="7373" w:type="dxa"/>
            <w:shd w:val="clear" w:color="auto" w:fill="E6E6E6"/>
            <w:vAlign w:val="center"/>
          </w:tcPr>
          <w:p>
            <w:pPr>
              <w:adjustRightInd w:val="0"/>
              <w:snapToGrid w:val="0"/>
              <w:spacing w:line="320" w:lineRule="exact"/>
              <w:jc w:val="center"/>
              <w:rPr>
                <w:rFonts w:ascii="宋体" w:hAnsi="宋体" w:cs="宋体"/>
                <w:b/>
                <w:szCs w:val="21"/>
              </w:rPr>
            </w:pPr>
            <w:r>
              <w:rPr>
                <w:rFonts w:hint="eastAsia" w:ascii="宋体" w:hAnsi="宋体" w:cs="宋体"/>
                <w:b/>
                <w:szCs w:val="21"/>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781" w:hRule="atLeast"/>
          <w:jc w:val="center"/>
        </w:trPr>
        <w:tc>
          <w:tcPr>
            <w:tcW w:w="914" w:type="dxa"/>
            <w:vAlign w:val="center"/>
          </w:tcPr>
          <w:p>
            <w:pPr>
              <w:adjustRightInd w:val="0"/>
              <w:snapToGrid w:val="0"/>
              <w:spacing w:line="320" w:lineRule="exact"/>
              <w:jc w:val="center"/>
              <w:rPr>
                <w:rFonts w:ascii="宋体" w:hAnsi="宋体" w:cs="宋体"/>
                <w:szCs w:val="21"/>
              </w:rPr>
            </w:pPr>
            <w:r>
              <w:rPr>
                <w:rFonts w:hint="eastAsia" w:ascii="宋体" w:hAnsi="宋体" w:cs="宋体"/>
                <w:szCs w:val="21"/>
              </w:rPr>
              <w:t>1.1.2</w:t>
            </w:r>
          </w:p>
        </w:tc>
        <w:tc>
          <w:tcPr>
            <w:tcW w:w="1848" w:type="dxa"/>
            <w:vAlign w:val="center"/>
          </w:tcPr>
          <w:p>
            <w:pPr>
              <w:adjustRightInd w:val="0"/>
              <w:snapToGrid w:val="0"/>
              <w:spacing w:line="320" w:lineRule="exact"/>
              <w:jc w:val="center"/>
              <w:rPr>
                <w:rFonts w:ascii="宋体" w:hAnsi="宋体" w:cs="宋体"/>
                <w:szCs w:val="21"/>
              </w:rPr>
            </w:pPr>
            <w:r>
              <w:rPr>
                <w:rFonts w:hint="eastAsia" w:ascii="宋体" w:hAnsi="宋体" w:cs="宋体"/>
                <w:szCs w:val="21"/>
              </w:rPr>
              <w:t>招标人</w:t>
            </w:r>
          </w:p>
        </w:tc>
        <w:tc>
          <w:tcPr>
            <w:tcW w:w="7373" w:type="dxa"/>
            <w:vAlign w:val="center"/>
          </w:tcPr>
          <w:p>
            <w:pPr>
              <w:adjustRightInd w:val="0"/>
              <w:snapToGrid w:val="0"/>
              <w:spacing w:line="320" w:lineRule="exact"/>
              <w:jc w:val="left"/>
              <w:rPr>
                <w:rFonts w:ascii="宋体" w:hAnsi="宋体" w:cs="宋体"/>
                <w:szCs w:val="21"/>
              </w:rPr>
            </w:pPr>
            <w:r>
              <w:rPr>
                <w:rFonts w:hint="eastAsia" w:ascii="宋体" w:hAnsi="宋体" w:cs="宋体"/>
                <w:szCs w:val="21"/>
              </w:rPr>
              <w:t>名称：南通市园林绿化管理处</w:t>
            </w:r>
          </w:p>
          <w:p>
            <w:pPr>
              <w:adjustRightInd w:val="0"/>
              <w:snapToGrid w:val="0"/>
              <w:spacing w:line="320" w:lineRule="exact"/>
              <w:jc w:val="left"/>
              <w:rPr>
                <w:rFonts w:ascii="宋体" w:hAnsi="宋体" w:cs="宋体"/>
                <w:szCs w:val="21"/>
              </w:rPr>
            </w:pPr>
            <w:r>
              <w:rPr>
                <w:rFonts w:hint="eastAsia" w:ascii="宋体" w:hAnsi="宋体" w:cs="宋体"/>
                <w:szCs w:val="21"/>
              </w:rPr>
              <w:t>地址：南通市崇川区园林路111号（与观阳路交叉口的西南角）</w:t>
            </w:r>
          </w:p>
          <w:p>
            <w:pPr>
              <w:adjustRightInd w:val="0"/>
              <w:snapToGrid w:val="0"/>
              <w:spacing w:line="320" w:lineRule="exact"/>
              <w:jc w:val="left"/>
              <w:rPr>
                <w:rFonts w:ascii="宋体" w:hAnsi="宋体" w:cs="宋体"/>
                <w:szCs w:val="21"/>
              </w:rPr>
            </w:pPr>
            <w:r>
              <w:rPr>
                <w:rFonts w:hint="eastAsia" w:ascii="宋体" w:hAnsi="宋体" w:cs="宋体"/>
                <w:szCs w:val="21"/>
              </w:rPr>
              <w:t>联系人：仇女士</w:t>
            </w:r>
          </w:p>
          <w:p>
            <w:pPr>
              <w:adjustRightInd w:val="0"/>
              <w:snapToGrid w:val="0"/>
              <w:spacing w:line="320" w:lineRule="exact"/>
              <w:jc w:val="left"/>
              <w:rPr>
                <w:rFonts w:ascii="宋体" w:hAnsi="宋体" w:cs="宋体"/>
                <w:szCs w:val="21"/>
              </w:rPr>
            </w:pPr>
            <w:r>
              <w:rPr>
                <w:rFonts w:hint="eastAsia" w:ascii="宋体" w:hAnsi="宋体" w:cs="宋体"/>
                <w:szCs w:val="21"/>
              </w:rPr>
              <w:t xml:space="preserve">电话： 0513-85010189   </w:t>
            </w:r>
          </w:p>
          <w:p>
            <w:pPr>
              <w:adjustRightInd w:val="0"/>
              <w:snapToGrid w:val="0"/>
              <w:spacing w:line="320" w:lineRule="exact"/>
              <w:jc w:val="left"/>
              <w:rPr>
                <w:rFonts w:ascii="宋体" w:hAnsi="宋体" w:cs="宋体"/>
                <w:szCs w:val="21"/>
              </w:rPr>
            </w:pPr>
            <w:r>
              <w:rPr>
                <w:rFonts w:hint="eastAsia" w:ascii="宋体" w:hAnsi="宋体" w:cs="宋体"/>
                <w:szCs w:val="21"/>
              </w:rPr>
              <w:t>传真：0513-83586255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985" w:hRule="atLeast"/>
          <w:jc w:val="center"/>
        </w:trPr>
        <w:tc>
          <w:tcPr>
            <w:tcW w:w="914" w:type="dxa"/>
            <w:vAlign w:val="center"/>
          </w:tcPr>
          <w:p>
            <w:pPr>
              <w:adjustRightInd w:val="0"/>
              <w:snapToGrid w:val="0"/>
              <w:spacing w:line="320" w:lineRule="exact"/>
              <w:jc w:val="center"/>
              <w:rPr>
                <w:rFonts w:ascii="宋体" w:hAnsi="宋体" w:cs="宋体"/>
                <w:szCs w:val="21"/>
              </w:rPr>
            </w:pPr>
            <w:r>
              <w:rPr>
                <w:rFonts w:hint="eastAsia" w:ascii="宋体" w:hAnsi="宋体" w:cs="宋体"/>
                <w:szCs w:val="21"/>
              </w:rPr>
              <w:t>1.1.3</w:t>
            </w:r>
          </w:p>
        </w:tc>
        <w:tc>
          <w:tcPr>
            <w:tcW w:w="1848" w:type="dxa"/>
            <w:vAlign w:val="center"/>
          </w:tcPr>
          <w:p>
            <w:pPr>
              <w:adjustRightInd w:val="0"/>
              <w:snapToGrid w:val="0"/>
              <w:spacing w:line="320" w:lineRule="exact"/>
              <w:jc w:val="center"/>
              <w:rPr>
                <w:rFonts w:ascii="宋体" w:hAnsi="宋体" w:cs="宋体"/>
                <w:szCs w:val="21"/>
              </w:rPr>
            </w:pPr>
            <w:r>
              <w:rPr>
                <w:rFonts w:hint="eastAsia" w:ascii="宋体" w:hAnsi="宋体" w:cs="宋体"/>
                <w:szCs w:val="21"/>
              </w:rPr>
              <w:t>招标代理机构</w:t>
            </w:r>
          </w:p>
        </w:tc>
        <w:tc>
          <w:tcPr>
            <w:tcW w:w="7373" w:type="dxa"/>
            <w:vAlign w:val="center"/>
          </w:tcPr>
          <w:p>
            <w:pPr>
              <w:spacing w:line="320" w:lineRule="exact"/>
              <w:rPr>
                <w:rFonts w:ascii="宋体" w:hAnsi="宋体" w:cs="宋体"/>
                <w:kern w:val="0"/>
                <w:szCs w:val="21"/>
              </w:rPr>
            </w:pPr>
            <w:r>
              <w:rPr>
                <w:rFonts w:hint="eastAsia" w:ascii="宋体" w:hAnsi="宋体" w:cs="宋体"/>
                <w:kern w:val="0"/>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14" w:type="dxa"/>
            <w:vAlign w:val="center"/>
          </w:tcPr>
          <w:p>
            <w:pPr>
              <w:adjustRightInd w:val="0"/>
              <w:snapToGrid w:val="0"/>
              <w:spacing w:line="320" w:lineRule="exact"/>
              <w:jc w:val="center"/>
              <w:rPr>
                <w:rFonts w:ascii="宋体" w:hAnsi="宋体" w:cs="宋体"/>
                <w:szCs w:val="21"/>
              </w:rPr>
            </w:pPr>
            <w:r>
              <w:rPr>
                <w:rFonts w:hint="eastAsia" w:ascii="宋体" w:hAnsi="宋体" w:cs="宋体"/>
                <w:szCs w:val="21"/>
              </w:rPr>
              <w:t>1.1.4</w:t>
            </w:r>
          </w:p>
        </w:tc>
        <w:tc>
          <w:tcPr>
            <w:tcW w:w="1848" w:type="dxa"/>
            <w:vAlign w:val="center"/>
          </w:tcPr>
          <w:p>
            <w:pPr>
              <w:adjustRightInd w:val="0"/>
              <w:snapToGrid w:val="0"/>
              <w:spacing w:line="320" w:lineRule="exact"/>
              <w:jc w:val="center"/>
              <w:rPr>
                <w:rFonts w:ascii="宋体" w:hAnsi="宋体" w:cs="宋体"/>
                <w:szCs w:val="21"/>
              </w:rPr>
            </w:pPr>
            <w:r>
              <w:rPr>
                <w:rFonts w:hint="eastAsia" w:ascii="宋体" w:hAnsi="宋体" w:cs="宋体"/>
                <w:szCs w:val="21"/>
              </w:rPr>
              <w:t>招标项目</w:t>
            </w:r>
          </w:p>
        </w:tc>
        <w:tc>
          <w:tcPr>
            <w:tcW w:w="7373" w:type="dxa"/>
            <w:vAlign w:val="center"/>
          </w:tcPr>
          <w:p>
            <w:pPr>
              <w:adjustRightInd w:val="0"/>
              <w:snapToGrid w:val="0"/>
              <w:spacing w:line="320" w:lineRule="exact"/>
              <w:jc w:val="left"/>
              <w:rPr>
                <w:rFonts w:ascii="宋体" w:hAnsi="宋体" w:cs="宋体"/>
                <w:szCs w:val="21"/>
              </w:rPr>
            </w:pPr>
            <w:r>
              <w:rPr>
                <w:rFonts w:hint="eastAsia" w:ascii="宋体" w:hAnsi="宋体" w:cs="宋体"/>
                <w:szCs w:val="21"/>
              </w:rPr>
              <w:t>南通市行政中心（含信访局）附属绿地管护项目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830" w:hRule="atLeast"/>
          <w:jc w:val="center"/>
        </w:trPr>
        <w:tc>
          <w:tcPr>
            <w:tcW w:w="914" w:type="dxa"/>
            <w:vAlign w:val="center"/>
          </w:tcPr>
          <w:p>
            <w:pPr>
              <w:adjustRightInd w:val="0"/>
              <w:snapToGrid w:val="0"/>
              <w:spacing w:line="320" w:lineRule="exact"/>
              <w:jc w:val="center"/>
              <w:rPr>
                <w:rFonts w:ascii="宋体" w:hAnsi="宋体" w:cs="宋体"/>
                <w:szCs w:val="21"/>
              </w:rPr>
            </w:pPr>
            <w:r>
              <w:rPr>
                <w:rFonts w:hint="eastAsia" w:ascii="宋体" w:hAnsi="宋体" w:cs="宋体"/>
                <w:szCs w:val="21"/>
              </w:rPr>
              <w:t>1.1.5</w:t>
            </w:r>
          </w:p>
        </w:tc>
        <w:tc>
          <w:tcPr>
            <w:tcW w:w="1848" w:type="dxa"/>
            <w:vAlign w:val="center"/>
          </w:tcPr>
          <w:p>
            <w:pPr>
              <w:adjustRightInd w:val="0"/>
              <w:snapToGrid w:val="0"/>
              <w:spacing w:line="320" w:lineRule="exact"/>
              <w:jc w:val="center"/>
              <w:rPr>
                <w:rFonts w:ascii="宋体" w:hAnsi="宋体" w:cs="宋体"/>
                <w:szCs w:val="21"/>
              </w:rPr>
            </w:pPr>
            <w:r>
              <w:rPr>
                <w:rFonts w:hint="eastAsia" w:ascii="宋体" w:hAnsi="宋体" w:cs="宋体"/>
                <w:szCs w:val="21"/>
              </w:rPr>
              <w:t>管护地点</w:t>
            </w:r>
          </w:p>
        </w:tc>
        <w:tc>
          <w:tcPr>
            <w:tcW w:w="7373" w:type="dxa"/>
            <w:vAlign w:val="center"/>
          </w:tcPr>
          <w:p>
            <w:pPr>
              <w:adjustRightInd w:val="0"/>
              <w:snapToGrid w:val="0"/>
              <w:spacing w:line="320" w:lineRule="exact"/>
              <w:jc w:val="left"/>
              <w:rPr>
                <w:rFonts w:ascii="宋体" w:hAnsi="宋体" w:cs="宋体"/>
                <w:szCs w:val="21"/>
              </w:rPr>
            </w:pPr>
            <w:r>
              <w:rPr>
                <w:rFonts w:hint="eastAsia" w:ascii="宋体" w:hAnsi="宋体" w:cs="宋体"/>
                <w:szCs w:val="21"/>
              </w:rPr>
              <w:t>位于南通市世纪大道6号：世纪大道北、府东路西、府西路东、江岳路南。</w:t>
            </w:r>
          </w:p>
          <w:p>
            <w:pPr>
              <w:adjustRightInd w:val="0"/>
              <w:snapToGrid w:val="0"/>
              <w:spacing w:line="320" w:lineRule="exact"/>
              <w:jc w:val="left"/>
              <w:rPr>
                <w:rFonts w:ascii="宋体" w:hAnsi="宋体" w:cs="宋体"/>
                <w:szCs w:val="21"/>
              </w:rPr>
            </w:pPr>
            <w:r>
              <w:rPr>
                <w:rFonts w:hint="eastAsia" w:ascii="宋体" w:hAnsi="宋体" w:cs="宋体"/>
                <w:szCs w:val="21"/>
              </w:rPr>
              <w:t>即南通市行政中心（含信访局）附属绿地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14" w:type="dxa"/>
            <w:vAlign w:val="center"/>
          </w:tcPr>
          <w:p>
            <w:pPr>
              <w:adjustRightInd w:val="0"/>
              <w:snapToGrid w:val="0"/>
              <w:spacing w:line="320" w:lineRule="exact"/>
              <w:jc w:val="center"/>
              <w:rPr>
                <w:rFonts w:ascii="宋体" w:hAnsi="宋体" w:cs="宋体"/>
                <w:szCs w:val="21"/>
              </w:rPr>
            </w:pPr>
            <w:r>
              <w:rPr>
                <w:rFonts w:hint="eastAsia" w:ascii="宋体" w:hAnsi="宋体" w:cs="宋体"/>
                <w:szCs w:val="21"/>
              </w:rPr>
              <w:t>1.2.1</w:t>
            </w:r>
          </w:p>
        </w:tc>
        <w:tc>
          <w:tcPr>
            <w:tcW w:w="1848" w:type="dxa"/>
            <w:vAlign w:val="center"/>
          </w:tcPr>
          <w:p>
            <w:pPr>
              <w:adjustRightInd w:val="0"/>
              <w:snapToGrid w:val="0"/>
              <w:spacing w:line="320" w:lineRule="exact"/>
              <w:jc w:val="center"/>
              <w:rPr>
                <w:rFonts w:ascii="宋体" w:hAnsi="宋体" w:cs="宋体"/>
                <w:szCs w:val="21"/>
              </w:rPr>
            </w:pPr>
            <w:r>
              <w:rPr>
                <w:rFonts w:hint="eastAsia" w:ascii="宋体" w:hAnsi="宋体" w:cs="宋体"/>
                <w:szCs w:val="21"/>
              </w:rPr>
              <w:t>资金来源</w:t>
            </w:r>
          </w:p>
        </w:tc>
        <w:tc>
          <w:tcPr>
            <w:tcW w:w="7373" w:type="dxa"/>
            <w:vAlign w:val="center"/>
          </w:tcPr>
          <w:p>
            <w:pPr>
              <w:adjustRightInd w:val="0"/>
              <w:snapToGrid w:val="0"/>
              <w:spacing w:line="320" w:lineRule="exact"/>
              <w:rPr>
                <w:rFonts w:ascii="宋体" w:hAnsi="宋体" w:cs="宋体"/>
                <w:szCs w:val="21"/>
              </w:rPr>
            </w:pPr>
            <w:r>
              <w:rPr>
                <w:rFonts w:hint="eastAsia" w:ascii="宋体" w:hAnsi="宋体" w:cs="宋体"/>
                <w:szCs w:val="21"/>
              </w:rPr>
              <w:t>财政资金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14" w:type="dxa"/>
            <w:vAlign w:val="center"/>
          </w:tcPr>
          <w:p>
            <w:pPr>
              <w:adjustRightInd w:val="0"/>
              <w:snapToGrid w:val="0"/>
              <w:spacing w:line="320" w:lineRule="exact"/>
              <w:jc w:val="center"/>
              <w:rPr>
                <w:rFonts w:ascii="宋体" w:hAnsi="宋体" w:cs="宋体"/>
                <w:szCs w:val="21"/>
              </w:rPr>
            </w:pPr>
            <w:r>
              <w:rPr>
                <w:rFonts w:hint="eastAsia" w:ascii="宋体" w:hAnsi="宋体" w:cs="宋体"/>
                <w:szCs w:val="21"/>
              </w:rPr>
              <w:t>1.2.2</w:t>
            </w:r>
          </w:p>
        </w:tc>
        <w:tc>
          <w:tcPr>
            <w:tcW w:w="1848" w:type="dxa"/>
            <w:vAlign w:val="center"/>
          </w:tcPr>
          <w:p>
            <w:pPr>
              <w:adjustRightInd w:val="0"/>
              <w:snapToGrid w:val="0"/>
              <w:spacing w:line="320" w:lineRule="exact"/>
              <w:jc w:val="center"/>
              <w:rPr>
                <w:rFonts w:ascii="宋体" w:hAnsi="宋体" w:cs="宋体"/>
                <w:szCs w:val="21"/>
              </w:rPr>
            </w:pPr>
            <w:r>
              <w:rPr>
                <w:rFonts w:hint="eastAsia" w:ascii="宋体" w:hAnsi="宋体" w:cs="宋体"/>
                <w:szCs w:val="21"/>
              </w:rPr>
              <w:t>出资比例</w:t>
            </w:r>
          </w:p>
        </w:tc>
        <w:tc>
          <w:tcPr>
            <w:tcW w:w="7373" w:type="dxa"/>
            <w:vAlign w:val="center"/>
          </w:tcPr>
          <w:p>
            <w:pPr>
              <w:adjustRightInd w:val="0"/>
              <w:snapToGrid w:val="0"/>
              <w:spacing w:line="320" w:lineRule="exact"/>
              <w:rPr>
                <w:rFonts w:ascii="宋体" w:hAnsi="宋体" w:cs="宋体"/>
                <w:szCs w:val="21"/>
              </w:rPr>
            </w:pPr>
            <w:r>
              <w:rPr>
                <w:rFonts w:hint="eastAsia" w:ascii="宋体" w:hAnsi="宋体" w:cs="宋体"/>
                <w:szCs w:val="21"/>
              </w:rPr>
              <w:t>100%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14" w:type="dxa"/>
            <w:vAlign w:val="center"/>
          </w:tcPr>
          <w:p>
            <w:pPr>
              <w:adjustRightInd w:val="0"/>
              <w:snapToGrid w:val="0"/>
              <w:spacing w:line="320" w:lineRule="exact"/>
              <w:jc w:val="center"/>
              <w:rPr>
                <w:rFonts w:ascii="宋体" w:hAnsi="宋体" w:cs="宋体"/>
                <w:szCs w:val="21"/>
              </w:rPr>
            </w:pPr>
            <w:r>
              <w:rPr>
                <w:rFonts w:hint="eastAsia" w:ascii="宋体" w:hAnsi="宋体" w:cs="宋体"/>
                <w:szCs w:val="21"/>
              </w:rPr>
              <w:t>1.2.3</w:t>
            </w:r>
          </w:p>
        </w:tc>
        <w:tc>
          <w:tcPr>
            <w:tcW w:w="1848" w:type="dxa"/>
            <w:vAlign w:val="center"/>
          </w:tcPr>
          <w:p>
            <w:pPr>
              <w:adjustRightInd w:val="0"/>
              <w:snapToGrid w:val="0"/>
              <w:spacing w:line="320" w:lineRule="exact"/>
              <w:jc w:val="center"/>
              <w:rPr>
                <w:rFonts w:ascii="宋体" w:hAnsi="宋体" w:cs="宋体"/>
                <w:szCs w:val="21"/>
              </w:rPr>
            </w:pPr>
            <w:r>
              <w:rPr>
                <w:rFonts w:hint="eastAsia" w:ascii="宋体" w:hAnsi="宋体" w:cs="宋体"/>
                <w:szCs w:val="21"/>
              </w:rPr>
              <w:t>资金落实情况</w:t>
            </w:r>
          </w:p>
        </w:tc>
        <w:tc>
          <w:tcPr>
            <w:tcW w:w="7373" w:type="dxa"/>
            <w:vAlign w:val="center"/>
          </w:tcPr>
          <w:p>
            <w:pPr>
              <w:adjustRightInd w:val="0"/>
              <w:snapToGrid w:val="0"/>
              <w:spacing w:line="320" w:lineRule="exact"/>
              <w:rPr>
                <w:rFonts w:ascii="宋体" w:hAnsi="宋体" w:cs="宋体"/>
                <w:szCs w:val="21"/>
              </w:rPr>
            </w:pPr>
            <w:r>
              <w:rPr>
                <w:rFonts w:hint="eastAsia" w:ascii="宋体" w:hAnsi="宋体" w:cs="宋体"/>
                <w:szCs w:val="21"/>
              </w:rPr>
              <w:t>已落实</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14" w:type="dxa"/>
            <w:vAlign w:val="center"/>
          </w:tcPr>
          <w:p>
            <w:pPr>
              <w:adjustRightInd w:val="0"/>
              <w:snapToGrid w:val="0"/>
              <w:spacing w:line="320" w:lineRule="exact"/>
              <w:jc w:val="center"/>
              <w:rPr>
                <w:rFonts w:ascii="宋体" w:hAnsi="宋体" w:cs="宋体"/>
                <w:szCs w:val="21"/>
              </w:rPr>
            </w:pPr>
            <w:r>
              <w:rPr>
                <w:rFonts w:hint="eastAsia" w:ascii="宋体" w:hAnsi="宋体" w:cs="宋体"/>
                <w:szCs w:val="21"/>
              </w:rPr>
              <w:t>1.2.4</w:t>
            </w:r>
          </w:p>
        </w:tc>
        <w:tc>
          <w:tcPr>
            <w:tcW w:w="1848" w:type="dxa"/>
            <w:vAlign w:val="center"/>
          </w:tcPr>
          <w:p>
            <w:pPr>
              <w:adjustRightInd w:val="0"/>
              <w:snapToGrid w:val="0"/>
              <w:spacing w:line="320" w:lineRule="exact"/>
              <w:jc w:val="center"/>
              <w:rPr>
                <w:rFonts w:ascii="宋体" w:hAnsi="宋体" w:cs="宋体"/>
                <w:szCs w:val="21"/>
              </w:rPr>
            </w:pPr>
            <w:r>
              <w:rPr>
                <w:rFonts w:hint="eastAsia" w:ascii="宋体" w:hAnsi="宋体" w:cs="宋体"/>
                <w:szCs w:val="21"/>
              </w:rPr>
              <w:t>管护费支付方式</w:t>
            </w:r>
          </w:p>
        </w:tc>
        <w:tc>
          <w:tcPr>
            <w:tcW w:w="7373" w:type="dxa"/>
            <w:vAlign w:val="center"/>
          </w:tcPr>
          <w:p>
            <w:pPr>
              <w:snapToGrid w:val="0"/>
              <w:spacing w:line="320" w:lineRule="exact"/>
              <w:rPr>
                <w:rFonts w:ascii="宋体" w:hAnsi="宋体" w:cs="宋体"/>
                <w:szCs w:val="21"/>
              </w:rPr>
            </w:pPr>
            <w:r>
              <w:rPr>
                <w:rFonts w:hint="eastAsia" w:ascii="宋体" w:hAnsi="宋体" w:cs="宋体"/>
                <w:szCs w:val="21"/>
              </w:rPr>
              <w:t>见第四章合同协议书第五条款管护经费拨付方式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14" w:type="dxa"/>
            <w:vAlign w:val="center"/>
          </w:tcPr>
          <w:p>
            <w:pPr>
              <w:adjustRightInd w:val="0"/>
              <w:snapToGrid w:val="0"/>
              <w:spacing w:line="320" w:lineRule="exact"/>
              <w:jc w:val="center"/>
              <w:rPr>
                <w:rFonts w:ascii="宋体" w:hAnsi="宋体" w:cs="宋体"/>
                <w:szCs w:val="21"/>
              </w:rPr>
            </w:pPr>
            <w:r>
              <w:rPr>
                <w:rFonts w:hint="eastAsia" w:ascii="宋体" w:hAnsi="宋体" w:cs="宋体"/>
                <w:szCs w:val="21"/>
              </w:rPr>
              <w:t>1.3.1</w:t>
            </w:r>
          </w:p>
        </w:tc>
        <w:tc>
          <w:tcPr>
            <w:tcW w:w="1848" w:type="dxa"/>
            <w:vAlign w:val="center"/>
          </w:tcPr>
          <w:p>
            <w:pPr>
              <w:adjustRightInd w:val="0"/>
              <w:snapToGrid w:val="0"/>
              <w:spacing w:line="360" w:lineRule="exact"/>
              <w:jc w:val="center"/>
              <w:rPr>
                <w:rFonts w:ascii="宋体" w:hAnsi="宋体" w:cs="宋体"/>
                <w:szCs w:val="21"/>
              </w:rPr>
            </w:pPr>
            <w:r>
              <w:rPr>
                <w:rFonts w:hint="eastAsia" w:ascii="宋体" w:hAnsi="宋体" w:cs="宋体"/>
                <w:szCs w:val="21"/>
              </w:rPr>
              <w:t>招标范围</w:t>
            </w:r>
          </w:p>
        </w:tc>
        <w:tc>
          <w:tcPr>
            <w:tcW w:w="7373" w:type="dxa"/>
            <w:vAlign w:val="center"/>
          </w:tcPr>
          <w:p>
            <w:pPr>
              <w:snapToGrid w:val="0"/>
              <w:spacing w:line="320" w:lineRule="exact"/>
              <w:rPr>
                <w:rFonts w:ascii="宋体" w:hAnsi="宋体" w:cs="宋体"/>
                <w:szCs w:val="21"/>
              </w:rPr>
            </w:pPr>
            <w:r>
              <w:rPr>
                <w:rFonts w:hint="eastAsia" w:ascii="宋体" w:hAnsi="宋体" w:cs="宋体"/>
                <w:szCs w:val="21"/>
              </w:rPr>
              <w:t>见招标文件第一章招标公告内附件项目基本概况一览表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177" w:hRule="atLeast"/>
          <w:jc w:val="center"/>
        </w:trPr>
        <w:tc>
          <w:tcPr>
            <w:tcW w:w="914" w:type="dxa"/>
            <w:vAlign w:val="center"/>
          </w:tcPr>
          <w:p>
            <w:pPr>
              <w:adjustRightInd w:val="0"/>
              <w:snapToGrid w:val="0"/>
              <w:spacing w:line="320" w:lineRule="exact"/>
              <w:jc w:val="center"/>
              <w:rPr>
                <w:rFonts w:ascii="宋体" w:hAnsi="宋体" w:cs="宋体"/>
                <w:szCs w:val="21"/>
              </w:rPr>
            </w:pPr>
            <w:r>
              <w:rPr>
                <w:rFonts w:hint="eastAsia" w:ascii="宋体" w:hAnsi="宋体" w:cs="宋体"/>
                <w:szCs w:val="21"/>
              </w:rPr>
              <w:t>1.3.2</w:t>
            </w:r>
          </w:p>
        </w:tc>
        <w:tc>
          <w:tcPr>
            <w:tcW w:w="1848" w:type="dxa"/>
            <w:vAlign w:val="center"/>
          </w:tcPr>
          <w:p>
            <w:pPr>
              <w:spacing w:line="360" w:lineRule="exact"/>
              <w:jc w:val="center"/>
              <w:rPr>
                <w:rFonts w:ascii="宋体" w:hAnsi="宋体"/>
                <w:szCs w:val="21"/>
              </w:rPr>
            </w:pPr>
            <w:r>
              <w:rPr>
                <w:rFonts w:hint="eastAsia" w:ascii="宋体" w:hAnsi="宋体"/>
                <w:szCs w:val="21"/>
              </w:rPr>
              <w:t>承包期</w:t>
            </w:r>
          </w:p>
        </w:tc>
        <w:tc>
          <w:tcPr>
            <w:tcW w:w="7373" w:type="dxa"/>
            <w:vAlign w:val="center"/>
          </w:tcPr>
          <w:p>
            <w:pPr>
              <w:snapToGrid w:val="0"/>
              <w:spacing w:line="300" w:lineRule="auto"/>
              <w:contextualSpacing/>
              <w:rPr>
                <w:rFonts w:ascii="宋体" w:hAnsi="宋体" w:cs="宋体"/>
                <w:b/>
                <w:color w:val="0000FF"/>
                <w:szCs w:val="21"/>
              </w:rPr>
            </w:pPr>
            <w:r>
              <w:rPr>
                <w:rFonts w:hint="eastAsia" w:ascii="宋体" w:hAnsi="宋体"/>
                <w:color w:val="000000"/>
                <w:szCs w:val="21"/>
              </w:rPr>
              <w:t>本次招标合同期一年</w:t>
            </w:r>
            <w:r>
              <w:rPr>
                <w:rFonts w:hint="eastAsia" w:asciiTheme="minorEastAsia" w:hAnsiTheme="minorEastAsia" w:eastAsiaTheme="minorEastAsia"/>
                <w:color w:val="000000"/>
                <w:szCs w:val="21"/>
              </w:rPr>
              <w:t>（2025年11月1日-2026年10月31日）</w:t>
            </w:r>
            <w:r>
              <w:rPr>
                <w:rFonts w:hint="eastAsia" w:ascii="宋体" w:hAnsi="宋体"/>
                <w:color w:val="000000"/>
                <w:szCs w:val="21"/>
              </w:rPr>
              <w:t>，</w:t>
            </w:r>
            <w:r>
              <w:rPr>
                <w:rFonts w:hint="eastAsia" w:asciiTheme="minorEastAsia" w:hAnsiTheme="minorEastAsia" w:eastAsiaTheme="minorEastAsia"/>
                <w:color w:val="000000"/>
                <w:szCs w:val="21"/>
              </w:rPr>
              <w:t>管护起始日暂定，实际以进场指令单为准。</w:t>
            </w:r>
            <w:r>
              <w:rPr>
                <w:rFonts w:hint="eastAsia" w:ascii="宋体" w:hAnsi="宋体"/>
                <w:color w:val="000000"/>
                <w:szCs w:val="21"/>
              </w:rPr>
              <w:t>如合同期内每月考核得分均合格的，次年可按原中标价续签，但只可续签一次。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841" w:hRule="atLeast"/>
          <w:jc w:val="center"/>
        </w:trPr>
        <w:tc>
          <w:tcPr>
            <w:tcW w:w="914" w:type="dxa"/>
            <w:vAlign w:val="center"/>
          </w:tcPr>
          <w:p>
            <w:pPr>
              <w:adjustRightInd w:val="0"/>
              <w:snapToGrid w:val="0"/>
              <w:spacing w:line="320" w:lineRule="exact"/>
              <w:jc w:val="center"/>
              <w:rPr>
                <w:rFonts w:ascii="宋体" w:hAnsi="宋体" w:cs="宋体"/>
                <w:szCs w:val="21"/>
              </w:rPr>
            </w:pPr>
            <w:r>
              <w:rPr>
                <w:rFonts w:hint="eastAsia" w:ascii="宋体" w:hAnsi="宋体" w:cs="宋体"/>
                <w:szCs w:val="21"/>
              </w:rPr>
              <w:t>1.3.3</w:t>
            </w:r>
          </w:p>
        </w:tc>
        <w:tc>
          <w:tcPr>
            <w:tcW w:w="1848" w:type="dxa"/>
            <w:vAlign w:val="center"/>
          </w:tcPr>
          <w:p>
            <w:pPr>
              <w:adjustRightInd w:val="0"/>
              <w:snapToGrid w:val="0"/>
              <w:spacing w:line="320" w:lineRule="exact"/>
              <w:jc w:val="center"/>
              <w:rPr>
                <w:rFonts w:ascii="宋体" w:hAnsi="宋体" w:cs="宋体"/>
                <w:szCs w:val="21"/>
              </w:rPr>
            </w:pPr>
            <w:r>
              <w:rPr>
                <w:rFonts w:hint="eastAsia" w:ascii="宋体" w:hAnsi="宋体" w:cs="宋体"/>
                <w:szCs w:val="21"/>
              </w:rPr>
              <w:t>质量要求</w:t>
            </w:r>
          </w:p>
        </w:tc>
        <w:tc>
          <w:tcPr>
            <w:tcW w:w="7373" w:type="dxa"/>
            <w:vAlign w:val="center"/>
          </w:tcPr>
          <w:p>
            <w:pPr>
              <w:snapToGrid w:val="0"/>
              <w:spacing w:line="320" w:lineRule="exact"/>
              <w:rPr>
                <w:rFonts w:ascii="宋体" w:hAnsi="宋体" w:cs="宋体"/>
                <w:szCs w:val="21"/>
              </w:rPr>
            </w:pPr>
            <w:r>
              <w:rPr>
                <w:rFonts w:hint="eastAsia" w:ascii="宋体" w:hAnsi="宋体" w:cs="宋体"/>
                <w:szCs w:val="21"/>
              </w:rPr>
              <w:t>通政园管〔2020〕43号《南通市城市绿化养护质量等级标准（试行）》</w:t>
            </w:r>
          </w:p>
          <w:p>
            <w:pPr>
              <w:snapToGrid w:val="0"/>
              <w:spacing w:line="320" w:lineRule="exact"/>
              <w:rPr>
                <w:rFonts w:ascii="宋体" w:hAnsi="宋体" w:cs="宋体"/>
                <w:szCs w:val="21"/>
              </w:rPr>
            </w:pPr>
            <w:r>
              <w:rPr>
                <w:rFonts w:hint="eastAsia" w:ascii="宋体" w:hAnsi="宋体" w:cs="宋体"/>
                <w:szCs w:val="21"/>
              </w:rPr>
              <w:t>城市公园及区域绿地一级管护。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914" w:type="dxa"/>
            <w:vAlign w:val="center"/>
          </w:tcPr>
          <w:p>
            <w:pPr>
              <w:adjustRightInd w:val="0"/>
              <w:snapToGrid w:val="0"/>
              <w:spacing w:line="320" w:lineRule="exact"/>
              <w:jc w:val="center"/>
              <w:rPr>
                <w:rFonts w:ascii="宋体" w:hAnsi="宋体" w:cs="宋体"/>
                <w:szCs w:val="21"/>
              </w:rPr>
            </w:pPr>
            <w:r>
              <w:rPr>
                <w:rFonts w:hint="eastAsia" w:ascii="宋体" w:hAnsi="宋体" w:cs="宋体"/>
                <w:szCs w:val="21"/>
              </w:rPr>
              <w:t>1.4.1</w:t>
            </w:r>
          </w:p>
        </w:tc>
        <w:tc>
          <w:tcPr>
            <w:tcW w:w="1848" w:type="dxa"/>
            <w:vAlign w:val="center"/>
          </w:tcPr>
          <w:p>
            <w:pPr>
              <w:adjustRightInd w:val="0"/>
              <w:snapToGrid w:val="0"/>
              <w:spacing w:line="320" w:lineRule="exact"/>
              <w:rPr>
                <w:rFonts w:ascii="宋体" w:hAnsi="宋体" w:cs="宋体"/>
                <w:szCs w:val="21"/>
              </w:rPr>
            </w:pPr>
            <w:r>
              <w:rPr>
                <w:rFonts w:hint="eastAsia" w:ascii="宋体" w:hAnsi="宋体" w:cs="宋体"/>
                <w:szCs w:val="21"/>
              </w:rPr>
              <w:t>投标人资格要求</w:t>
            </w:r>
          </w:p>
        </w:tc>
        <w:tc>
          <w:tcPr>
            <w:tcW w:w="7373" w:type="dxa"/>
            <w:vAlign w:val="center"/>
          </w:tcPr>
          <w:p>
            <w:pPr>
              <w:snapToGrid w:val="0"/>
              <w:spacing w:line="320" w:lineRule="exact"/>
              <w:rPr>
                <w:rFonts w:ascii="宋体" w:hAnsi="宋体" w:cs="宋体"/>
                <w:szCs w:val="21"/>
              </w:rPr>
            </w:pPr>
            <w:r>
              <w:rPr>
                <w:rFonts w:hint="eastAsia" w:ascii="宋体" w:hAnsi="宋体" w:cs="宋体"/>
                <w:szCs w:val="21"/>
              </w:rPr>
              <w:t>见招标公告第3条款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14" w:type="dxa"/>
            <w:vAlign w:val="center"/>
          </w:tcPr>
          <w:p>
            <w:pPr>
              <w:adjustRightInd w:val="0"/>
              <w:snapToGrid w:val="0"/>
              <w:spacing w:line="320" w:lineRule="exact"/>
              <w:jc w:val="center"/>
              <w:rPr>
                <w:rFonts w:ascii="宋体" w:hAnsi="宋体" w:cs="宋体"/>
                <w:szCs w:val="21"/>
              </w:rPr>
            </w:pPr>
            <w:r>
              <w:rPr>
                <w:rFonts w:hint="eastAsia" w:ascii="宋体" w:hAnsi="宋体" w:cs="宋体"/>
                <w:szCs w:val="21"/>
              </w:rPr>
              <w:t>1.4.3</w:t>
            </w:r>
          </w:p>
        </w:tc>
        <w:tc>
          <w:tcPr>
            <w:tcW w:w="1848" w:type="dxa"/>
            <w:vAlign w:val="center"/>
          </w:tcPr>
          <w:p>
            <w:pPr>
              <w:adjustRightInd w:val="0"/>
              <w:snapToGrid w:val="0"/>
              <w:spacing w:line="320" w:lineRule="exact"/>
              <w:jc w:val="center"/>
              <w:rPr>
                <w:rFonts w:ascii="宋体" w:hAnsi="宋体" w:cs="宋体"/>
                <w:szCs w:val="21"/>
              </w:rPr>
            </w:pPr>
            <w:r>
              <w:rPr>
                <w:rFonts w:hint="eastAsia" w:ascii="宋体" w:hAnsi="宋体" w:cs="宋体"/>
                <w:szCs w:val="21"/>
              </w:rPr>
              <w:t>是否接受</w:t>
            </w:r>
          </w:p>
          <w:p>
            <w:pPr>
              <w:adjustRightInd w:val="0"/>
              <w:snapToGrid w:val="0"/>
              <w:spacing w:line="320" w:lineRule="exact"/>
              <w:jc w:val="center"/>
              <w:rPr>
                <w:rFonts w:ascii="宋体" w:hAnsi="宋体" w:cs="宋体"/>
                <w:szCs w:val="21"/>
              </w:rPr>
            </w:pPr>
            <w:r>
              <w:rPr>
                <w:rFonts w:hint="eastAsia" w:ascii="宋体" w:hAnsi="宋体" w:cs="宋体"/>
                <w:szCs w:val="21"/>
              </w:rPr>
              <w:t>联合体投标</w:t>
            </w:r>
          </w:p>
        </w:tc>
        <w:tc>
          <w:tcPr>
            <w:tcW w:w="7373" w:type="dxa"/>
            <w:vAlign w:val="center"/>
          </w:tcPr>
          <w:p>
            <w:pPr>
              <w:snapToGrid w:val="0"/>
              <w:spacing w:line="320" w:lineRule="exact"/>
              <w:rPr>
                <w:rFonts w:ascii="宋体" w:hAnsi="宋体" w:cs="宋体"/>
                <w:szCs w:val="21"/>
              </w:rPr>
            </w:pPr>
            <w:r>
              <w:rPr>
                <w:rFonts w:hint="eastAsia" w:ascii="宋体" w:hAnsi="宋体" w:cs="宋体"/>
                <w:szCs w:val="21"/>
              </w:rPr>
              <w:t>不接受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14" w:type="dxa"/>
            <w:vAlign w:val="center"/>
          </w:tcPr>
          <w:p>
            <w:pPr>
              <w:adjustRightInd w:val="0"/>
              <w:snapToGrid w:val="0"/>
              <w:spacing w:line="320" w:lineRule="exact"/>
              <w:jc w:val="center"/>
              <w:rPr>
                <w:rFonts w:ascii="宋体" w:hAnsi="宋体" w:cs="宋体"/>
                <w:szCs w:val="21"/>
              </w:rPr>
            </w:pPr>
            <w:r>
              <w:rPr>
                <w:rFonts w:hint="eastAsia" w:ascii="宋体" w:hAnsi="宋体" w:cs="宋体"/>
                <w:szCs w:val="21"/>
              </w:rPr>
              <w:t>1.9.1</w:t>
            </w:r>
          </w:p>
        </w:tc>
        <w:tc>
          <w:tcPr>
            <w:tcW w:w="1848" w:type="dxa"/>
            <w:vAlign w:val="center"/>
          </w:tcPr>
          <w:p>
            <w:pPr>
              <w:adjustRightInd w:val="0"/>
              <w:snapToGrid w:val="0"/>
              <w:spacing w:line="320" w:lineRule="exact"/>
              <w:jc w:val="center"/>
              <w:rPr>
                <w:rFonts w:ascii="宋体" w:hAnsi="宋体" w:cs="宋体"/>
                <w:szCs w:val="21"/>
              </w:rPr>
            </w:pPr>
            <w:r>
              <w:rPr>
                <w:rFonts w:hint="eastAsia" w:ascii="宋体" w:hAnsi="宋体" w:cs="宋体"/>
                <w:szCs w:val="21"/>
              </w:rPr>
              <w:t>踏勘现场</w:t>
            </w:r>
          </w:p>
        </w:tc>
        <w:tc>
          <w:tcPr>
            <w:tcW w:w="7373" w:type="dxa"/>
            <w:vAlign w:val="center"/>
          </w:tcPr>
          <w:p>
            <w:pPr>
              <w:snapToGrid w:val="0"/>
              <w:spacing w:line="320" w:lineRule="exact"/>
              <w:rPr>
                <w:rFonts w:ascii="宋体" w:hAnsi="宋体" w:cs="宋体"/>
                <w:szCs w:val="21"/>
              </w:rPr>
            </w:pPr>
            <w:r>
              <w:rPr>
                <w:rFonts w:hint="eastAsia" w:ascii="宋体" w:hAnsi="宋体" w:cs="宋体"/>
                <w:szCs w:val="21"/>
              </w:rPr>
              <w:t>投标人自行踏勘。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14" w:type="dxa"/>
            <w:vAlign w:val="center"/>
          </w:tcPr>
          <w:p>
            <w:pPr>
              <w:adjustRightInd w:val="0"/>
              <w:snapToGrid w:val="0"/>
              <w:spacing w:line="320" w:lineRule="exact"/>
              <w:jc w:val="center"/>
              <w:rPr>
                <w:rFonts w:ascii="宋体" w:hAnsi="宋体" w:cs="宋体"/>
                <w:szCs w:val="21"/>
              </w:rPr>
            </w:pPr>
            <w:r>
              <w:rPr>
                <w:rFonts w:hint="eastAsia" w:ascii="宋体" w:hAnsi="宋体" w:cs="宋体"/>
                <w:szCs w:val="21"/>
              </w:rPr>
              <w:t>1.10</w:t>
            </w:r>
          </w:p>
        </w:tc>
        <w:tc>
          <w:tcPr>
            <w:tcW w:w="1848" w:type="dxa"/>
            <w:vAlign w:val="center"/>
          </w:tcPr>
          <w:p>
            <w:pPr>
              <w:adjustRightInd w:val="0"/>
              <w:snapToGrid w:val="0"/>
              <w:spacing w:line="320" w:lineRule="exact"/>
              <w:jc w:val="center"/>
              <w:rPr>
                <w:rFonts w:ascii="宋体" w:hAnsi="宋体" w:cs="宋体"/>
                <w:szCs w:val="21"/>
              </w:rPr>
            </w:pPr>
            <w:r>
              <w:rPr>
                <w:rFonts w:hint="eastAsia" w:ascii="宋体" w:hAnsi="宋体" w:cs="宋体"/>
                <w:szCs w:val="21"/>
              </w:rPr>
              <w:t>分  包</w:t>
            </w:r>
          </w:p>
        </w:tc>
        <w:tc>
          <w:tcPr>
            <w:tcW w:w="7373" w:type="dxa"/>
            <w:vAlign w:val="center"/>
          </w:tcPr>
          <w:p>
            <w:pPr>
              <w:adjustRightInd w:val="0"/>
              <w:snapToGrid w:val="0"/>
              <w:spacing w:line="320" w:lineRule="exact"/>
              <w:rPr>
                <w:rFonts w:ascii="宋体" w:hAnsi="宋体" w:cs="宋体"/>
                <w:szCs w:val="21"/>
              </w:rPr>
            </w:pPr>
            <w:r>
              <w:rPr>
                <w:rFonts w:ascii="宋体" w:hAnsi="宋体" w:cs="宋体"/>
                <w:b/>
                <w:sz w:val="24"/>
                <w:szCs w:val="24"/>
              </w:rPr>
              <w:fldChar w:fldCharType="begin"/>
            </w:r>
            <w:r>
              <w:rPr>
                <w:rFonts w:hint="eastAsia" w:ascii="宋体" w:hAnsi="宋体" w:cs="宋体"/>
                <w:b/>
                <w:sz w:val="24"/>
                <w:szCs w:val="24"/>
              </w:rPr>
              <w:instrText xml:space="preserve">eq \o\ac(□,</w:instrText>
            </w:r>
            <w:r>
              <w:rPr>
                <w:rFonts w:hint="eastAsia" w:ascii="宋体" w:hAnsi="宋体" w:cs="宋体"/>
                <w:b/>
                <w:position w:val="2"/>
                <w:sz w:val="16"/>
                <w:szCs w:val="24"/>
              </w:rPr>
              <w:instrText xml:space="preserve">√</w:instrText>
            </w:r>
            <w:r>
              <w:rPr>
                <w:rFonts w:hint="eastAsia" w:ascii="宋体" w:hAnsi="宋体" w:cs="宋体"/>
                <w:b/>
                <w:sz w:val="24"/>
                <w:szCs w:val="24"/>
              </w:rPr>
              <w:instrText xml:space="preserve">)</w:instrText>
            </w:r>
            <w:r>
              <w:rPr>
                <w:rFonts w:ascii="宋体" w:hAnsi="宋体" w:cs="宋体"/>
                <w:b/>
                <w:sz w:val="24"/>
                <w:szCs w:val="24"/>
              </w:rPr>
              <w:fldChar w:fldCharType="end"/>
            </w:r>
            <w:r>
              <w:rPr>
                <w:rFonts w:hint="eastAsia" w:ascii="宋体" w:hAnsi="宋体" w:cs="宋体"/>
                <w:szCs w:val="21"/>
              </w:rPr>
              <w:t>不允许</w:t>
            </w:r>
          </w:p>
          <w:p>
            <w:pPr>
              <w:adjustRightInd w:val="0"/>
              <w:snapToGrid w:val="0"/>
              <w:spacing w:line="320" w:lineRule="exact"/>
              <w:rPr>
                <w:rFonts w:ascii="宋体" w:hAnsi="宋体" w:cs="宋体"/>
                <w:szCs w:val="21"/>
              </w:rPr>
            </w:pPr>
            <w:r>
              <w:rPr>
                <w:rFonts w:hint="eastAsia" w:ascii="宋体" w:hAnsi="宋体" w:cs="宋体"/>
                <w:szCs w:val="21"/>
              </w:rPr>
              <w:t>□允许，分包内容要求：</w:t>
            </w:r>
          </w:p>
          <w:p>
            <w:pPr>
              <w:adjustRightInd w:val="0"/>
              <w:snapToGrid w:val="0"/>
              <w:spacing w:line="320" w:lineRule="exact"/>
              <w:rPr>
                <w:rFonts w:ascii="宋体" w:hAnsi="宋体" w:cs="宋体"/>
                <w:szCs w:val="21"/>
              </w:rPr>
            </w:pPr>
            <w:r>
              <w:rPr>
                <w:rFonts w:hint="eastAsia" w:ascii="宋体" w:hAnsi="宋体" w:cs="宋体"/>
                <w:szCs w:val="21"/>
              </w:rPr>
              <w:t xml:space="preserve">        分包金额要求：</w:t>
            </w:r>
          </w:p>
          <w:p>
            <w:pPr>
              <w:adjustRightInd w:val="0"/>
              <w:snapToGrid w:val="0"/>
              <w:spacing w:line="320" w:lineRule="exact"/>
              <w:rPr>
                <w:rFonts w:ascii="宋体" w:hAnsi="宋体" w:cs="宋体"/>
                <w:szCs w:val="21"/>
              </w:rPr>
            </w:pPr>
            <w:r>
              <w:rPr>
                <w:rFonts w:hint="eastAsia" w:ascii="宋体" w:hAnsi="宋体" w:cs="宋体"/>
                <w:szCs w:val="21"/>
              </w:rPr>
              <w:t xml:space="preserve">        接受分包的第三人资质要求：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14" w:type="dxa"/>
            <w:vAlign w:val="center"/>
          </w:tcPr>
          <w:p>
            <w:pPr>
              <w:adjustRightInd w:val="0"/>
              <w:snapToGrid w:val="0"/>
              <w:spacing w:line="320" w:lineRule="exact"/>
              <w:jc w:val="center"/>
              <w:rPr>
                <w:rFonts w:ascii="宋体" w:hAnsi="宋体" w:cs="宋体"/>
                <w:szCs w:val="21"/>
              </w:rPr>
            </w:pPr>
            <w:r>
              <w:rPr>
                <w:rFonts w:hint="eastAsia" w:ascii="宋体" w:hAnsi="宋体" w:cs="宋体"/>
                <w:szCs w:val="21"/>
              </w:rPr>
              <w:t>1.11</w:t>
            </w:r>
          </w:p>
        </w:tc>
        <w:tc>
          <w:tcPr>
            <w:tcW w:w="1848" w:type="dxa"/>
            <w:vAlign w:val="center"/>
          </w:tcPr>
          <w:p>
            <w:pPr>
              <w:adjustRightInd w:val="0"/>
              <w:snapToGrid w:val="0"/>
              <w:spacing w:line="320" w:lineRule="exact"/>
              <w:jc w:val="center"/>
              <w:rPr>
                <w:rFonts w:ascii="宋体" w:hAnsi="宋体" w:cs="宋体"/>
                <w:szCs w:val="21"/>
              </w:rPr>
            </w:pPr>
            <w:r>
              <w:rPr>
                <w:rFonts w:hint="eastAsia" w:ascii="宋体" w:hAnsi="宋体" w:cs="宋体"/>
                <w:szCs w:val="21"/>
              </w:rPr>
              <w:t>偏  离</w:t>
            </w:r>
          </w:p>
        </w:tc>
        <w:tc>
          <w:tcPr>
            <w:tcW w:w="7373" w:type="dxa"/>
            <w:vAlign w:val="center"/>
          </w:tcPr>
          <w:p>
            <w:pPr>
              <w:adjustRightInd w:val="0"/>
              <w:snapToGrid w:val="0"/>
              <w:spacing w:line="320" w:lineRule="exact"/>
              <w:rPr>
                <w:rFonts w:ascii="宋体" w:hAnsi="宋体" w:cs="宋体"/>
                <w:szCs w:val="21"/>
              </w:rPr>
            </w:pPr>
            <w:r>
              <w:rPr>
                <w:rFonts w:hint="eastAsia" w:ascii="宋体" w:hAnsi="宋体" w:cs="宋体"/>
                <w:szCs w:val="21"/>
              </w:rPr>
              <w:t>不允许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11" w:hRule="atLeast"/>
          <w:jc w:val="center"/>
        </w:trPr>
        <w:tc>
          <w:tcPr>
            <w:tcW w:w="914" w:type="dxa"/>
            <w:vAlign w:val="center"/>
          </w:tcPr>
          <w:p>
            <w:pPr>
              <w:adjustRightInd w:val="0"/>
              <w:snapToGrid w:val="0"/>
              <w:spacing w:line="320" w:lineRule="exact"/>
              <w:jc w:val="center"/>
              <w:rPr>
                <w:rFonts w:ascii="宋体" w:hAnsi="宋体" w:cs="宋体"/>
                <w:szCs w:val="21"/>
              </w:rPr>
            </w:pPr>
            <w:r>
              <w:rPr>
                <w:rFonts w:hint="eastAsia" w:ascii="宋体" w:hAnsi="宋体" w:cs="宋体"/>
                <w:szCs w:val="21"/>
              </w:rPr>
              <w:t>2.1.1（7）</w:t>
            </w:r>
          </w:p>
        </w:tc>
        <w:tc>
          <w:tcPr>
            <w:tcW w:w="1848" w:type="dxa"/>
            <w:vAlign w:val="center"/>
          </w:tcPr>
          <w:p>
            <w:pPr>
              <w:adjustRightInd w:val="0"/>
              <w:snapToGrid w:val="0"/>
              <w:spacing w:line="320" w:lineRule="exact"/>
              <w:jc w:val="center"/>
              <w:rPr>
                <w:rFonts w:ascii="宋体" w:hAnsi="宋体" w:cs="宋体"/>
                <w:szCs w:val="21"/>
              </w:rPr>
            </w:pPr>
            <w:r>
              <w:rPr>
                <w:rFonts w:hint="eastAsia" w:ascii="宋体" w:hAnsi="宋体" w:cs="宋体"/>
                <w:szCs w:val="21"/>
              </w:rPr>
              <w:t>构成招标文件的其他材料</w:t>
            </w:r>
          </w:p>
        </w:tc>
        <w:tc>
          <w:tcPr>
            <w:tcW w:w="7373" w:type="dxa"/>
            <w:vAlign w:val="center"/>
          </w:tcPr>
          <w:p>
            <w:pPr>
              <w:tabs>
                <w:tab w:val="left" w:pos="826"/>
              </w:tabs>
              <w:adjustRightInd w:val="0"/>
              <w:snapToGrid w:val="0"/>
              <w:spacing w:line="320" w:lineRule="exact"/>
              <w:rPr>
                <w:rFonts w:ascii="宋体" w:hAnsi="宋体" w:cs="宋体"/>
                <w:szCs w:val="21"/>
              </w:rPr>
            </w:pPr>
            <w:r>
              <w:rPr>
                <w:rFonts w:hint="eastAsia" w:ascii="宋体" w:hAnsi="宋体" w:cs="宋体"/>
                <w:szCs w:val="21"/>
              </w:rPr>
              <w:t>招标答疑、澄清、通知、说明等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045" w:hRule="atLeast"/>
          <w:jc w:val="center"/>
        </w:trPr>
        <w:tc>
          <w:tcPr>
            <w:tcW w:w="914" w:type="dxa"/>
            <w:vAlign w:val="center"/>
          </w:tcPr>
          <w:p>
            <w:pPr>
              <w:adjustRightInd w:val="0"/>
              <w:snapToGrid w:val="0"/>
              <w:spacing w:line="320" w:lineRule="exact"/>
              <w:jc w:val="center"/>
              <w:rPr>
                <w:rFonts w:ascii="宋体" w:hAnsi="宋体" w:cs="宋体"/>
                <w:szCs w:val="21"/>
              </w:rPr>
            </w:pPr>
            <w:r>
              <w:rPr>
                <w:rFonts w:hint="eastAsia" w:ascii="宋体" w:hAnsi="宋体" w:cs="宋体"/>
                <w:szCs w:val="21"/>
              </w:rPr>
              <w:t>2.2</w:t>
            </w:r>
          </w:p>
        </w:tc>
        <w:tc>
          <w:tcPr>
            <w:tcW w:w="1848" w:type="dxa"/>
            <w:vAlign w:val="center"/>
          </w:tcPr>
          <w:p>
            <w:pPr>
              <w:adjustRightInd w:val="0"/>
              <w:snapToGrid w:val="0"/>
              <w:spacing w:line="320" w:lineRule="exact"/>
              <w:jc w:val="center"/>
              <w:rPr>
                <w:rFonts w:ascii="宋体" w:hAnsi="宋体" w:cs="宋体"/>
                <w:szCs w:val="21"/>
              </w:rPr>
            </w:pPr>
            <w:bookmarkStart w:id="19" w:name="OLE_LINK11"/>
            <w:bookmarkStart w:id="20" w:name="OLE_LINK12"/>
            <w:r>
              <w:rPr>
                <w:rFonts w:hint="eastAsia" w:ascii="宋体" w:hAnsi="宋体" w:cs="宋体"/>
                <w:szCs w:val="21"/>
              </w:rPr>
              <w:t>投标人要求澄清招标文件的截止时间</w:t>
            </w:r>
            <w:bookmarkEnd w:id="19"/>
            <w:bookmarkEnd w:id="20"/>
          </w:p>
        </w:tc>
        <w:tc>
          <w:tcPr>
            <w:tcW w:w="7373" w:type="dxa"/>
            <w:vAlign w:val="center"/>
          </w:tcPr>
          <w:p>
            <w:pPr>
              <w:adjustRightInd w:val="0"/>
              <w:snapToGrid w:val="0"/>
              <w:spacing w:line="320" w:lineRule="exact"/>
              <w:rPr>
                <w:rFonts w:ascii="宋体" w:hAnsi="宋体" w:cs="宋体"/>
                <w:b/>
                <w:color w:val="0000FF"/>
                <w:szCs w:val="21"/>
              </w:rPr>
            </w:pPr>
            <w:bookmarkStart w:id="21" w:name="OLE_LINK13"/>
            <w:bookmarkStart w:id="22" w:name="OLE_LINK14"/>
            <w:r>
              <w:rPr>
                <w:rFonts w:hint="eastAsia" w:ascii="宋体" w:hAnsi="宋体" w:cs="宋体"/>
                <w:b/>
                <w:color w:val="0000FF"/>
                <w:szCs w:val="21"/>
              </w:rPr>
              <w:t>2025 年10月1</w:t>
            </w:r>
            <w:r>
              <w:rPr>
                <w:rFonts w:hint="eastAsia" w:ascii="宋体" w:hAnsi="宋体" w:cs="宋体"/>
                <w:b/>
                <w:color w:val="0000FF"/>
                <w:szCs w:val="21"/>
                <w:lang w:val="en-US" w:eastAsia="zh-CN"/>
              </w:rPr>
              <w:t>3</w:t>
            </w:r>
            <w:r>
              <w:rPr>
                <w:rFonts w:hint="eastAsia" w:ascii="宋体" w:hAnsi="宋体" w:cs="宋体"/>
                <w:b/>
                <w:color w:val="0000FF"/>
                <w:szCs w:val="21"/>
              </w:rPr>
              <w:t>日17时之前</w:t>
            </w:r>
            <w:bookmarkEnd w:id="21"/>
            <w:bookmarkEnd w:id="22"/>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65" w:hRule="atLeast"/>
          <w:jc w:val="center"/>
        </w:trPr>
        <w:tc>
          <w:tcPr>
            <w:tcW w:w="914" w:type="dxa"/>
            <w:vAlign w:val="center"/>
          </w:tcPr>
          <w:p>
            <w:pPr>
              <w:adjustRightInd w:val="0"/>
              <w:snapToGrid w:val="0"/>
              <w:spacing w:line="320" w:lineRule="exact"/>
              <w:jc w:val="center"/>
              <w:rPr>
                <w:rFonts w:ascii="宋体" w:hAnsi="宋体" w:cs="宋体"/>
                <w:szCs w:val="21"/>
              </w:rPr>
            </w:pPr>
            <w:r>
              <w:rPr>
                <w:rFonts w:hint="eastAsia" w:ascii="宋体" w:hAnsi="宋体" w:cs="宋体"/>
                <w:szCs w:val="21"/>
              </w:rPr>
              <w:t>2.3</w:t>
            </w:r>
          </w:p>
        </w:tc>
        <w:tc>
          <w:tcPr>
            <w:tcW w:w="1848" w:type="dxa"/>
            <w:vAlign w:val="center"/>
          </w:tcPr>
          <w:p>
            <w:pPr>
              <w:adjustRightInd w:val="0"/>
              <w:snapToGrid w:val="0"/>
              <w:spacing w:line="320" w:lineRule="exact"/>
              <w:jc w:val="center"/>
              <w:rPr>
                <w:rFonts w:ascii="宋体" w:hAnsi="宋体" w:cs="宋体"/>
                <w:szCs w:val="21"/>
              </w:rPr>
            </w:pPr>
            <w:bookmarkStart w:id="23" w:name="OLE_LINK15"/>
            <w:bookmarkStart w:id="24" w:name="OLE_LINK16"/>
            <w:r>
              <w:rPr>
                <w:rFonts w:hint="eastAsia" w:ascii="宋体" w:hAnsi="宋体" w:cs="宋体"/>
                <w:szCs w:val="21"/>
              </w:rPr>
              <w:t>招标文件澄清</w:t>
            </w:r>
          </w:p>
          <w:p>
            <w:pPr>
              <w:adjustRightInd w:val="0"/>
              <w:snapToGrid w:val="0"/>
              <w:spacing w:line="320" w:lineRule="exact"/>
              <w:jc w:val="center"/>
              <w:rPr>
                <w:rFonts w:ascii="宋体" w:hAnsi="宋体" w:cs="宋体"/>
                <w:szCs w:val="21"/>
              </w:rPr>
            </w:pPr>
            <w:r>
              <w:rPr>
                <w:rFonts w:hint="eastAsia" w:ascii="宋体" w:hAnsi="宋体" w:cs="宋体"/>
                <w:szCs w:val="21"/>
              </w:rPr>
              <w:t>发布时间</w:t>
            </w:r>
            <w:bookmarkEnd w:id="23"/>
            <w:bookmarkEnd w:id="24"/>
          </w:p>
        </w:tc>
        <w:tc>
          <w:tcPr>
            <w:tcW w:w="7373" w:type="dxa"/>
            <w:vAlign w:val="center"/>
          </w:tcPr>
          <w:p>
            <w:pPr>
              <w:adjustRightInd w:val="0"/>
              <w:snapToGrid w:val="0"/>
              <w:spacing w:line="320" w:lineRule="exact"/>
              <w:rPr>
                <w:rFonts w:ascii="宋体" w:hAnsi="宋体" w:cs="宋体"/>
                <w:b/>
                <w:color w:val="0000FF"/>
                <w:szCs w:val="21"/>
              </w:rPr>
            </w:pPr>
            <w:bookmarkStart w:id="25" w:name="OLE_LINK17"/>
            <w:bookmarkStart w:id="26" w:name="OLE_LINK18"/>
            <w:r>
              <w:rPr>
                <w:rFonts w:hint="eastAsia" w:ascii="宋体" w:hAnsi="宋体" w:cs="宋体"/>
                <w:b/>
                <w:color w:val="0000FF"/>
                <w:szCs w:val="21"/>
              </w:rPr>
              <w:t xml:space="preserve">2025年 10月 </w:t>
            </w:r>
            <w:r>
              <w:rPr>
                <w:rFonts w:hint="eastAsia" w:ascii="宋体" w:hAnsi="宋体" w:cs="宋体"/>
                <w:b/>
                <w:color w:val="0000FF"/>
                <w:szCs w:val="21"/>
                <w:lang w:val="en-US" w:eastAsia="zh-CN"/>
              </w:rPr>
              <w:t>20</w:t>
            </w:r>
            <w:r>
              <w:rPr>
                <w:rFonts w:hint="eastAsia" w:ascii="宋体" w:hAnsi="宋体" w:cs="宋体"/>
                <w:b/>
                <w:color w:val="0000FF"/>
                <w:szCs w:val="21"/>
              </w:rPr>
              <w:t>日17时之前</w:t>
            </w:r>
            <w:bookmarkEnd w:id="25"/>
            <w:bookmarkEnd w:id="26"/>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47" w:hRule="atLeast"/>
          <w:jc w:val="center"/>
        </w:trPr>
        <w:tc>
          <w:tcPr>
            <w:tcW w:w="914" w:type="dxa"/>
            <w:vAlign w:val="center"/>
          </w:tcPr>
          <w:p>
            <w:pPr>
              <w:adjustRightInd w:val="0"/>
              <w:snapToGrid w:val="0"/>
              <w:spacing w:line="320" w:lineRule="exact"/>
              <w:jc w:val="center"/>
              <w:rPr>
                <w:rFonts w:ascii="宋体" w:hAnsi="宋体" w:cs="宋体"/>
                <w:szCs w:val="21"/>
              </w:rPr>
            </w:pPr>
            <w:r>
              <w:rPr>
                <w:rFonts w:hint="eastAsia" w:ascii="宋体" w:hAnsi="宋体" w:cs="宋体"/>
                <w:szCs w:val="21"/>
              </w:rPr>
              <w:t>2.4</w:t>
            </w:r>
          </w:p>
        </w:tc>
        <w:tc>
          <w:tcPr>
            <w:tcW w:w="1848" w:type="dxa"/>
            <w:vAlign w:val="center"/>
          </w:tcPr>
          <w:p>
            <w:pPr>
              <w:adjustRightInd w:val="0"/>
              <w:snapToGrid w:val="0"/>
              <w:spacing w:line="320" w:lineRule="exact"/>
              <w:jc w:val="center"/>
              <w:rPr>
                <w:rFonts w:ascii="宋体" w:hAnsi="宋体" w:cs="宋体"/>
                <w:szCs w:val="21"/>
              </w:rPr>
            </w:pPr>
            <w:r>
              <w:rPr>
                <w:rFonts w:hint="eastAsia" w:ascii="宋体" w:hAnsi="宋体" w:cs="宋体"/>
                <w:szCs w:val="21"/>
              </w:rPr>
              <w:t>招标控制价</w:t>
            </w:r>
          </w:p>
        </w:tc>
        <w:tc>
          <w:tcPr>
            <w:tcW w:w="7373" w:type="dxa"/>
            <w:vAlign w:val="center"/>
          </w:tcPr>
          <w:p>
            <w:pPr>
              <w:adjustRightInd w:val="0"/>
              <w:snapToGrid w:val="0"/>
              <w:spacing w:line="320" w:lineRule="exact"/>
              <w:rPr>
                <w:rFonts w:ascii="宋体" w:hAnsi="宋体" w:cs="宋体"/>
                <w:b/>
                <w:sz w:val="24"/>
                <w:szCs w:val="24"/>
              </w:rPr>
            </w:pPr>
            <w:r>
              <w:rPr>
                <w:rFonts w:hint="eastAsia" w:ascii="宋体" w:hAnsi="宋体" w:cs="宋体"/>
                <w:b/>
                <w:sz w:val="24"/>
                <w:szCs w:val="24"/>
              </w:rPr>
              <w:t>招标控制价</w:t>
            </w:r>
            <w:r>
              <w:rPr>
                <w:rFonts w:hint="eastAsia" w:ascii="宋体" w:hAnsi="宋体"/>
                <w:b/>
                <w:bCs/>
                <w:color w:val="0000FF"/>
                <w:szCs w:val="21"/>
              </w:rPr>
              <w:t>187.6980万元/年</w:t>
            </w:r>
            <w:r>
              <w:rPr>
                <w:rFonts w:hint="eastAsia" w:ascii="宋体" w:hAnsi="宋体" w:cs="宋体"/>
                <w:b/>
                <w:sz w:val="24"/>
                <w:szCs w:val="24"/>
              </w:rPr>
              <w:t>（详见招标公告第2.6条款）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137" w:hRule="atLeast"/>
          <w:jc w:val="center"/>
        </w:trPr>
        <w:tc>
          <w:tcPr>
            <w:tcW w:w="914" w:type="dxa"/>
            <w:vAlign w:val="center"/>
          </w:tcPr>
          <w:p>
            <w:pPr>
              <w:adjustRightInd w:val="0"/>
              <w:snapToGrid w:val="0"/>
              <w:spacing w:line="320" w:lineRule="exact"/>
              <w:jc w:val="center"/>
              <w:rPr>
                <w:rFonts w:ascii="宋体" w:hAnsi="宋体" w:cs="宋体"/>
                <w:szCs w:val="21"/>
              </w:rPr>
            </w:pPr>
            <w:r>
              <w:rPr>
                <w:rFonts w:hint="eastAsia" w:ascii="宋体" w:hAnsi="宋体" w:cs="宋体"/>
                <w:szCs w:val="21"/>
              </w:rPr>
              <w:t>3.1.1</w:t>
            </w:r>
          </w:p>
        </w:tc>
        <w:tc>
          <w:tcPr>
            <w:tcW w:w="1848" w:type="dxa"/>
            <w:vAlign w:val="center"/>
          </w:tcPr>
          <w:p>
            <w:pPr>
              <w:adjustRightInd w:val="0"/>
              <w:snapToGrid w:val="0"/>
              <w:spacing w:line="320" w:lineRule="exact"/>
              <w:jc w:val="center"/>
              <w:rPr>
                <w:rFonts w:ascii="宋体" w:hAnsi="宋体" w:cs="宋体"/>
                <w:szCs w:val="21"/>
              </w:rPr>
            </w:pPr>
            <w:r>
              <w:rPr>
                <w:rFonts w:hint="eastAsia" w:ascii="宋体" w:hAnsi="宋体" w:cs="宋体"/>
                <w:szCs w:val="21"/>
              </w:rPr>
              <w:t>构成投标文件的材料</w:t>
            </w:r>
          </w:p>
          <w:p>
            <w:pPr>
              <w:adjustRightInd w:val="0"/>
              <w:snapToGrid w:val="0"/>
              <w:spacing w:line="320" w:lineRule="exact"/>
              <w:jc w:val="center"/>
              <w:rPr>
                <w:rFonts w:ascii="宋体" w:hAnsi="宋体" w:cs="宋体"/>
                <w:szCs w:val="21"/>
              </w:rPr>
            </w:pPr>
          </w:p>
        </w:tc>
        <w:tc>
          <w:tcPr>
            <w:tcW w:w="7373" w:type="dxa"/>
            <w:vAlign w:val="center"/>
          </w:tcPr>
          <w:p>
            <w:pPr>
              <w:spacing w:line="320" w:lineRule="exact"/>
              <w:rPr>
                <w:rFonts w:ascii="宋体" w:hAnsi="宋体" w:cs="宋体"/>
                <w:b/>
                <w:color w:val="000000"/>
                <w:szCs w:val="21"/>
              </w:rPr>
            </w:pPr>
            <w:r>
              <w:rPr>
                <w:rFonts w:hint="eastAsia" w:ascii="宋体" w:hAnsi="宋体" w:cs="宋体"/>
                <w:b/>
                <w:color w:val="000000"/>
                <w:szCs w:val="21"/>
              </w:rPr>
              <w:t>构成投标文件的材料：</w:t>
            </w:r>
          </w:p>
          <w:p>
            <w:pPr>
              <w:spacing w:line="320" w:lineRule="exact"/>
              <w:rPr>
                <w:rFonts w:ascii="宋体" w:hAnsi="宋体" w:cs="宋体"/>
                <w:b/>
                <w:color w:val="000000"/>
                <w:szCs w:val="21"/>
              </w:rPr>
            </w:pPr>
            <w:r>
              <w:rPr>
                <w:rFonts w:hint="eastAsia" w:ascii="宋体" w:hAnsi="宋体" w:cs="宋体"/>
                <w:b/>
                <w:color w:val="000000"/>
                <w:szCs w:val="21"/>
              </w:rPr>
              <w:t>资格部分:</w:t>
            </w:r>
          </w:p>
          <w:p>
            <w:pPr>
              <w:spacing w:line="320" w:lineRule="exact"/>
              <w:rPr>
                <w:rFonts w:ascii="宋体" w:hAnsi="宋体" w:cs="宋体"/>
                <w:color w:val="000000"/>
                <w:szCs w:val="21"/>
              </w:rPr>
            </w:pPr>
            <w:r>
              <w:rPr>
                <w:rFonts w:ascii="宋体" w:hAnsi="宋体" w:cs="宋体"/>
                <w:b/>
                <w:color w:val="000000"/>
                <w:szCs w:val="21"/>
              </w:rPr>
              <w:fldChar w:fldCharType="begin"/>
            </w:r>
            <w:r>
              <w:rPr>
                <w:rFonts w:hint="eastAsia" w:ascii="宋体" w:hAnsi="宋体" w:cs="宋体"/>
                <w:b/>
                <w:color w:val="000000"/>
                <w:szCs w:val="21"/>
              </w:rPr>
              <w:instrText xml:space="preserve">eq \o\ac(□,</w:instrText>
            </w:r>
            <w:r>
              <w:rPr>
                <w:rFonts w:hint="eastAsia" w:ascii="宋体" w:hAnsi="宋体" w:cs="宋体"/>
                <w:b/>
                <w:color w:val="000000"/>
                <w:position w:val="2"/>
                <w:szCs w:val="21"/>
              </w:rPr>
              <w:instrText xml:space="preserve">√</w:instrText>
            </w:r>
            <w:r>
              <w:rPr>
                <w:rFonts w:hint="eastAsia" w:ascii="宋体" w:hAnsi="宋体" w:cs="宋体"/>
                <w:b/>
                <w:color w:val="000000"/>
                <w:szCs w:val="21"/>
              </w:rPr>
              <w:instrText xml:space="preserve">)</w:instrText>
            </w:r>
            <w:r>
              <w:rPr>
                <w:rFonts w:ascii="宋体" w:hAnsi="宋体" w:cs="宋体"/>
                <w:b/>
                <w:color w:val="000000"/>
                <w:szCs w:val="21"/>
              </w:rPr>
              <w:fldChar w:fldCharType="end"/>
            </w:r>
            <w:r>
              <w:rPr>
                <w:rFonts w:hint="eastAsia" w:ascii="宋体" w:hAnsi="宋体" w:cs="宋体"/>
                <w:color w:val="000000"/>
                <w:szCs w:val="21"/>
              </w:rPr>
              <w:t>投标人情况一览表；</w:t>
            </w:r>
          </w:p>
          <w:p>
            <w:pPr>
              <w:spacing w:line="320" w:lineRule="exact"/>
              <w:rPr>
                <w:rFonts w:ascii="宋体" w:hAnsi="宋体"/>
                <w:color w:val="000000"/>
                <w:kern w:val="0"/>
                <w:szCs w:val="21"/>
              </w:rPr>
            </w:pPr>
            <w:r>
              <w:rPr>
                <w:rFonts w:ascii="宋体" w:hAnsi="宋体" w:cs="宋体"/>
                <w:b/>
                <w:color w:val="000000"/>
                <w:szCs w:val="21"/>
              </w:rPr>
              <w:fldChar w:fldCharType="begin"/>
            </w:r>
            <w:r>
              <w:rPr>
                <w:rFonts w:hint="eastAsia" w:ascii="宋体" w:hAnsi="宋体" w:cs="宋体"/>
                <w:b/>
                <w:color w:val="000000"/>
                <w:szCs w:val="21"/>
              </w:rPr>
              <w:instrText xml:space="preserve">eq \o\ac(□,</w:instrText>
            </w:r>
            <w:r>
              <w:rPr>
                <w:rFonts w:hint="eastAsia" w:ascii="宋体" w:hAnsi="宋体" w:cs="宋体"/>
                <w:b/>
                <w:color w:val="000000"/>
                <w:position w:val="2"/>
                <w:szCs w:val="21"/>
              </w:rPr>
              <w:instrText xml:space="preserve">√</w:instrText>
            </w:r>
            <w:r>
              <w:rPr>
                <w:rFonts w:hint="eastAsia" w:ascii="宋体" w:hAnsi="宋体" w:cs="宋体"/>
                <w:b/>
                <w:color w:val="000000"/>
                <w:szCs w:val="21"/>
              </w:rPr>
              <w:instrText xml:space="preserve">)</w:instrText>
            </w:r>
            <w:r>
              <w:rPr>
                <w:rFonts w:ascii="宋体" w:hAnsi="宋体" w:cs="宋体"/>
                <w:b/>
                <w:color w:val="000000"/>
                <w:szCs w:val="21"/>
              </w:rPr>
              <w:fldChar w:fldCharType="end"/>
            </w:r>
            <w:r>
              <w:rPr>
                <w:rFonts w:hint="eastAsia" w:ascii="宋体" w:hAnsi="宋体"/>
                <w:color w:val="000000"/>
                <w:kern w:val="0"/>
                <w:szCs w:val="21"/>
              </w:rPr>
              <w:t>企业营业执照；</w:t>
            </w:r>
          </w:p>
          <w:p>
            <w:pPr>
              <w:spacing w:line="320" w:lineRule="exact"/>
              <w:rPr>
                <w:rFonts w:ascii="宋体" w:hAnsi="宋体" w:cs="宋体"/>
                <w:color w:val="000000"/>
                <w:szCs w:val="21"/>
              </w:rPr>
            </w:pPr>
            <w:r>
              <w:rPr>
                <w:rFonts w:ascii="宋体" w:hAnsi="宋体" w:cs="宋体"/>
                <w:b/>
                <w:color w:val="000000"/>
                <w:szCs w:val="21"/>
              </w:rPr>
              <w:fldChar w:fldCharType="begin"/>
            </w:r>
            <w:r>
              <w:rPr>
                <w:rFonts w:hint="eastAsia" w:ascii="宋体" w:hAnsi="宋体" w:cs="宋体"/>
                <w:b/>
                <w:color w:val="000000"/>
                <w:szCs w:val="21"/>
              </w:rPr>
              <w:instrText xml:space="preserve">eq \o\ac(□,</w:instrText>
            </w:r>
            <w:r>
              <w:rPr>
                <w:rFonts w:hint="eastAsia" w:ascii="宋体" w:hAnsi="宋体" w:cs="宋体"/>
                <w:b/>
                <w:color w:val="000000"/>
                <w:position w:val="2"/>
                <w:szCs w:val="21"/>
              </w:rPr>
              <w:instrText xml:space="preserve">√</w:instrText>
            </w:r>
            <w:r>
              <w:rPr>
                <w:rFonts w:hint="eastAsia" w:ascii="宋体" w:hAnsi="宋体" w:cs="宋体"/>
                <w:b/>
                <w:color w:val="000000"/>
                <w:szCs w:val="21"/>
              </w:rPr>
              <w:instrText xml:space="preserve">)</w:instrText>
            </w:r>
            <w:r>
              <w:rPr>
                <w:rFonts w:ascii="宋体" w:hAnsi="宋体" w:cs="宋体"/>
                <w:b/>
                <w:color w:val="000000"/>
                <w:szCs w:val="21"/>
              </w:rPr>
              <w:fldChar w:fldCharType="end"/>
            </w:r>
            <w:r>
              <w:rPr>
                <w:rFonts w:hint="eastAsia" w:ascii="宋体" w:hAnsi="宋体" w:cs="宋体"/>
                <w:color w:val="000000"/>
                <w:szCs w:val="21"/>
              </w:rPr>
              <w:t>企业近五年业绩证明材料（近五年内至少获得一次南通市园林绿化管理处绿地管护优秀标段称号）；</w:t>
            </w:r>
          </w:p>
          <w:p>
            <w:pPr>
              <w:spacing w:line="320" w:lineRule="exact"/>
              <w:rPr>
                <w:rFonts w:ascii="宋体" w:hAnsi="宋体"/>
                <w:color w:val="000000"/>
                <w:szCs w:val="21"/>
              </w:rPr>
            </w:pPr>
            <w:r>
              <w:rPr>
                <w:rFonts w:ascii="宋体" w:hAnsi="宋体" w:cs="宋体"/>
                <w:b/>
                <w:color w:val="000000"/>
                <w:szCs w:val="21"/>
              </w:rPr>
              <w:fldChar w:fldCharType="begin"/>
            </w:r>
            <w:r>
              <w:rPr>
                <w:rFonts w:hint="eastAsia" w:ascii="宋体" w:hAnsi="宋体" w:cs="宋体"/>
                <w:b/>
                <w:color w:val="000000"/>
                <w:szCs w:val="21"/>
              </w:rPr>
              <w:instrText xml:space="preserve">eq \o\ac(□,</w:instrText>
            </w:r>
            <w:r>
              <w:rPr>
                <w:rFonts w:hint="eastAsia" w:ascii="宋体" w:hAnsi="宋体" w:cs="宋体"/>
                <w:b/>
                <w:color w:val="000000"/>
                <w:position w:val="2"/>
                <w:szCs w:val="21"/>
              </w:rPr>
              <w:instrText xml:space="preserve">√</w:instrText>
            </w:r>
            <w:r>
              <w:rPr>
                <w:rFonts w:hint="eastAsia" w:ascii="宋体" w:hAnsi="宋体" w:cs="宋体"/>
                <w:b/>
                <w:color w:val="000000"/>
                <w:szCs w:val="21"/>
              </w:rPr>
              <w:instrText xml:space="preserve">)</w:instrText>
            </w:r>
            <w:r>
              <w:rPr>
                <w:rFonts w:ascii="宋体" w:hAnsi="宋体" w:cs="宋体"/>
                <w:b/>
                <w:color w:val="000000"/>
                <w:szCs w:val="21"/>
              </w:rPr>
              <w:fldChar w:fldCharType="end"/>
            </w:r>
            <w:r>
              <w:rPr>
                <w:rFonts w:hint="eastAsia" w:ascii="宋体" w:hAnsi="宋体"/>
                <w:color w:val="000000"/>
                <w:szCs w:val="21"/>
              </w:rPr>
              <w:t>项目负责人等主要人员委任书；</w:t>
            </w:r>
          </w:p>
          <w:p>
            <w:pPr>
              <w:spacing w:line="320" w:lineRule="exact"/>
              <w:rPr>
                <w:rFonts w:ascii="宋体" w:hAnsi="宋体" w:cs="宋体"/>
                <w:color w:val="000000"/>
                <w:szCs w:val="21"/>
              </w:rPr>
            </w:pPr>
            <w:r>
              <w:rPr>
                <w:rFonts w:ascii="宋体" w:hAnsi="宋体" w:cs="宋体"/>
                <w:b/>
                <w:color w:val="000000"/>
                <w:szCs w:val="21"/>
              </w:rPr>
              <w:fldChar w:fldCharType="begin"/>
            </w:r>
            <w:r>
              <w:rPr>
                <w:rFonts w:hint="eastAsia" w:ascii="宋体" w:hAnsi="宋体" w:cs="宋体"/>
                <w:b/>
                <w:color w:val="000000"/>
                <w:szCs w:val="21"/>
              </w:rPr>
              <w:instrText xml:space="preserve">eq \o\ac(□,</w:instrText>
            </w:r>
            <w:r>
              <w:rPr>
                <w:rFonts w:hint="eastAsia" w:ascii="宋体" w:hAnsi="宋体" w:cs="宋体"/>
                <w:b/>
                <w:color w:val="000000"/>
                <w:position w:val="2"/>
                <w:szCs w:val="21"/>
              </w:rPr>
              <w:instrText xml:space="preserve">√</w:instrText>
            </w:r>
            <w:r>
              <w:rPr>
                <w:rFonts w:hint="eastAsia" w:ascii="宋体" w:hAnsi="宋体" w:cs="宋体"/>
                <w:b/>
                <w:color w:val="000000"/>
                <w:szCs w:val="21"/>
              </w:rPr>
              <w:instrText xml:space="preserve">)</w:instrText>
            </w:r>
            <w:r>
              <w:rPr>
                <w:rFonts w:ascii="宋体" w:hAnsi="宋体" w:cs="宋体"/>
                <w:b/>
                <w:color w:val="000000"/>
                <w:szCs w:val="21"/>
              </w:rPr>
              <w:fldChar w:fldCharType="end"/>
            </w:r>
            <w:r>
              <w:rPr>
                <w:rFonts w:hint="eastAsia" w:ascii="宋体" w:hAnsi="宋体" w:cs="宋体"/>
                <w:szCs w:val="21"/>
              </w:rPr>
              <w:t>项目负责人、现场负责人、技术工的职称或资格证书及相关证明材料；</w:t>
            </w:r>
          </w:p>
          <w:p>
            <w:pPr>
              <w:spacing w:line="320" w:lineRule="exact"/>
              <w:rPr>
                <w:rFonts w:ascii="宋体" w:hAnsi="宋体" w:cs="宋体"/>
                <w:color w:val="000000"/>
                <w:szCs w:val="21"/>
              </w:rPr>
            </w:pPr>
            <w:r>
              <w:rPr>
                <w:rFonts w:ascii="宋体" w:hAnsi="宋体" w:cs="宋体"/>
                <w:b/>
                <w:color w:val="000000"/>
                <w:szCs w:val="21"/>
              </w:rPr>
              <w:fldChar w:fldCharType="begin"/>
            </w:r>
            <w:r>
              <w:rPr>
                <w:rFonts w:hint="eastAsia" w:ascii="宋体" w:hAnsi="宋体" w:cs="宋体"/>
                <w:b/>
                <w:color w:val="000000"/>
                <w:szCs w:val="21"/>
              </w:rPr>
              <w:instrText xml:space="preserve">eq \o\ac(□,</w:instrText>
            </w:r>
            <w:r>
              <w:rPr>
                <w:rFonts w:hint="eastAsia" w:ascii="宋体" w:hAnsi="宋体" w:cs="宋体"/>
                <w:b/>
                <w:color w:val="000000"/>
                <w:position w:val="2"/>
                <w:szCs w:val="21"/>
              </w:rPr>
              <w:instrText xml:space="preserve">√</w:instrText>
            </w:r>
            <w:r>
              <w:rPr>
                <w:rFonts w:hint="eastAsia" w:ascii="宋体" w:hAnsi="宋体" w:cs="宋体"/>
                <w:b/>
                <w:color w:val="000000"/>
                <w:szCs w:val="21"/>
              </w:rPr>
              <w:instrText xml:space="preserve">)</w:instrText>
            </w:r>
            <w:r>
              <w:rPr>
                <w:rFonts w:ascii="宋体" w:hAnsi="宋体" w:cs="宋体"/>
                <w:b/>
                <w:color w:val="000000"/>
                <w:szCs w:val="21"/>
              </w:rPr>
              <w:fldChar w:fldCharType="end"/>
            </w:r>
            <w:r>
              <w:rPr>
                <w:rFonts w:hint="eastAsia" w:ascii="宋体" w:hAnsi="宋体" w:cs="宋体"/>
                <w:color w:val="000000"/>
                <w:szCs w:val="21"/>
              </w:rPr>
              <w:t>诚信承诺书；</w:t>
            </w:r>
          </w:p>
          <w:p>
            <w:pPr>
              <w:spacing w:line="320" w:lineRule="exact"/>
              <w:rPr>
                <w:rFonts w:ascii="宋体" w:hAnsi="宋体" w:cs="宋体"/>
                <w:b/>
                <w:color w:val="000000" w:themeColor="text1"/>
                <w:szCs w:val="21"/>
              </w:rPr>
            </w:pPr>
            <w:r>
              <w:rPr>
                <w:rFonts w:hint="eastAsia" w:ascii="宋体" w:hAnsi="宋体" w:cs="宋体"/>
                <w:b/>
                <w:color w:val="000000" w:themeColor="text1"/>
                <w:szCs w:val="21"/>
              </w:rPr>
              <w:t>商务技术标部分：</w:t>
            </w:r>
          </w:p>
          <w:p>
            <w:pPr>
              <w:spacing w:line="320" w:lineRule="exact"/>
              <w:rPr>
                <w:rFonts w:ascii="宋体" w:hAnsi="宋体" w:cs="宋体"/>
                <w:b/>
                <w:color w:val="0000FF"/>
                <w:szCs w:val="21"/>
              </w:rPr>
            </w:pPr>
            <w:r>
              <w:rPr>
                <w:rFonts w:ascii="宋体" w:hAnsi="宋体" w:cs="宋体"/>
                <w:b/>
                <w:color w:val="0000FF"/>
                <w:szCs w:val="21"/>
              </w:rPr>
              <w:fldChar w:fldCharType="begin"/>
            </w:r>
            <w:r>
              <w:rPr>
                <w:rFonts w:hint="eastAsia" w:ascii="宋体" w:hAnsi="宋体" w:cs="宋体"/>
                <w:b/>
                <w:color w:val="0000FF"/>
                <w:szCs w:val="21"/>
              </w:rPr>
              <w:instrText xml:space="preserve">eq \o\ac(□,</w:instrText>
            </w:r>
            <w:r>
              <w:rPr>
                <w:rFonts w:hint="eastAsia" w:ascii="宋体" w:hAnsi="宋体" w:cs="宋体"/>
                <w:b/>
                <w:color w:val="0000FF"/>
                <w:position w:val="2"/>
                <w:szCs w:val="21"/>
              </w:rPr>
              <w:instrText xml:space="preserve">√</w:instrText>
            </w:r>
            <w:r>
              <w:rPr>
                <w:rFonts w:hint="eastAsia" w:ascii="宋体" w:hAnsi="宋体" w:cs="宋体"/>
                <w:b/>
                <w:color w:val="0000FF"/>
                <w:szCs w:val="21"/>
              </w:rPr>
              <w:instrText xml:space="preserve">)</w:instrText>
            </w:r>
            <w:r>
              <w:rPr>
                <w:rFonts w:ascii="宋体" w:hAnsi="宋体" w:cs="宋体"/>
                <w:b/>
                <w:color w:val="0000FF"/>
                <w:szCs w:val="21"/>
              </w:rPr>
              <w:fldChar w:fldCharType="end"/>
            </w:r>
            <w:r>
              <w:rPr>
                <w:rFonts w:hint="eastAsia" w:ascii="宋体" w:hAnsi="宋体" w:cs="宋体"/>
                <w:b/>
                <w:color w:val="0000FF"/>
                <w:szCs w:val="21"/>
              </w:rPr>
              <w:t>项目负责人或现场负责人近五年内（2020-2024年）业绩证明材料，即在南通市园林绿化管理处获得过“绿化管护优秀项目负责人（现场负责人）”</w:t>
            </w:r>
          </w:p>
          <w:p>
            <w:pPr>
              <w:snapToGrid w:val="0"/>
              <w:spacing w:line="300" w:lineRule="auto"/>
              <w:contextualSpacing/>
              <w:rPr>
                <w:rFonts w:ascii="宋体" w:hAnsi="宋体" w:cs="宋体"/>
                <w:color w:val="000000" w:themeColor="text1"/>
                <w:szCs w:val="21"/>
              </w:rPr>
            </w:pPr>
            <w:r>
              <w:rPr>
                <w:rFonts w:ascii="宋体" w:hAnsi="宋体" w:cs="宋体"/>
                <w:b/>
                <w:color w:val="000000" w:themeColor="text1"/>
                <w:szCs w:val="21"/>
              </w:rPr>
              <w:fldChar w:fldCharType="begin"/>
            </w:r>
            <w:r>
              <w:rPr>
                <w:rFonts w:hint="eastAsia" w:ascii="宋体" w:hAnsi="宋体" w:cs="宋体"/>
                <w:b/>
                <w:color w:val="000000" w:themeColor="text1"/>
                <w:szCs w:val="21"/>
              </w:rPr>
              <w:instrText xml:space="preserve">eq \o\ac(□,</w:instrText>
            </w:r>
            <w:r>
              <w:rPr>
                <w:rFonts w:hint="eastAsia" w:ascii="宋体" w:hAnsi="宋体" w:cs="宋体"/>
                <w:b/>
                <w:color w:val="000000" w:themeColor="text1"/>
                <w:position w:val="2"/>
                <w:sz w:val="13"/>
                <w:szCs w:val="21"/>
              </w:rPr>
              <w:instrText xml:space="preserve">√</w:instrText>
            </w:r>
            <w:r>
              <w:rPr>
                <w:rFonts w:hint="eastAsia" w:ascii="宋体" w:hAnsi="宋体" w:cs="宋体"/>
                <w:b/>
                <w:color w:val="000000" w:themeColor="text1"/>
                <w:szCs w:val="21"/>
              </w:rPr>
              <w:instrText xml:space="preserve">,</w:instrText>
            </w:r>
            <w:r>
              <w:rPr>
                <w:rFonts w:hint="eastAsia" w:ascii="宋体" w:hAnsi="宋体" w:cs="宋体"/>
                <w:b/>
                <w:color w:val="000000" w:themeColor="text1"/>
                <w:position w:val="2"/>
                <w:szCs w:val="21"/>
              </w:rPr>
              <w:instrText xml:space="preserve">√</w:instrText>
            </w:r>
            <w:r>
              <w:rPr>
                <w:rFonts w:hint="eastAsia" w:ascii="宋体" w:hAnsi="宋体" w:cs="宋体"/>
                <w:b/>
                <w:color w:val="000000" w:themeColor="text1"/>
                <w:szCs w:val="21"/>
              </w:rPr>
              <w:instrText xml:space="preserve">)</w:instrText>
            </w:r>
            <w:r>
              <w:rPr>
                <w:rFonts w:ascii="宋体" w:hAnsi="宋体" w:cs="宋体"/>
                <w:b/>
                <w:color w:val="000000" w:themeColor="text1"/>
                <w:szCs w:val="21"/>
              </w:rPr>
              <w:fldChar w:fldCharType="end"/>
            </w:r>
            <w:r>
              <w:rPr>
                <w:rFonts w:hint="eastAsia" w:ascii="宋体" w:hAnsi="宋体" w:cs="宋体"/>
                <w:color w:val="000000" w:themeColor="text1"/>
                <w:szCs w:val="21"/>
              </w:rPr>
              <w:t>管护方案（暗标）：针对行政中心（含信访局）附属绿地的特殊性，编制有针对性的养护作业方案。至少包含但不仅限于：有完善的组织管理体系；有针对政府大院附属绿地养护质量和作业时间特殊要求的工作措施；有科学合理的质量、安全、文明管护方案；有养护过程关键性环节、重点难点分析和解决方法。</w:t>
            </w:r>
          </w:p>
          <w:p>
            <w:pPr>
              <w:spacing w:line="320" w:lineRule="exact"/>
              <w:rPr>
                <w:rFonts w:ascii="宋体" w:hAnsi="宋体" w:cs="宋体"/>
                <w:color w:val="000000" w:themeColor="text1"/>
                <w:szCs w:val="21"/>
              </w:rPr>
            </w:pPr>
            <w:r>
              <w:rPr>
                <w:rFonts w:hint="eastAsia" w:ascii="宋体" w:hAnsi="宋体" w:cs="宋体"/>
                <w:b/>
                <w:color w:val="000000" w:themeColor="text1"/>
                <w:szCs w:val="21"/>
              </w:rPr>
              <w:t>此部分为暗标：投标单位编制时不可以有封面，具体格式及要求如下：</w:t>
            </w:r>
          </w:p>
          <w:p>
            <w:pPr>
              <w:spacing w:line="320" w:lineRule="exact"/>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①所有正文（含标题）不得出现可识别投标人身份的任何字符和徽标（包括文字、符号、图案、标识、标志、边框、表格、人员姓名、企业名称、以往工程名称、投标人独有企业标准或编号等）</w:t>
            </w:r>
          </w:p>
          <w:p>
            <w:pPr>
              <w:spacing w:line="320" w:lineRule="exact"/>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②排版要求：A4页面；使用WORD文件形式；正文（含标题）均为四号仿宋字体；行距固定值28磅；页边距（上2.5厘米，其余2.0厘米）；不得有任何加粗、斜体、下划线、边框、表格、底纹、阴影、重复序号等标记；不允许出现页眉，页脚只准出现页码；必须编页码，采用阿拉伯数字格式，页码设在页脚对中位置，页码必须连续，不得分章或节单独编码；不得出现图片；不得出现表格；不得出现边框。（如纸质标书，必须A4白色复印纸70g；单面打印，不允许彩色打印；左侧装订）</w:t>
            </w:r>
          </w:p>
          <w:p>
            <w:pPr>
              <w:spacing w:line="320" w:lineRule="exact"/>
              <w:rPr>
                <w:b/>
                <w:color w:val="0000FF"/>
              </w:rPr>
            </w:pPr>
            <w:r>
              <w:rPr>
                <w:rFonts w:ascii="宋体" w:hAnsi="宋体" w:cs="宋体"/>
                <w:b/>
                <w:color w:val="0000FF"/>
                <w:szCs w:val="21"/>
              </w:rPr>
              <w:fldChar w:fldCharType="begin"/>
            </w:r>
            <w:r>
              <w:rPr>
                <w:rFonts w:hint="eastAsia" w:ascii="宋体" w:hAnsi="宋体" w:cs="宋体"/>
                <w:b/>
                <w:color w:val="0000FF"/>
                <w:szCs w:val="21"/>
              </w:rPr>
              <w:instrText xml:space="preserve">eq \o\ac(□,</w:instrText>
            </w:r>
            <w:r>
              <w:rPr>
                <w:rFonts w:hint="eastAsia" w:ascii="宋体" w:hAnsi="宋体" w:cs="宋体"/>
                <w:b/>
                <w:color w:val="0000FF"/>
                <w:position w:val="2"/>
                <w:szCs w:val="21"/>
              </w:rPr>
              <w:instrText xml:space="preserve">√</w:instrText>
            </w:r>
            <w:r>
              <w:rPr>
                <w:rFonts w:hint="eastAsia" w:ascii="宋体" w:hAnsi="宋体" w:cs="宋体"/>
                <w:b/>
                <w:color w:val="0000FF"/>
                <w:szCs w:val="21"/>
              </w:rPr>
              <w:instrText xml:space="preserve">)</w:instrText>
            </w:r>
            <w:r>
              <w:rPr>
                <w:rFonts w:ascii="宋体" w:hAnsi="宋体" w:cs="宋体"/>
                <w:b/>
                <w:color w:val="0000FF"/>
                <w:szCs w:val="21"/>
              </w:rPr>
              <w:fldChar w:fldCharType="end"/>
            </w:r>
            <w:r>
              <w:rPr>
                <w:rFonts w:hint="eastAsia" w:ascii="宋体" w:hAnsi="宋体"/>
                <w:b/>
                <w:color w:val="0000FF"/>
                <w:szCs w:val="24"/>
              </w:rPr>
              <w:t>项目负责人或现场负责人答辩</w:t>
            </w:r>
          </w:p>
          <w:p>
            <w:pPr>
              <w:spacing w:line="320" w:lineRule="exact"/>
              <w:rPr>
                <w:rFonts w:ascii="宋体" w:hAnsi="宋体" w:cs="宋体"/>
                <w:color w:val="000000"/>
                <w:szCs w:val="21"/>
              </w:rPr>
            </w:pPr>
            <w:r>
              <w:rPr>
                <w:rFonts w:ascii="宋体" w:hAnsi="宋体" w:cs="宋体"/>
                <w:b/>
                <w:color w:val="000000"/>
                <w:szCs w:val="21"/>
              </w:rPr>
              <w:fldChar w:fldCharType="begin"/>
            </w:r>
            <w:r>
              <w:rPr>
                <w:rFonts w:hint="eastAsia" w:ascii="宋体" w:hAnsi="宋体" w:cs="宋体"/>
                <w:b/>
                <w:color w:val="000000"/>
                <w:szCs w:val="21"/>
              </w:rPr>
              <w:instrText xml:space="preserve">eq \o\ac(□,</w:instrText>
            </w:r>
            <w:r>
              <w:rPr>
                <w:rFonts w:hint="eastAsia" w:ascii="宋体" w:hAnsi="宋体" w:cs="宋体"/>
                <w:b/>
                <w:color w:val="000000"/>
                <w:position w:val="2"/>
                <w:szCs w:val="21"/>
              </w:rPr>
              <w:instrText xml:space="preserve">√</w:instrText>
            </w:r>
            <w:r>
              <w:rPr>
                <w:rFonts w:hint="eastAsia" w:ascii="宋体" w:hAnsi="宋体" w:cs="宋体"/>
                <w:b/>
                <w:color w:val="000000"/>
                <w:szCs w:val="21"/>
              </w:rPr>
              <w:instrText xml:space="preserve">)</w:instrText>
            </w:r>
            <w:r>
              <w:rPr>
                <w:rFonts w:ascii="宋体" w:hAnsi="宋体" w:cs="宋体"/>
                <w:b/>
                <w:color w:val="000000"/>
                <w:szCs w:val="21"/>
              </w:rPr>
              <w:fldChar w:fldCharType="end"/>
            </w:r>
            <w:r>
              <w:rPr>
                <w:rFonts w:hint="eastAsia" w:ascii="宋体" w:hAnsi="宋体" w:cs="宋体"/>
                <w:color w:val="000000"/>
                <w:szCs w:val="21"/>
              </w:rPr>
              <w:t xml:space="preserve"> 招标文件中要求填写的其它材料。</w:t>
            </w:r>
          </w:p>
          <w:p>
            <w:pPr>
              <w:spacing w:line="320" w:lineRule="exact"/>
              <w:rPr>
                <w:rFonts w:ascii="宋体" w:hAnsi="宋体" w:cs="宋体"/>
                <w:b/>
                <w:color w:val="000000"/>
                <w:szCs w:val="21"/>
              </w:rPr>
            </w:pPr>
            <w:r>
              <w:rPr>
                <w:rFonts w:hint="eastAsia" w:ascii="宋体" w:hAnsi="宋体" w:cs="宋体"/>
                <w:b/>
                <w:color w:val="000000"/>
                <w:szCs w:val="21"/>
              </w:rPr>
              <w:t>价格标部分：</w:t>
            </w:r>
          </w:p>
          <w:p>
            <w:pPr>
              <w:spacing w:line="320" w:lineRule="exact"/>
              <w:rPr>
                <w:rFonts w:ascii="宋体" w:hAnsi="宋体" w:cs="宋体"/>
                <w:color w:val="000000"/>
                <w:szCs w:val="21"/>
              </w:rPr>
            </w:pPr>
            <w:r>
              <w:rPr>
                <w:rFonts w:ascii="宋体" w:hAnsi="宋体" w:cs="宋体"/>
                <w:b/>
                <w:color w:val="000000"/>
                <w:szCs w:val="21"/>
              </w:rPr>
              <w:fldChar w:fldCharType="begin"/>
            </w:r>
            <w:r>
              <w:rPr>
                <w:rFonts w:hint="eastAsia" w:ascii="宋体" w:hAnsi="宋体" w:cs="宋体"/>
                <w:b/>
                <w:color w:val="000000"/>
                <w:szCs w:val="21"/>
              </w:rPr>
              <w:instrText xml:space="preserve">eq \o\ac(□,</w:instrText>
            </w:r>
            <w:r>
              <w:rPr>
                <w:rFonts w:hint="eastAsia" w:ascii="宋体" w:hAnsi="宋体" w:cs="宋体"/>
                <w:b/>
                <w:color w:val="000000"/>
                <w:position w:val="2"/>
                <w:szCs w:val="21"/>
              </w:rPr>
              <w:instrText xml:space="preserve">√</w:instrText>
            </w:r>
            <w:r>
              <w:rPr>
                <w:rFonts w:hint="eastAsia" w:ascii="宋体" w:hAnsi="宋体" w:cs="宋体"/>
                <w:b/>
                <w:color w:val="000000"/>
                <w:szCs w:val="21"/>
              </w:rPr>
              <w:instrText xml:space="preserve">)</w:instrText>
            </w:r>
            <w:r>
              <w:rPr>
                <w:rFonts w:ascii="宋体" w:hAnsi="宋体" w:cs="宋体"/>
                <w:b/>
                <w:color w:val="000000"/>
                <w:szCs w:val="21"/>
              </w:rPr>
              <w:fldChar w:fldCharType="end"/>
            </w:r>
            <w:r>
              <w:rPr>
                <w:rFonts w:hint="eastAsia" w:ascii="宋体" w:hAnsi="宋体" w:cs="宋体"/>
                <w:color w:val="000000"/>
                <w:szCs w:val="21"/>
              </w:rPr>
              <w:t>法定代表人身份证明及授权委托书；</w:t>
            </w:r>
          </w:p>
          <w:p>
            <w:pPr>
              <w:spacing w:line="320" w:lineRule="exact"/>
              <w:rPr>
                <w:rFonts w:ascii="宋体" w:hAnsi="宋体" w:cs="宋体"/>
                <w:color w:val="000000"/>
                <w:szCs w:val="21"/>
              </w:rPr>
            </w:pPr>
            <w:r>
              <w:rPr>
                <w:rFonts w:ascii="宋体" w:hAnsi="宋体" w:cs="宋体"/>
                <w:b/>
                <w:color w:val="000000"/>
                <w:szCs w:val="21"/>
              </w:rPr>
              <w:fldChar w:fldCharType="begin"/>
            </w:r>
            <w:r>
              <w:rPr>
                <w:rFonts w:hint="eastAsia" w:ascii="宋体" w:hAnsi="宋体" w:cs="宋体"/>
                <w:b/>
                <w:color w:val="000000"/>
                <w:szCs w:val="21"/>
              </w:rPr>
              <w:instrText xml:space="preserve">eq \o\ac(□,</w:instrText>
            </w:r>
            <w:r>
              <w:rPr>
                <w:rFonts w:hint="eastAsia" w:ascii="宋体" w:hAnsi="宋体" w:cs="宋体"/>
                <w:b/>
                <w:color w:val="000000"/>
                <w:position w:val="2"/>
                <w:szCs w:val="21"/>
              </w:rPr>
              <w:instrText xml:space="preserve">√</w:instrText>
            </w:r>
            <w:r>
              <w:rPr>
                <w:rFonts w:hint="eastAsia" w:ascii="宋体" w:hAnsi="宋体" w:cs="宋体"/>
                <w:b/>
                <w:color w:val="000000"/>
                <w:szCs w:val="21"/>
              </w:rPr>
              <w:instrText xml:space="preserve">)</w:instrText>
            </w:r>
            <w:r>
              <w:rPr>
                <w:rFonts w:ascii="宋体" w:hAnsi="宋体" w:cs="宋体"/>
                <w:b/>
                <w:color w:val="000000"/>
                <w:szCs w:val="21"/>
              </w:rPr>
              <w:fldChar w:fldCharType="end"/>
            </w:r>
            <w:r>
              <w:rPr>
                <w:rFonts w:hint="eastAsia" w:ascii="宋体" w:hAnsi="宋体" w:cs="宋体"/>
                <w:color w:val="000000"/>
                <w:szCs w:val="21"/>
              </w:rPr>
              <w:t>投标函</w:t>
            </w:r>
          </w:p>
          <w:p>
            <w:pPr>
              <w:spacing w:line="320" w:lineRule="exact"/>
              <w:rPr>
                <w:rFonts w:ascii="宋体" w:hAnsi="宋体" w:cs="宋体"/>
                <w:color w:val="000000"/>
                <w:szCs w:val="21"/>
              </w:rPr>
            </w:pPr>
            <w:r>
              <w:rPr>
                <w:rFonts w:ascii="宋体" w:hAnsi="宋体" w:cs="宋体"/>
                <w:b/>
                <w:color w:val="000000"/>
                <w:szCs w:val="21"/>
              </w:rPr>
              <w:fldChar w:fldCharType="begin"/>
            </w:r>
            <w:r>
              <w:rPr>
                <w:rFonts w:hint="eastAsia" w:ascii="宋体" w:hAnsi="宋体" w:cs="宋体"/>
                <w:b/>
                <w:color w:val="000000"/>
                <w:szCs w:val="21"/>
              </w:rPr>
              <w:instrText xml:space="preserve">eq \o\ac(□,</w:instrText>
            </w:r>
            <w:r>
              <w:rPr>
                <w:rFonts w:hint="eastAsia" w:ascii="宋体" w:hAnsi="宋体" w:cs="宋体"/>
                <w:b/>
                <w:color w:val="000000"/>
                <w:position w:val="2"/>
                <w:szCs w:val="21"/>
              </w:rPr>
              <w:instrText xml:space="preserve">√</w:instrText>
            </w:r>
            <w:r>
              <w:rPr>
                <w:rFonts w:hint="eastAsia" w:ascii="宋体" w:hAnsi="宋体" w:cs="宋体"/>
                <w:b/>
                <w:color w:val="000000"/>
                <w:szCs w:val="21"/>
              </w:rPr>
              <w:instrText xml:space="preserve">)</w:instrText>
            </w:r>
            <w:r>
              <w:rPr>
                <w:rFonts w:ascii="宋体" w:hAnsi="宋体" w:cs="宋体"/>
                <w:b/>
                <w:color w:val="000000"/>
                <w:szCs w:val="21"/>
              </w:rPr>
              <w:fldChar w:fldCharType="end"/>
            </w:r>
            <w:r>
              <w:rPr>
                <w:rFonts w:hint="eastAsia" w:ascii="宋体" w:hAnsi="宋体" w:cs="宋体"/>
                <w:color w:val="000000"/>
                <w:szCs w:val="21"/>
              </w:rPr>
              <w:t>投标报价汇总表</w:t>
            </w:r>
          </w:p>
          <w:p>
            <w:pPr>
              <w:spacing w:line="320" w:lineRule="exact"/>
              <w:rPr>
                <w:rFonts w:ascii="宋体" w:hAnsi="宋体" w:cs="宋体"/>
                <w:color w:val="000000"/>
                <w:szCs w:val="21"/>
              </w:rPr>
            </w:pPr>
            <w:r>
              <w:rPr>
                <w:rFonts w:ascii="宋体" w:hAnsi="宋体" w:cs="宋体"/>
                <w:b/>
                <w:color w:val="000000"/>
                <w:szCs w:val="21"/>
              </w:rPr>
              <w:fldChar w:fldCharType="begin"/>
            </w:r>
            <w:r>
              <w:rPr>
                <w:rFonts w:hint="eastAsia" w:ascii="宋体" w:hAnsi="宋体" w:cs="宋体"/>
                <w:b/>
                <w:color w:val="000000"/>
                <w:szCs w:val="21"/>
              </w:rPr>
              <w:instrText xml:space="preserve">eq \o\ac(□,</w:instrText>
            </w:r>
            <w:r>
              <w:rPr>
                <w:rFonts w:hint="eastAsia" w:ascii="宋体" w:hAnsi="宋体" w:cs="宋体"/>
                <w:b/>
                <w:color w:val="000000"/>
                <w:position w:val="2"/>
                <w:szCs w:val="21"/>
              </w:rPr>
              <w:instrText xml:space="preserve">√</w:instrText>
            </w:r>
            <w:r>
              <w:rPr>
                <w:rFonts w:hint="eastAsia" w:ascii="宋体" w:hAnsi="宋体" w:cs="宋体"/>
                <w:b/>
                <w:color w:val="000000"/>
                <w:szCs w:val="21"/>
              </w:rPr>
              <w:instrText xml:space="preserve">)</w:instrText>
            </w:r>
            <w:r>
              <w:rPr>
                <w:rFonts w:ascii="宋体" w:hAnsi="宋体" w:cs="宋体"/>
                <w:b/>
                <w:color w:val="000000"/>
                <w:szCs w:val="21"/>
              </w:rPr>
              <w:fldChar w:fldCharType="end"/>
            </w:r>
            <w:r>
              <w:rPr>
                <w:rFonts w:hint="eastAsia" w:ascii="宋体" w:hAnsi="宋体" w:cs="宋体"/>
                <w:color w:val="000000"/>
                <w:szCs w:val="21"/>
              </w:rPr>
              <w:t>第一部分：管护分项报价表</w:t>
            </w:r>
          </w:p>
          <w:p>
            <w:pPr>
              <w:spacing w:line="320" w:lineRule="exact"/>
              <w:rPr>
                <w:rFonts w:ascii="宋体" w:hAnsi="宋体" w:cs="宋体"/>
                <w:color w:val="000000" w:themeColor="text1"/>
                <w:szCs w:val="21"/>
              </w:rPr>
            </w:pPr>
            <w:r>
              <w:rPr>
                <w:rFonts w:ascii="宋体" w:hAnsi="宋体" w:cs="宋体"/>
                <w:color w:val="000000" w:themeColor="text1"/>
                <w:szCs w:val="21"/>
              </w:rPr>
              <w:fldChar w:fldCharType="begin"/>
            </w:r>
            <w:r>
              <w:rPr>
                <w:rFonts w:hint="eastAsia" w:ascii="宋体" w:hAnsi="宋体" w:cs="宋体"/>
                <w:color w:val="000000" w:themeColor="text1"/>
                <w:szCs w:val="21"/>
              </w:rPr>
              <w:instrText xml:space="preserve">eq \o\ac(□,</w:instrText>
            </w:r>
            <w:r>
              <w:rPr>
                <w:rFonts w:hint="eastAsia" w:ascii="宋体" w:hAnsi="宋体" w:cs="宋体"/>
                <w:color w:val="000000" w:themeColor="text1"/>
                <w:position w:val="2"/>
                <w:szCs w:val="21"/>
              </w:rPr>
              <w:instrText xml:space="preserve">√</w:instrText>
            </w:r>
            <w:r>
              <w:rPr>
                <w:rFonts w:hint="eastAsia" w:ascii="宋体" w:hAnsi="宋体" w:cs="宋体"/>
                <w:color w:val="000000" w:themeColor="text1"/>
                <w:szCs w:val="21"/>
              </w:rPr>
              <w:instrText xml:space="preserve">)</w:instrText>
            </w:r>
            <w:r>
              <w:rPr>
                <w:rFonts w:ascii="宋体" w:hAnsi="宋体" w:cs="宋体"/>
                <w:color w:val="000000" w:themeColor="text1"/>
                <w:szCs w:val="21"/>
              </w:rPr>
              <w:fldChar w:fldCharType="end"/>
            </w:r>
            <w:r>
              <w:rPr>
                <w:rFonts w:hint="eastAsia" w:ascii="宋体" w:hAnsi="宋体" w:cs="宋体"/>
                <w:color w:val="000000" w:themeColor="text1"/>
                <w:szCs w:val="21"/>
              </w:rPr>
              <w:t>第二部分：老绿地缺陷完善分项的报价表</w:t>
            </w:r>
          </w:p>
          <w:p>
            <w:pPr>
              <w:spacing w:line="320" w:lineRule="exact"/>
              <w:rPr>
                <w:rFonts w:ascii="宋体" w:hAnsi="宋体" w:cs="宋体"/>
                <w:color w:val="000000"/>
                <w:szCs w:val="21"/>
              </w:rPr>
            </w:pPr>
            <w:r>
              <w:rPr>
                <w:rFonts w:ascii="宋体" w:hAnsi="宋体" w:cs="宋体"/>
                <w:b/>
                <w:color w:val="000000"/>
                <w:szCs w:val="21"/>
              </w:rPr>
              <w:fldChar w:fldCharType="begin"/>
            </w:r>
            <w:r>
              <w:rPr>
                <w:rFonts w:hint="eastAsia" w:ascii="宋体" w:hAnsi="宋体" w:cs="宋体"/>
                <w:b/>
                <w:color w:val="000000"/>
                <w:szCs w:val="21"/>
              </w:rPr>
              <w:instrText xml:space="preserve">eq \o\ac(□,</w:instrText>
            </w:r>
            <w:r>
              <w:rPr>
                <w:rFonts w:hint="eastAsia" w:ascii="宋体" w:hAnsi="宋体" w:cs="宋体"/>
                <w:b/>
                <w:color w:val="000000"/>
                <w:position w:val="2"/>
                <w:szCs w:val="21"/>
              </w:rPr>
              <w:instrText xml:space="preserve">√</w:instrText>
            </w:r>
            <w:r>
              <w:rPr>
                <w:rFonts w:hint="eastAsia" w:ascii="宋体" w:hAnsi="宋体" w:cs="宋体"/>
                <w:b/>
                <w:color w:val="000000"/>
                <w:szCs w:val="21"/>
              </w:rPr>
              <w:instrText xml:space="preserve">)</w:instrText>
            </w:r>
            <w:r>
              <w:rPr>
                <w:rFonts w:ascii="宋体" w:hAnsi="宋体" w:cs="宋体"/>
                <w:b/>
                <w:color w:val="000000"/>
                <w:szCs w:val="21"/>
              </w:rPr>
              <w:fldChar w:fldCharType="end"/>
            </w:r>
            <w:r>
              <w:rPr>
                <w:rFonts w:hint="eastAsia" w:ascii="宋体" w:hAnsi="宋体" w:cs="宋体"/>
                <w:color w:val="000000"/>
                <w:szCs w:val="21"/>
              </w:rPr>
              <w:t>附件--管护量组成明细表、绿地内现有绿化及设施参考明细清单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914" w:type="dxa"/>
            <w:vAlign w:val="center"/>
          </w:tcPr>
          <w:p>
            <w:pPr>
              <w:adjustRightInd w:val="0"/>
              <w:snapToGrid w:val="0"/>
              <w:spacing w:line="320" w:lineRule="exact"/>
              <w:jc w:val="center"/>
              <w:rPr>
                <w:rFonts w:ascii="宋体" w:hAnsi="宋体" w:cs="宋体"/>
                <w:szCs w:val="21"/>
              </w:rPr>
            </w:pPr>
            <w:r>
              <w:rPr>
                <w:rFonts w:hint="eastAsia" w:ascii="宋体" w:hAnsi="宋体" w:cs="宋体"/>
                <w:szCs w:val="21"/>
              </w:rPr>
              <w:t>3.3.1</w:t>
            </w:r>
          </w:p>
        </w:tc>
        <w:tc>
          <w:tcPr>
            <w:tcW w:w="1848" w:type="dxa"/>
            <w:vAlign w:val="center"/>
          </w:tcPr>
          <w:p>
            <w:pPr>
              <w:adjustRightInd w:val="0"/>
              <w:snapToGrid w:val="0"/>
              <w:spacing w:line="320" w:lineRule="exact"/>
              <w:jc w:val="center"/>
              <w:rPr>
                <w:rFonts w:ascii="宋体" w:hAnsi="宋体" w:cs="宋体"/>
                <w:szCs w:val="21"/>
              </w:rPr>
            </w:pPr>
            <w:r>
              <w:rPr>
                <w:rFonts w:hint="eastAsia" w:ascii="宋体" w:hAnsi="宋体" w:cs="宋体"/>
                <w:szCs w:val="21"/>
              </w:rPr>
              <w:t>投标有效期</w:t>
            </w:r>
          </w:p>
        </w:tc>
        <w:tc>
          <w:tcPr>
            <w:tcW w:w="7373" w:type="dxa"/>
            <w:vAlign w:val="center"/>
          </w:tcPr>
          <w:p>
            <w:pPr>
              <w:adjustRightInd w:val="0"/>
              <w:snapToGrid w:val="0"/>
              <w:spacing w:line="320" w:lineRule="exact"/>
              <w:rPr>
                <w:rFonts w:ascii="宋体" w:hAnsi="宋体" w:cs="宋体"/>
                <w:szCs w:val="21"/>
              </w:rPr>
            </w:pPr>
            <w:r>
              <w:rPr>
                <w:rFonts w:hint="eastAsia" w:ascii="宋体" w:hAnsi="宋体" w:cs="宋体"/>
                <w:szCs w:val="21"/>
              </w:rPr>
              <w:t>投标截止日后</w:t>
            </w:r>
            <w:r>
              <w:rPr>
                <w:rFonts w:hint="eastAsia" w:ascii="宋体" w:hAnsi="宋体" w:cs="宋体"/>
                <w:szCs w:val="21"/>
                <w:u w:val="single"/>
              </w:rPr>
              <w:t xml:space="preserve">  90  </w:t>
            </w:r>
            <w:r>
              <w:rPr>
                <w:rFonts w:hint="eastAsia" w:ascii="宋体" w:hAnsi="宋体" w:cs="宋体"/>
                <w:szCs w:val="21"/>
              </w:rPr>
              <w:t xml:space="preserve">日历天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09" w:hRule="atLeast"/>
          <w:jc w:val="center"/>
        </w:trPr>
        <w:tc>
          <w:tcPr>
            <w:tcW w:w="914" w:type="dxa"/>
            <w:vAlign w:val="center"/>
          </w:tcPr>
          <w:p>
            <w:pPr>
              <w:adjustRightInd w:val="0"/>
              <w:snapToGrid w:val="0"/>
              <w:spacing w:line="320" w:lineRule="exact"/>
              <w:jc w:val="center"/>
              <w:rPr>
                <w:rFonts w:ascii="宋体" w:hAnsi="宋体" w:cs="宋体"/>
                <w:szCs w:val="21"/>
              </w:rPr>
            </w:pPr>
            <w:r>
              <w:rPr>
                <w:rFonts w:hint="eastAsia" w:ascii="宋体" w:hAnsi="宋体" w:cs="宋体"/>
                <w:szCs w:val="21"/>
              </w:rPr>
              <w:t>3.2.3</w:t>
            </w:r>
          </w:p>
        </w:tc>
        <w:tc>
          <w:tcPr>
            <w:tcW w:w="1848" w:type="dxa"/>
            <w:vAlign w:val="center"/>
          </w:tcPr>
          <w:p>
            <w:pPr>
              <w:adjustRightInd w:val="0"/>
              <w:snapToGrid w:val="0"/>
              <w:spacing w:line="320" w:lineRule="exact"/>
              <w:jc w:val="center"/>
              <w:rPr>
                <w:rFonts w:ascii="宋体" w:hAnsi="宋体" w:cs="宋体"/>
                <w:szCs w:val="21"/>
              </w:rPr>
            </w:pPr>
            <w:r>
              <w:rPr>
                <w:rFonts w:hint="eastAsia" w:ascii="宋体" w:hAnsi="宋体" w:cs="宋体"/>
                <w:szCs w:val="21"/>
              </w:rPr>
              <w:t>合同价格形式</w:t>
            </w:r>
          </w:p>
        </w:tc>
        <w:tc>
          <w:tcPr>
            <w:tcW w:w="7373" w:type="dxa"/>
            <w:vAlign w:val="center"/>
          </w:tcPr>
          <w:p>
            <w:pPr>
              <w:adjustRightInd w:val="0"/>
              <w:snapToGrid w:val="0"/>
              <w:spacing w:line="320" w:lineRule="exact"/>
              <w:rPr>
                <w:rFonts w:ascii="宋体" w:hAnsi="宋体" w:cs="宋体"/>
                <w:szCs w:val="21"/>
              </w:rPr>
            </w:pPr>
            <w:r>
              <w:rPr>
                <w:rFonts w:ascii="宋体" w:hAnsi="宋体" w:cs="宋体"/>
                <w:b/>
                <w:szCs w:val="21"/>
              </w:rPr>
              <w:fldChar w:fldCharType="begin"/>
            </w:r>
            <w:r>
              <w:rPr>
                <w:rFonts w:hint="eastAsia" w:ascii="宋体" w:hAnsi="宋体" w:cs="宋体"/>
                <w:b/>
                <w:szCs w:val="21"/>
              </w:rPr>
              <w:instrText xml:space="preserve">eq \o\ac(□,</w:instrText>
            </w:r>
            <w:r>
              <w:rPr>
                <w:rFonts w:hint="eastAsia" w:ascii="宋体" w:hAnsi="宋体" w:cs="宋体"/>
                <w:b/>
                <w:position w:val="2"/>
                <w:szCs w:val="21"/>
              </w:rPr>
              <w:instrText xml:space="preserve">√</w:instrText>
            </w:r>
            <w:r>
              <w:rPr>
                <w:rFonts w:hint="eastAsia" w:ascii="宋体" w:hAnsi="宋体" w:cs="宋体"/>
                <w:b/>
                <w:szCs w:val="21"/>
              </w:rPr>
              <w:instrText xml:space="preserve">)</w:instrText>
            </w:r>
            <w:r>
              <w:rPr>
                <w:rFonts w:ascii="宋体" w:hAnsi="宋体" w:cs="宋体"/>
                <w:b/>
                <w:szCs w:val="21"/>
              </w:rPr>
              <w:fldChar w:fldCharType="end"/>
            </w:r>
            <w:r>
              <w:rPr>
                <w:rFonts w:hint="eastAsia" w:ascii="宋体" w:hAnsi="宋体" w:cs="宋体"/>
                <w:szCs w:val="21"/>
              </w:rPr>
              <w:t xml:space="preserve">单价合同                 </w:t>
            </w:r>
            <w:r>
              <w:rPr>
                <w:rFonts w:hint="eastAsia" w:ascii="宋体" w:hAnsi="宋体"/>
                <w:szCs w:val="21"/>
              </w:rPr>
              <w:t>□</w:t>
            </w:r>
            <w:r>
              <w:rPr>
                <w:rFonts w:hint="eastAsia" w:ascii="宋体" w:hAnsi="宋体" w:cs="宋体"/>
                <w:szCs w:val="21"/>
              </w:rPr>
              <w:t>总价合同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086" w:hRule="atLeast"/>
          <w:jc w:val="center"/>
        </w:trPr>
        <w:tc>
          <w:tcPr>
            <w:tcW w:w="914" w:type="dxa"/>
            <w:vAlign w:val="center"/>
          </w:tcPr>
          <w:p>
            <w:pPr>
              <w:adjustRightInd w:val="0"/>
              <w:snapToGrid w:val="0"/>
              <w:spacing w:line="320" w:lineRule="exact"/>
              <w:jc w:val="center"/>
              <w:rPr>
                <w:rFonts w:ascii="宋体" w:hAnsi="宋体" w:cs="宋体"/>
                <w:szCs w:val="21"/>
              </w:rPr>
            </w:pPr>
            <w:r>
              <w:rPr>
                <w:rFonts w:hint="eastAsia" w:ascii="宋体" w:hAnsi="宋体" w:cs="宋体"/>
                <w:szCs w:val="21"/>
              </w:rPr>
              <w:t>3.4.1</w:t>
            </w:r>
          </w:p>
        </w:tc>
        <w:tc>
          <w:tcPr>
            <w:tcW w:w="1848" w:type="dxa"/>
            <w:tcBorders>
              <w:bottom w:val="single" w:color="auto" w:sz="4" w:space="0"/>
            </w:tcBorders>
            <w:vAlign w:val="center"/>
          </w:tcPr>
          <w:p>
            <w:pPr>
              <w:adjustRightInd w:val="0"/>
              <w:snapToGrid w:val="0"/>
              <w:spacing w:line="320" w:lineRule="exact"/>
              <w:jc w:val="center"/>
              <w:rPr>
                <w:rFonts w:ascii="宋体" w:hAnsi="宋体" w:cs="宋体"/>
                <w:b/>
                <w:color w:val="0000FF"/>
                <w:szCs w:val="21"/>
              </w:rPr>
            </w:pPr>
            <w:r>
              <w:rPr>
                <w:rFonts w:hint="eastAsia" w:ascii="宋体" w:hAnsi="宋体" w:cs="宋体"/>
                <w:b/>
                <w:color w:val="0000FF"/>
                <w:szCs w:val="21"/>
              </w:rPr>
              <w:t>投标保证金递交</w:t>
            </w:r>
          </w:p>
        </w:tc>
        <w:tc>
          <w:tcPr>
            <w:tcW w:w="7373" w:type="dxa"/>
            <w:vAlign w:val="center"/>
          </w:tcPr>
          <w:p>
            <w:pPr>
              <w:snapToGrid w:val="0"/>
              <w:spacing w:line="300" w:lineRule="auto"/>
              <w:ind w:firstLine="422" w:firstLineChars="200"/>
              <w:contextualSpacing/>
              <w:rPr>
                <w:b/>
                <w:color w:val="0000FF"/>
              </w:rPr>
            </w:pPr>
            <w:r>
              <w:rPr>
                <w:rFonts w:hint="eastAsia"/>
                <w:b/>
                <w:color w:val="0000FF"/>
              </w:rPr>
              <w:t>投标保证金缴纳形式为</w:t>
            </w:r>
            <w:r>
              <w:rPr>
                <w:rFonts w:hint="eastAsia"/>
                <w:b/>
                <w:color w:val="0000FF"/>
                <w:lang w:val="zh-CN"/>
              </w:rPr>
              <w:t>银行汇票或转账支票。投标人必须以企业法人基本存款帐户办理投标保证金缴纳手续，并将基本存款帐户凭证带至开标现场以供核查，否则不予接受。</w:t>
            </w:r>
          </w:p>
          <w:p>
            <w:pPr>
              <w:tabs>
                <w:tab w:val="left" w:pos="2410"/>
              </w:tabs>
              <w:snapToGrid w:val="0"/>
              <w:spacing w:line="300" w:lineRule="auto"/>
              <w:ind w:firstLine="420" w:firstLineChars="200"/>
              <w:contextualSpacing/>
            </w:pPr>
            <w:r>
              <w:rPr>
                <w:rFonts w:hint="eastAsia"/>
              </w:rPr>
              <w:t>投标保证金的金额：</w:t>
            </w:r>
            <w:r>
              <w:t xml:space="preserve">2万元/标段   </w:t>
            </w:r>
          </w:p>
          <w:p>
            <w:pPr>
              <w:tabs>
                <w:tab w:val="left" w:pos="2410"/>
              </w:tabs>
              <w:snapToGrid w:val="0"/>
              <w:spacing w:line="300" w:lineRule="auto"/>
              <w:ind w:firstLine="420" w:firstLineChars="200"/>
              <w:contextualSpacing/>
              <w:rPr>
                <w:strike/>
              </w:rPr>
            </w:pPr>
            <w:r>
              <w:t>账户名称：</w:t>
            </w:r>
            <w:r>
              <w:rPr>
                <w:color w:val="000000"/>
              </w:rPr>
              <w:t>南通市财政局</w:t>
            </w:r>
          </w:p>
          <w:p>
            <w:pPr>
              <w:snapToGrid w:val="0"/>
              <w:spacing w:line="300" w:lineRule="auto"/>
              <w:ind w:firstLine="420" w:firstLineChars="200"/>
              <w:contextualSpacing/>
              <w:rPr>
                <w:color w:val="000000"/>
              </w:rPr>
            </w:pPr>
            <w:r>
              <w:t>开户银行：</w:t>
            </w:r>
            <w:r>
              <w:rPr>
                <w:color w:val="000000"/>
              </w:rPr>
              <w:t>中信银行南通分行营业部，</w:t>
            </w:r>
          </w:p>
          <w:p>
            <w:pPr>
              <w:snapToGrid w:val="0"/>
              <w:spacing w:line="300" w:lineRule="auto"/>
              <w:ind w:firstLine="420" w:firstLineChars="200"/>
              <w:contextualSpacing/>
            </w:pPr>
            <w:r>
              <w:rPr>
                <w:color w:val="000000"/>
              </w:rPr>
              <w:t>帐号：</w:t>
            </w:r>
            <w:r>
              <w:rPr>
                <w:rFonts w:hint="eastAsia"/>
                <w:color w:val="000000"/>
              </w:rPr>
              <w:t>7358010195900000162</w:t>
            </w:r>
            <w:r>
              <w:rPr>
                <w:color w:val="000000"/>
              </w:rPr>
              <w:t>。</w:t>
            </w:r>
          </w:p>
          <w:p>
            <w:pPr>
              <w:snapToGrid w:val="0"/>
              <w:spacing w:line="300" w:lineRule="auto"/>
              <w:ind w:firstLine="422" w:firstLineChars="200"/>
              <w:contextualSpacing/>
              <w:rPr>
                <w:bCs/>
              </w:rPr>
            </w:pPr>
            <w:r>
              <w:rPr>
                <w:b/>
                <w:color w:val="000000"/>
              </w:rPr>
              <w:t>特别提醒：</w:t>
            </w:r>
            <w:r>
              <w:rPr>
                <w:color w:val="000000"/>
              </w:rPr>
              <w:t>投标单位办理投标保证金提交手续时，在相关汇出凭证上</w:t>
            </w:r>
            <w:r>
              <w:rPr>
                <w:bCs/>
                <w:color w:val="000000"/>
              </w:rPr>
              <w:t>注明</w:t>
            </w:r>
            <w:r>
              <w:rPr>
                <w:rFonts w:hint="eastAsia"/>
                <w:bCs/>
                <w:color w:val="000000"/>
              </w:rPr>
              <w:t>本</w:t>
            </w:r>
            <w:r>
              <w:rPr>
                <w:bCs/>
                <w:color w:val="000000"/>
              </w:rPr>
              <w:t>招标项目名称。</w:t>
            </w:r>
          </w:p>
          <w:p>
            <w:pPr>
              <w:snapToGrid w:val="0"/>
              <w:spacing w:line="300" w:lineRule="auto"/>
              <w:ind w:firstLine="422" w:firstLineChars="200"/>
              <w:contextualSpacing/>
            </w:pPr>
            <w:r>
              <w:rPr>
                <w:rFonts w:hint="eastAsia"/>
                <w:b/>
                <w:color w:val="0000FF"/>
              </w:rPr>
              <w:t>投标人开标前，递交投标文件时，必须将投标保证金缴纳凭据（不要密封在投标文件中）和投标文件一并递交招标人代表查验，未提交投标保证金的投标单位的投标文件将视为无效投标文件。</w:t>
            </w:r>
            <w:r>
              <w:rPr>
                <w:rFonts w:hint="eastAsia"/>
              </w:rPr>
              <w:t>投标中选单位的投标保证金的有效期应在招标有效期满后30天内继续有效。</w:t>
            </w:r>
          </w:p>
          <w:p>
            <w:pPr>
              <w:snapToGrid w:val="0"/>
              <w:spacing w:line="300" w:lineRule="auto"/>
              <w:ind w:firstLine="420" w:firstLineChars="200"/>
              <w:contextualSpacing/>
            </w:pPr>
            <w:r>
              <w:rPr>
                <w:rFonts w:hint="eastAsia"/>
              </w:rPr>
              <w:t>凡出现弄虚作假现象的投标单位，投标保证金一律不予退还。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544" w:hRule="atLeast"/>
          <w:jc w:val="center"/>
        </w:trPr>
        <w:tc>
          <w:tcPr>
            <w:tcW w:w="914" w:type="dxa"/>
            <w:vAlign w:val="center"/>
          </w:tcPr>
          <w:p>
            <w:pPr>
              <w:adjustRightInd w:val="0"/>
              <w:snapToGrid w:val="0"/>
              <w:spacing w:line="320" w:lineRule="exact"/>
              <w:jc w:val="center"/>
              <w:rPr>
                <w:rFonts w:ascii="宋体" w:hAnsi="宋体" w:cs="宋体"/>
                <w:szCs w:val="21"/>
              </w:rPr>
            </w:pPr>
            <w:r>
              <w:rPr>
                <w:rFonts w:hint="eastAsia" w:ascii="宋体" w:hAnsi="宋体" w:cs="宋体"/>
                <w:szCs w:val="21"/>
              </w:rPr>
              <w:t>3.4.3</w:t>
            </w:r>
          </w:p>
        </w:tc>
        <w:tc>
          <w:tcPr>
            <w:tcW w:w="1848" w:type="dxa"/>
            <w:tcBorders>
              <w:top w:val="single" w:color="auto" w:sz="4" w:space="0"/>
            </w:tcBorders>
            <w:vAlign w:val="center"/>
          </w:tcPr>
          <w:p>
            <w:pPr>
              <w:adjustRightInd w:val="0"/>
              <w:snapToGrid w:val="0"/>
              <w:spacing w:line="320" w:lineRule="exact"/>
              <w:jc w:val="center"/>
              <w:rPr>
                <w:rFonts w:ascii="宋体" w:hAnsi="宋体" w:cs="宋体"/>
                <w:szCs w:val="21"/>
              </w:rPr>
            </w:pPr>
            <w:r>
              <w:rPr>
                <w:rFonts w:hint="eastAsia" w:ascii="宋体" w:hAnsi="宋体"/>
                <w:szCs w:val="21"/>
              </w:rPr>
              <w:t>投标保证金退还</w:t>
            </w:r>
          </w:p>
        </w:tc>
        <w:tc>
          <w:tcPr>
            <w:tcW w:w="7373" w:type="dxa"/>
            <w:vAlign w:val="center"/>
          </w:tcPr>
          <w:p>
            <w:pPr>
              <w:adjustRightInd w:val="0"/>
              <w:snapToGrid w:val="0"/>
              <w:spacing w:line="320" w:lineRule="exact"/>
              <w:ind w:firstLine="420" w:firstLineChars="200"/>
            </w:pPr>
            <w:r>
              <w:rPr>
                <w:rFonts w:hint="eastAsia"/>
              </w:rPr>
              <w:t>投标保证金不计算利息，退还时划付至投标保证金付款人基本账户。为提高效率，在规定时间内，由招标代理或招标人统一代为办理中标人和未中标人的保证金退还工作。如本项目招标中遇质疑、投诉、复议等特殊情况，保证金退还按相关规定执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14" w:hRule="atLeast"/>
          <w:jc w:val="center"/>
        </w:trPr>
        <w:tc>
          <w:tcPr>
            <w:tcW w:w="914" w:type="dxa"/>
            <w:vAlign w:val="center"/>
          </w:tcPr>
          <w:p>
            <w:pPr>
              <w:adjustRightInd w:val="0"/>
              <w:snapToGrid w:val="0"/>
              <w:spacing w:line="320" w:lineRule="exact"/>
              <w:jc w:val="center"/>
              <w:rPr>
                <w:rFonts w:ascii="宋体" w:hAnsi="宋体" w:cs="宋体"/>
                <w:szCs w:val="21"/>
              </w:rPr>
            </w:pPr>
            <w:r>
              <w:rPr>
                <w:rFonts w:hint="eastAsia" w:ascii="宋体" w:hAnsi="宋体" w:cs="宋体"/>
                <w:szCs w:val="21"/>
              </w:rPr>
              <w:t>3.6</w:t>
            </w:r>
          </w:p>
        </w:tc>
        <w:tc>
          <w:tcPr>
            <w:tcW w:w="1848" w:type="dxa"/>
            <w:vAlign w:val="center"/>
          </w:tcPr>
          <w:p>
            <w:pPr>
              <w:adjustRightInd w:val="0"/>
              <w:snapToGrid w:val="0"/>
              <w:spacing w:line="320" w:lineRule="exact"/>
              <w:jc w:val="center"/>
              <w:rPr>
                <w:rFonts w:ascii="宋体" w:hAnsi="宋体" w:cs="宋体"/>
                <w:szCs w:val="21"/>
              </w:rPr>
            </w:pPr>
            <w:r>
              <w:rPr>
                <w:rFonts w:hint="eastAsia" w:ascii="宋体" w:hAnsi="宋体" w:cs="宋体"/>
                <w:szCs w:val="21"/>
              </w:rPr>
              <w:t>是否允许递交备选投标方案</w:t>
            </w:r>
          </w:p>
        </w:tc>
        <w:tc>
          <w:tcPr>
            <w:tcW w:w="7373" w:type="dxa"/>
            <w:vAlign w:val="center"/>
          </w:tcPr>
          <w:p>
            <w:pPr>
              <w:adjustRightInd w:val="0"/>
              <w:snapToGrid w:val="0"/>
              <w:spacing w:line="320" w:lineRule="exact"/>
              <w:rPr>
                <w:rFonts w:ascii="宋体" w:hAnsi="宋体" w:cs="宋体"/>
                <w:szCs w:val="21"/>
                <w:u w:val="single"/>
              </w:rPr>
            </w:pPr>
            <w:r>
              <w:rPr>
                <w:rFonts w:hint="eastAsia" w:ascii="宋体" w:hAnsi="宋体" w:cs="宋体"/>
                <w:szCs w:val="21"/>
              </w:rPr>
              <w:t>不允许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jc w:val="center"/>
        </w:trPr>
        <w:tc>
          <w:tcPr>
            <w:tcW w:w="914" w:type="dxa"/>
            <w:vAlign w:val="center"/>
          </w:tcPr>
          <w:p>
            <w:pPr>
              <w:adjustRightInd w:val="0"/>
              <w:snapToGrid w:val="0"/>
              <w:spacing w:line="320" w:lineRule="exact"/>
              <w:jc w:val="center"/>
              <w:rPr>
                <w:rFonts w:ascii="宋体" w:hAnsi="宋体" w:cs="宋体"/>
                <w:szCs w:val="21"/>
              </w:rPr>
            </w:pPr>
            <w:r>
              <w:rPr>
                <w:rFonts w:hint="eastAsia" w:ascii="宋体" w:hAnsi="宋体" w:cs="宋体"/>
                <w:szCs w:val="21"/>
              </w:rPr>
              <w:t>4.2.1</w:t>
            </w:r>
          </w:p>
        </w:tc>
        <w:tc>
          <w:tcPr>
            <w:tcW w:w="1848" w:type="dxa"/>
            <w:vAlign w:val="center"/>
          </w:tcPr>
          <w:p>
            <w:pPr>
              <w:adjustRightInd w:val="0"/>
              <w:snapToGrid w:val="0"/>
              <w:spacing w:line="320" w:lineRule="exact"/>
              <w:jc w:val="center"/>
              <w:rPr>
                <w:rFonts w:ascii="宋体" w:hAnsi="宋体" w:cs="宋体"/>
                <w:szCs w:val="21"/>
              </w:rPr>
            </w:pPr>
            <w:r>
              <w:rPr>
                <w:rFonts w:hint="eastAsia" w:ascii="宋体" w:hAnsi="宋体" w:cs="宋体"/>
                <w:szCs w:val="21"/>
              </w:rPr>
              <w:t>投标截止时间</w:t>
            </w:r>
          </w:p>
        </w:tc>
        <w:tc>
          <w:tcPr>
            <w:tcW w:w="7373" w:type="dxa"/>
            <w:vAlign w:val="center"/>
          </w:tcPr>
          <w:p>
            <w:pPr>
              <w:adjustRightInd w:val="0"/>
              <w:snapToGrid w:val="0"/>
              <w:spacing w:line="320" w:lineRule="exact"/>
              <w:rPr>
                <w:rFonts w:ascii="宋体" w:hAnsi="宋体" w:cs="宋体"/>
                <w:b/>
                <w:color w:val="0000FF"/>
                <w:szCs w:val="21"/>
              </w:rPr>
            </w:pPr>
            <w:r>
              <w:rPr>
                <w:rFonts w:ascii="宋体" w:hAnsi="宋体" w:cs="宋体"/>
                <w:b/>
                <w:color w:val="0000FF"/>
                <w:szCs w:val="21"/>
              </w:rPr>
              <w:t>202</w:t>
            </w:r>
            <w:r>
              <w:rPr>
                <w:rFonts w:hint="eastAsia" w:ascii="宋体" w:hAnsi="宋体" w:cs="宋体"/>
                <w:b/>
                <w:color w:val="0000FF"/>
                <w:szCs w:val="21"/>
              </w:rPr>
              <w:t>5</w:t>
            </w:r>
            <w:r>
              <w:rPr>
                <w:rFonts w:ascii="宋体" w:hAnsi="宋体" w:cs="宋体"/>
                <w:b/>
                <w:color w:val="0000FF"/>
                <w:szCs w:val="21"/>
              </w:rPr>
              <w:t>年</w:t>
            </w:r>
            <w:r>
              <w:rPr>
                <w:rFonts w:hint="eastAsia" w:ascii="宋体" w:hAnsi="宋体" w:cs="宋体"/>
                <w:b/>
                <w:color w:val="0000FF"/>
                <w:szCs w:val="21"/>
              </w:rPr>
              <w:t>10</w:t>
            </w:r>
            <w:r>
              <w:rPr>
                <w:rFonts w:ascii="宋体" w:hAnsi="宋体" w:cs="宋体"/>
                <w:b/>
                <w:color w:val="0000FF"/>
                <w:szCs w:val="21"/>
              </w:rPr>
              <w:t>月</w:t>
            </w:r>
            <w:r>
              <w:rPr>
                <w:rFonts w:hint="eastAsia" w:ascii="宋体" w:hAnsi="宋体" w:cs="宋体"/>
                <w:b/>
                <w:color w:val="0000FF"/>
                <w:szCs w:val="21"/>
              </w:rPr>
              <w:t>2</w:t>
            </w:r>
            <w:r>
              <w:rPr>
                <w:rFonts w:hint="eastAsia" w:ascii="宋体" w:hAnsi="宋体" w:cs="宋体"/>
                <w:b/>
                <w:color w:val="0000FF"/>
                <w:szCs w:val="21"/>
                <w:lang w:val="en-US" w:eastAsia="zh-CN"/>
              </w:rPr>
              <w:t>3</w:t>
            </w:r>
            <w:r>
              <w:rPr>
                <w:rFonts w:ascii="宋体" w:hAnsi="宋体" w:cs="宋体"/>
                <w:b/>
                <w:color w:val="0000FF"/>
                <w:szCs w:val="21"/>
              </w:rPr>
              <w:t>日</w:t>
            </w:r>
            <w:r>
              <w:rPr>
                <w:rFonts w:hint="eastAsia" w:ascii="宋体" w:hAnsi="宋体" w:cs="宋体"/>
                <w:b/>
                <w:color w:val="0000FF"/>
                <w:szCs w:val="21"/>
              </w:rPr>
              <w:t>周</w:t>
            </w:r>
            <w:r>
              <w:rPr>
                <w:rFonts w:hint="eastAsia" w:ascii="宋体" w:hAnsi="宋体" w:cs="宋体"/>
                <w:b/>
                <w:color w:val="0000FF"/>
                <w:szCs w:val="21"/>
                <w:lang w:val="en-US" w:eastAsia="zh-CN"/>
              </w:rPr>
              <w:t>四</w:t>
            </w:r>
            <w:r>
              <w:rPr>
                <w:rFonts w:hint="eastAsia" w:ascii="宋体" w:hAnsi="宋体" w:cs="宋体"/>
                <w:b/>
                <w:color w:val="0000FF"/>
                <w:szCs w:val="21"/>
              </w:rPr>
              <w:t>下</w:t>
            </w:r>
            <w:r>
              <w:rPr>
                <w:rFonts w:ascii="宋体" w:hAnsi="宋体" w:cs="宋体"/>
                <w:b/>
                <w:color w:val="0000FF"/>
                <w:szCs w:val="21"/>
              </w:rPr>
              <w:t>午</w:t>
            </w:r>
            <w:r>
              <w:rPr>
                <w:rFonts w:hint="eastAsia" w:ascii="宋体" w:hAnsi="宋体" w:cs="宋体"/>
                <w:b/>
                <w:color w:val="0000FF"/>
                <w:szCs w:val="21"/>
              </w:rPr>
              <w:t>14:00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802" w:hRule="atLeast"/>
          <w:jc w:val="center"/>
        </w:trPr>
        <w:tc>
          <w:tcPr>
            <w:tcW w:w="914" w:type="dxa"/>
            <w:vAlign w:val="center"/>
          </w:tcPr>
          <w:p>
            <w:pPr>
              <w:adjustRightInd w:val="0"/>
              <w:snapToGrid w:val="0"/>
              <w:spacing w:line="320" w:lineRule="exact"/>
              <w:jc w:val="center"/>
              <w:rPr>
                <w:rFonts w:ascii="宋体" w:hAnsi="宋体" w:cs="宋体"/>
                <w:szCs w:val="21"/>
              </w:rPr>
            </w:pPr>
            <w:r>
              <w:rPr>
                <w:rFonts w:hint="eastAsia" w:ascii="宋体" w:hAnsi="宋体" w:cs="宋体"/>
                <w:szCs w:val="21"/>
              </w:rPr>
              <w:t>4.2.3</w:t>
            </w:r>
          </w:p>
        </w:tc>
        <w:tc>
          <w:tcPr>
            <w:tcW w:w="1848" w:type="dxa"/>
            <w:vAlign w:val="center"/>
          </w:tcPr>
          <w:p>
            <w:pPr>
              <w:adjustRightInd w:val="0"/>
              <w:snapToGrid w:val="0"/>
              <w:spacing w:line="320" w:lineRule="exact"/>
              <w:jc w:val="center"/>
              <w:rPr>
                <w:rFonts w:ascii="宋体" w:hAnsi="宋体" w:cs="宋体"/>
                <w:szCs w:val="21"/>
              </w:rPr>
            </w:pPr>
            <w:r>
              <w:rPr>
                <w:rFonts w:hint="eastAsia" w:ascii="宋体" w:hAnsi="宋体" w:cs="宋体"/>
                <w:szCs w:val="21"/>
              </w:rPr>
              <w:t>递交投标文件</w:t>
            </w:r>
          </w:p>
          <w:p>
            <w:pPr>
              <w:adjustRightInd w:val="0"/>
              <w:snapToGrid w:val="0"/>
              <w:spacing w:line="320" w:lineRule="exact"/>
              <w:jc w:val="center"/>
              <w:rPr>
                <w:rFonts w:ascii="宋体" w:hAnsi="宋体" w:cs="宋体"/>
                <w:szCs w:val="21"/>
              </w:rPr>
            </w:pPr>
            <w:r>
              <w:rPr>
                <w:rFonts w:hint="eastAsia" w:ascii="宋体" w:hAnsi="宋体" w:cs="宋体"/>
                <w:szCs w:val="21"/>
              </w:rPr>
              <w:t>地点</w:t>
            </w:r>
          </w:p>
        </w:tc>
        <w:tc>
          <w:tcPr>
            <w:tcW w:w="7373" w:type="dxa"/>
            <w:vAlign w:val="center"/>
          </w:tcPr>
          <w:p>
            <w:pPr>
              <w:adjustRightInd w:val="0"/>
              <w:snapToGrid w:val="0"/>
              <w:spacing w:line="320" w:lineRule="exact"/>
              <w:rPr>
                <w:rFonts w:ascii="宋体" w:hAnsi="宋体" w:cs="宋体"/>
                <w:szCs w:val="21"/>
              </w:rPr>
            </w:pPr>
            <w:bookmarkStart w:id="27" w:name="OLE_LINK19"/>
            <w:bookmarkStart w:id="28" w:name="OLE_LINK10"/>
            <w:r>
              <w:rPr>
                <w:rFonts w:hint="eastAsia" w:ascii="宋体" w:hAnsi="宋体" w:cs="宋体"/>
                <w:szCs w:val="21"/>
              </w:rPr>
              <w:t>南通市园林绿化管理处底楼会议室（南通市崇川区园林路111号）</w:t>
            </w:r>
            <w:bookmarkEnd w:id="27"/>
            <w:bookmarkEnd w:id="28"/>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849" w:hRule="atLeast"/>
          <w:jc w:val="center"/>
        </w:trPr>
        <w:tc>
          <w:tcPr>
            <w:tcW w:w="914" w:type="dxa"/>
            <w:vAlign w:val="center"/>
          </w:tcPr>
          <w:p>
            <w:pPr>
              <w:adjustRightInd w:val="0"/>
              <w:snapToGrid w:val="0"/>
              <w:spacing w:line="320" w:lineRule="exact"/>
              <w:jc w:val="center"/>
              <w:rPr>
                <w:rFonts w:ascii="宋体" w:hAnsi="宋体" w:cs="宋体"/>
                <w:szCs w:val="21"/>
              </w:rPr>
            </w:pPr>
            <w:r>
              <w:rPr>
                <w:rFonts w:hint="eastAsia" w:ascii="宋体" w:hAnsi="宋体" w:cs="宋体"/>
                <w:szCs w:val="21"/>
              </w:rPr>
              <w:t>5.1.1</w:t>
            </w:r>
          </w:p>
        </w:tc>
        <w:tc>
          <w:tcPr>
            <w:tcW w:w="1848" w:type="dxa"/>
            <w:vAlign w:val="center"/>
          </w:tcPr>
          <w:p>
            <w:pPr>
              <w:adjustRightInd w:val="0"/>
              <w:snapToGrid w:val="0"/>
              <w:spacing w:line="320" w:lineRule="exact"/>
              <w:jc w:val="center"/>
              <w:rPr>
                <w:rFonts w:ascii="宋体" w:hAnsi="宋体" w:cs="宋体"/>
                <w:szCs w:val="21"/>
              </w:rPr>
            </w:pPr>
            <w:r>
              <w:rPr>
                <w:rFonts w:hint="eastAsia" w:ascii="宋体" w:hAnsi="宋体" w:cs="宋体"/>
                <w:szCs w:val="21"/>
              </w:rPr>
              <w:t>开标时间、地点</w:t>
            </w:r>
          </w:p>
          <w:p>
            <w:pPr>
              <w:adjustRightInd w:val="0"/>
              <w:snapToGrid w:val="0"/>
              <w:spacing w:line="320" w:lineRule="exact"/>
              <w:jc w:val="center"/>
              <w:rPr>
                <w:rFonts w:ascii="宋体" w:hAnsi="宋体" w:cs="宋体"/>
                <w:szCs w:val="21"/>
              </w:rPr>
            </w:pPr>
            <w:r>
              <w:rPr>
                <w:rFonts w:hint="eastAsia" w:ascii="宋体" w:hAnsi="宋体" w:cs="宋体"/>
                <w:szCs w:val="21"/>
              </w:rPr>
              <w:t>和人员</w:t>
            </w:r>
          </w:p>
        </w:tc>
        <w:tc>
          <w:tcPr>
            <w:tcW w:w="7373" w:type="dxa"/>
            <w:vAlign w:val="center"/>
          </w:tcPr>
          <w:p>
            <w:pPr>
              <w:adjustRightInd w:val="0"/>
              <w:snapToGrid w:val="0"/>
              <w:spacing w:line="320" w:lineRule="exact"/>
              <w:rPr>
                <w:rFonts w:ascii="宋体" w:hAnsi="宋体" w:cs="宋体"/>
                <w:szCs w:val="21"/>
              </w:rPr>
            </w:pPr>
            <w:r>
              <w:rPr>
                <w:rFonts w:hint="eastAsia" w:ascii="宋体" w:hAnsi="宋体" w:cs="宋体"/>
                <w:szCs w:val="21"/>
              </w:rPr>
              <w:t>开标时间：同投标截止时间</w:t>
            </w:r>
          </w:p>
          <w:p>
            <w:pPr>
              <w:adjustRightInd w:val="0"/>
              <w:snapToGrid w:val="0"/>
              <w:spacing w:line="320" w:lineRule="exact"/>
              <w:rPr>
                <w:rFonts w:ascii="宋体" w:hAnsi="宋体" w:cs="宋体"/>
                <w:szCs w:val="21"/>
              </w:rPr>
            </w:pPr>
            <w:r>
              <w:rPr>
                <w:rFonts w:hint="eastAsia" w:ascii="宋体" w:hAnsi="宋体" w:cs="宋体"/>
                <w:szCs w:val="21"/>
              </w:rPr>
              <w:t>开标地点：南通市园林绿化管理处底楼会议室（南通市崇川区园林路111号）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279" w:hRule="atLeast"/>
          <w:jc w:val="center"/>
        </w:trPr>
        <w:tc>
          <w:tcPr>
            <w:tcW w:w="914" w:type="dxa"/>
            <w:vAlign w:val="center"/>
          </w:tcPr>
          <w:p>
            <w:pPr>
              <w:adjustRightInd w:val="0"/>
              <w:snapToGrid w:val="0"/>
              <w:spacing w:line="320" w:lineRule="exact"/>
              <w:jc w:val="center"/>
              <w:rPr>
                <w:rFonts w:ascii="宋体" w:hAnsi="宋体" w:cs="宋体"/>
                <w:szCs w:val="21"/>
              </w:rPr>
            </w:pPr>
            <w:r>
              <w:rPr>
                <w:rFonts w:hint="eastAsia" w:ascii="宋体" w:hAnsi="宋体" w:cs="宋体"/>
                <w:szCs w:val="21"/>
              </w:rPr>
              <w:t>5.2.1</w:t>
            </w:r>
          </w:p>
        </w:tc>
        <w:tc>
          <w:tcPr>
            <w:tcW w:w="1848" w:type="dxa"/>
            <w:vAlign w:val="center"/>
          </w:tcPr>
          <w:p>
            <w:pPr>
              <w:adjustRightInd w:val="0"/>
              <w:snapToGrid w:val="0"/>
              <w:spacing w:line="320" w:lineRule="exact"/>
              <w:jc w:val="center"/>
              <w:rPr>
                <w:rFonts w:ascii="宋体" w:hAnsi="宋体" w:cs="宋体"/>
                <w:szCs w:val="21"/>
              </w:rPr>
            </w:pPr>
            <w:r>
              <w:rPr>
                <w:rFonts w:hint="eastAsia" w:ascii="宋体" w:hAnsi="宋体" w:cs="宋体"/>
                <w:szCs w:val="21"/>
              </w:rPr>
              <w:t>开</w:t>
            </w:r>
            <w:r>
              <w:rPr>
                <w:rFonts w:hint="eastAsia" w:ascii="宋体" w:hAnsi="宋体" w:cs="宋体"/>
                <w:color w:val="000000" w:themeColor="text1"/>
                <w:szCs w:val="21"/>
              </w:rPr>
              <w:t>（评）标</w:t>
            </w:r>
            <w:r>
              <w:rPr>
                <w:rFonts w:hint="eastAsia" w:ascii="宋体" w:hAnsi="宋体" w:cs="宋体"/>
                <w:szCs w:val="21"/>
              </w:rPr>
              <w:t>程序</w:t>
            </w:r>
          </w:p>
        </w:tc>
        <w:tc>
          <w:tcPr>
            <w:tcW w:w="7373" w:type="dxa"/>
            <w:vAlign w:val="center"/>
          </w:tcPr>
          <w:p>
            <w:pPr>
              <w:autoSpaceDE w:val="0"/>
              <w:autoSpaceDN w:val="0"/>
              <w:adjustRightInd w:val="0"/>
              <w:snapToGrid w:val="0"/>
              <w:spacing w:line="320" w:lineRule="exact"/>
              <w:jc w:val="left"/>
            </w:pPr>
            <w:r>
              <w:rPr>
                <w:rFonts w:hint="eastAsia"/>
              </w:rPr>
              <w:t>(1）宣布开标纪律；</w:t>
            </w:r>
          </w:p>
          <w:p>
            <w:pPr>
              <w:autoSpaceDE w:val="0"/>
              <w:autoSpaceDN w:val="0"/>
              <w:adjustRightInd w:val="0"/>
              <w:snapToGrid w:val="0"/>
              <w:spacing w:line="320" w:lineRule="exact"/>
              <w:jc w:val="left"/>
            </w:pPr>
            <w:r>
              <w:rPr>
                <w:rFonts w:hint="eastAsia"/>
              </w:rPr>
              <w:t>(2）</w:t>
            </w:r>
            <w:r>
              <w:t>宣布开标有关人员姓名；</w:t>
            </w:r>
          </w:p>
          <w:p>
            <w:pPr>
              <w:autoSpaceDE w:val="0"/>
              <w:autoSpaceDN w:val="0"/>
              <w:adjustRightInd w:val="0"/>
              <w:snapToGrid w:val="0"/>
              <w:spacing w:line="320" w:lineRule="exact"/>
              <w:jc w:val="left"/>
            </w:pPr>
            <w:r>
              <w:rPr>
                <w:rFonts w:hint="eastAsia"/>
              </w:rPr>
              <w:t>(3）公布投标人名称及投标保证金缴纳情况；</w:t>
            </w:r>
          </w:p>
          <w:p>
            <w:pPr>
              <w:autoSpaceDE w:val="0"/>
              <w:autoSpaceDN w:val="0"/>
              <w:adjustRightInd w:val="0"/>
              <w:snapToGrid w:val="0"/>
              <w:spacing w:line="320" w:lineRule="exact"/>
              <w:jc w:val="left"/>
              <w:rPr>
                <w:strike/>
              </w:rPr>
            </w:pPr>
            <w:r>
              <w:rPr>
                <w:rFonts w:hint="eastAsia"/>
              </w:rPr>
              <w:t>(4）</w:t>
            </w:r>
            <w:r>
              <w:rPr>
                <w:rFonts w:hint="eastAsia"/>
                <w:color w:val="000000"/>
              </w:rPr>
              <w:t>资格审查；</w:t>
            </w:r>
          </w:p>
          <w:p>
            <w:pPr>
              <w:adjustRightInd w:val="0"/>
              <w:snapToGrid w:val="0"/>
              <w:spacing w:line="320" w:lineRule="exact"/>
              <w:rPr>
                <w:b/>
                <w:strike/>
                <w:color w:val="0000FF"/>
              </w:rPr>
            </w:pPr>
            <w:r>
              <w:rPr>
                <w:strike/>
              </w:rPr>
              <w:t>(</w:t>
            </w:r>
            <w:r>
              <w:t>5）</w:t>
            </w:r>
            <w:r>
              <w:rPr>
                <w:rFonts w:hint="eastAsia"/>
              </w:rPr>
              <w:t>商务</w:t>
            </w:r>
            <w:r>
              <w:rPr>
                <w:rFonts w:hint="eastAsia"/>
                <w:color w:val="000000"/>
              </w:rPr>
              <w:t>技术标评审</w:t>
            </w:r>
          </w:p>
          <w:p>
            <w:pPr>
              <w:adjustRightInd w:val="0"/>
              <w:snapToGrid w:val="0"/>
              <w:spacing w:line="320" w:lineRule="exact"/>
            </w:pPr>
            <w:r>
              <w:rPr>
                <w:rFonts w:hint="eastAsia"/>
                <w:color w:val="000000" w:themeColor="text1"/>
              </w:rPr>
              <w:t>(6）</w:t>
            </w:r>
            <w:r>
              <w:rPr>
                <w:color w:val="000000" w:themeColor="text1"/>
              </w:rPr>
              <w:t>抽取评标办法及相关系数；</w:t>
            </w:r>
            <w:r>
              <w:rPr>
                <w:rFonts w:hint="eastAsia"/>
                <w:color w:val="000000"/>
              </w:rPr>
              <w:t>价格标评审。</w:t>
            </w:r>
          </w:p>
          <w:p>
            <w:pPr>
              <w:pStyle w:val="2"/>
              <w:ind w:left="63" w:right="63"/>
              <w:jc w:val="both"/>
            </w:pPr>
            <w:r>
              <w:rPr>
                <w:rFonts w:hint="eastAsia"/>
              </w:rPr>
              <w:t>(7）开标结束。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14" w:type="dxa"/>
            <w:vAlign w:val="center"/>
          </w:tcPr>
          <w:p>
            <w:pPr>
              <w:adjustRightInd w:val="0"/>
              <w:snapToGrid w:val="0"/>
              <w:spacing w:line="320" w:lineRule="exact"/>
              <w:jc w:val="center"/>
              <w:rPr>
                <w:rFonts w:ascii="宋体" w:hAnsi="宋体" w:cs="宋体"/>
                <w:szCs w:val="21"/>
              </w:rPr>
            </w:pPr>
            <w:r>
              <w:rPr>
                <w:rFonts w:hint="eastAsia" w:ascii="宋体" w:hAnsi="宋体" w:cs="宋体"/>
                <w:szCs w:val="21"/>
              </w:rPr>
              <w:t>5.2.2</w:t>
            </w:r>
          </w:p>
        </w:tc>
        <w:tc>
          <w:tcPr>
            <w:tcW w:w="1848" w:type="dxa"/>
            <w:vAlign w:val="center"/>
          </w:tcPr>
          <w:p>
            <w:pPr>
              <w:adjustRightInd w:val="0"/>
              <w:snapToGrid w:val="0"/>
              <w:spacing w:line="320" w:lineRule="exact"/>
              <w:jc w:val="center"/>
              <w:rPr>
                <w:rFonts w:ascii="宋体" w:hAnsi="宋体" w:cs="宋体"/>
                <w:szCs w:val="21"/>
              </w:rPr>
            </w:pPr>
            <w:r>
              <w:rPr>
                <w:rFonts w:hint="eastAsia" w:ascii="宋体" w:hAnsi="宋体" w:cs="宋体"/>
                <w:szCs w:val="21"/>
              </w:rPr>
              <w:t>解密时间</w:t>
            </w:r>
          </w:p>
        </w:tc>
        <w:tc>
          <w:tcPr>
            <w:tcW w:w="7373" w:type="dxa"/>
            <w:vAlign w:val="center"/>
          </w:tcPr>
          <w:p>
            <w:pPr>
              <w:adjustRightInd w:val="0"/>
              <w:snapToGrid w:val="0"/>
              <w:spacing w:line="320" w:lineRule="exact"/>
              <w:rPr>
                <w:rFonts w:ascii="宋体" w:hAnsi="宋体"/>
                <w:strike/>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831" w:hRule="atLeast"/>
          <w:jc w:val="center"/>
        </w:trPr>
        <w:tc>
          <w:tcPr>
            <w:tcW w:w="914" w:type="dxa"/>
            <w:vAlign w:val="center"/>
          </w:tcPr>
          <w:p>
            <w:pPr>
              <w:adjustRightInd w:val="0"/>
              <w:snapToGrid w:val="0"/>
              <w:spacing w:line="320" w:lineRule="exact"/>
              <w:jc w:val="center"/>
              <w:rPr>
                <w:rFonts w:ascii="宋体" w:hAnsi="宋体" w:cs="宋体"/>
                <w:szCs w:val="21"/>
              </w:rPr>
            </w:pPr>
            <w:r>
              <w:rPr>
                <w:rFonts w:hint="eastAsia" w:ascii="宋体" w:hAnsi="宋体" w:cs="宋体"/>
                <w:szCs w:val="21"/>
              </w:rPr>
              <w:t>6.1.1</w:t>
            </w:r>
          </w:p>
        </w:tc>
        <w:tc>
          <w:tcPr>
            <w:tcW w:w="1848" w:type="dxa"/>
            <w:vAlign w:val="center"/>
          </w:tcPr>
          <w:p>
            <w:pPr>
              <w:adjustRightInd w:val="0"/>
              <w:snapToGrid w:val="0"/>
              <w:spacing w:line="320" w:lineRule="exact"/>
              <w:jc w:val="center"/>
              <w:rPr>
                <w:rFonts w:ascii="宋体" w:hAnsi="宋体" w:cs="宋体"/>
                <w:szCs w:val="21"/>
              </w:rPr>
            </w:pPr>
            <w:r>
              <w:rPr>
                <w:rFonts w:hint="eastAsia" w:ascii="宋体" w:hAnsi="宋体" w:cs="宋体"/>
                <w:szCs w:val="21"/>
              </w:rPr>
              <w:t>评标委员会</w:t>
            </w:r>
          </w:p>
          <w:p>
            <w:pPr>
              <w:adjustRightInd w:val="0"/>
              <w:snapToGrid w:val="0"/>
              <w:spacing w:line="320" w:lineRule="exact"/>
              <w:jc w:val="center"/>
              <w:rPr>
                <w:rFonts w:ascii="宋体" w:hAnsi="宋体" w:cs="宋体"/>
                <w:szCs w:val="21"/>
              </w:rPr>
            </w:pPr>
            <w:r>
              <w:rPr>
                <w:rFonts w:hint="eastAsia" w:ascii="宋体" w:hAnsi="宋体" w:cs="宋体"/>
                <w:szCs w:val="21"/>
              </w:rPr>
              <w:t>的组建</w:t>
            </w:r>
          </w:p>
        </w:tc>
        <w:tc>
          <w:tcPr>
            <w:tcW w:w="7373" w:type="dxa"/>
            <w:vAlign w:val="center"/>
          </w:tcPr>
          <w:p>
            <w:pPr>
              <w:adjustRightInd w:val="0"/>
              <w:snapToGrid w:val="0"/>
              <w:spacing w:line="320" w:lineRule="exact"/>
              <w:rPr>
                <w:rFonts w:ascii="宋体" w:hAnsi="宋体" w:cs="宋体"/>
                <w:color w:val="000000" w:themeColor="text1"/>
                <w:szCs w:val="21"/>
                <w:highlight w:val="yellow"/>
              </w:rPr>
            </w:pPr>
            <w:r>
              <w:rPr>
                <w:rFonts w:hint="eastAsia" w:ascii="宋体" w:hAnsi="宋体" w:cs="宋体"/>
                <w:szCs w:val="21"/>
              </w:rPr>
              <w:t>评标委员会构成</w:t>
            </w:r>
            <w:r>
              <w:rPr>
                <w:rFonts w:hint="eastAsia" w:ascii="宋体" w:hAnsi="宋体" w:cs="宋体"/>
                <w:color w:val="000000" w:themeColor="text1"/>
                <w:szCs w:val="21"/>
              </w:rPr>
              <w:t>：</w:t>
            </w:r>
            <w:r>
              <w:rPr>
                <w:rFonts w:hint="eastAsia" w:ascii="宋体" w:hAnsi="宋体" w:cs="宋体"/>
                <w:color w:val="000000" w:themeColor="text1"/>
                <w:szCs w:val="21"/>
                <w:u w:val="single"/>
              </w:rPr>
              <w:t>7</w:t>
            </w:r>
            <w:r>
              <w:rPr>
                <w:rFonts w:hint="eastAsia" w:ascii="宋体" w:hAnsi="宋体"/>
                <w:color w:val="000000" w:themeColor="text1"/>
                <w:szCs w:val="21"/>
                <w:u w:val="single"/>
              </w:rPr>
              <w:t>人或7人以上</w:t>
            </w:r>
            <w:r>
              <w:rPr>
                <w:rFonts w:hint="eastAsia" w:ascii="宋体" w:hAnsi="宋体"/>
                <w:color w:val="000000" w:themeColor="text1"/>
                <w:szCs w:val="21"/>
              </w:rPr>
              <w:t>的单数，</w:t>
            </w:r>
          </w:p>
          <w:p>
            <w:pPr>
              <w:adjustRightInd w:val="0"/>
              <w:snapToGrid w:val="0"/>
              <w:spacing w:line="320" w:lineRule="exact"/>
              <w:rPr>
                <w:rFonts w:ascii="宋体" w:hAnsi="宋体" w:cs="宋体"/>
                <w:szCs w:val="21"/>
              </w:rPr>
            </w:pPr>
            <w:r>
              <w:rPr>
                <w:rFonts w:hint="eastAsia" w:ascii="宋体" w:hAnsi="宋体" w:cs="宋体"/>
                <w:color w:val="000000" w:themeColor="text1"/>
                <w:szCs w:val="21"/>
              </w:rPr>
              <w:t>评标专家确定方式：由招标人申请，在政府组建专家库中随机抽取。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jc w:val="center"/>
        </w:trPr>
        <w:tc>
          <w:tcPr>
            <w:tcW w:w="914" w:type="dxa"/>
            <w:vAlign w:val="center"/>
          </w:tcPr>
          <w:p>
            <w:pPr>
              <w:adjustRightInd w:val="0"/>
              <w:snapToGrid w:val="0"/>
              <w:spacing w:line="320" w:lineRule="exact"/>
              <w:jc w:val="center"/>
              <w:rPr>
                <w:rFonts w:ascii="宋体" w:hAnsi="宋体" w:cs="宋体"/>
                <w:szCs w:val="21"/>
              </w:rPr>
            </w:pPr>
            <w:r>
              <w:rPr>
                <w:rFonts w:hint="eastAsia" w:ascii="宋体" w:hAnsi="宋体" w:cs="宋体"/>
                <w:szCs w:val="21"/>
              </w:rPr>
              <w:t>6.3</w:t>
            </w:r>
          </w:p>
        </w:tc>
        <w:tc>
          <w:tcPr>
            <w:tcW w:w="1848" w:type="dxa"/>
            <w:vAlign w:val="center"/>
          </w:tcPr>
          <w:p>
            <w:pPr>
              <w:adjustRightInd w:val="0"/>
              <w:snapToGrid w:val="0"/>
              <w:spacing w:line="320" w:lineRule="exact"/>
              <w:jc w:val="center"/>
              <w:rPr>
                <w:rFonts w:ascii="宋体" w:hAnsi="宋体" w:cs="宋体"/>
                <w:szCs w:val="21"/>
              </w:rPr>
            </w:pPr>
            <w:r>
              <w:rPr>
                <w:rFonts w:hint="eastAsia" w:ascii="宋体" w:hAnsi="宋体" w:cs="宋体"/>
                <w:szCs w:val="21"/>
              </w:rPr>
              <w:t>评标方法</w:t>
            </w:r>
          </w:p>
        </w:tc>
        <w:tc>
          <w:tcPr>
            <w:tcW w:w="7373" w:type="dxa"/>
            <w:vAlign w:val="center"/>
          </w:tcPr>
          <w:p>
            <w:pPr>
              <w:adjustRightInd w:val="0"/>
              <w:snapToGrid w:val="0"/>
              <w:spacing w:line="320" w:lineRule="exact"/>
              <w:rPr>
                <w:rFonts w:ascii="宋体" w:hAnsi="宋体" w:cs="宋体"/>
                <w:szCs w:val="21"/>
              </w:rPr>
            </w:pPr>
            <w:r>
              <w:rPr>
                <w:rFonts w:ascii="宋体" w:hAnsi="宋体" w:cs="宋体"/>
                <w:b/>
                <w:sz w:val="24"/>
                <w:szCs w:val="24"/>
              </w:rPr>
              <w:fldChar w:fldCharType="begin"/>
            </w:r>
            <w:r>
              <w:rPr>
                <w:rFonts w:hint="eastAsia" w:ascii="宋体" w:hAnsi="宋体" w:cs="宋体"/>
                <w:b/>
                <w:sz w:val="24"/>
                <w:szCs w:val="24"/>
              </w:rPr>
              <w:instrText xml:space="preserve">eq \o\ac(□,</w:instrText>
            </w:r>
            <w:r>
              <w:rPr>
                <w:rFonts w:hint="eastAsia" w:ascii="宋体" w:hAnsi="宋体" w:cs="宋体"/>
                <w:b/>
                <w:position w:val="2"/>
                <w:sz w:val="16"/>
                <w:szCs w:val="24"/>
              </w:rPr>
              <w:instrText xml:space="preserve">√</w:instrText>
            </w:r>
            <w:r>
              <w:rPr>
                <w:rFonts w:hint="eastAsia" w:ascii="宋体" w:hAnsi="宋体" w:cs="宋体"/>
                <w:b/>
                <w:sz w:val="24"/>
                <w:szCs w:val="24"/>
              </w:rPr>
              <w:instrText xml:space="preserve">)</w:instrText>
            </w:r>
            <w:r>
              <w:rPr>
                <w:rFonts w:ascii="宋体" w:hAnsi="宋体" w:cs="宋体"/>
                <w:b/>
                <w:sz w:val="24"/>
                <w:szCs w:val="24"/>
              </w:rPr>
              <w:fldChar w:fldCharType="end"/>
            </w:r>
            <w:r>
              <w:rPr>
                <w:rFonts w:hint="eastAsia" w:ascii="宋体" w:hAnsi="宋体" w:cs="宋体"/>
                <w:szCs w:val="21"/>
              </w:rPr>
              <w:t>综合评估法   □经评审的最低投标价法     □合理低价法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91" w:hRule="atLeast"/>
          <w:jc w:val="center"/>
        </w:trPr>
        <w:tc>
          <w:tcPr>
            <w:tcW w:w="914" w:type="dxa"/>
            <w:vAlign w:val="center"/>
          </w:tcPr>
          <w:p>
            <w:pPr>
              <w:adjustRightInd w:val="0"/>
              <w:snapToGrid w:val="0"/>
              <w:spacing w:line="320" w:lineRule="exact"/>
              <w:jc w:val="center"/>
              <w:rPr>
                <w:rFonts w:ascii="宋体" w:hAnsi="宋体" w:cs="宋体"/>
                <w:szCs w:val="21"/>
              </w:rPr>
            </w:pPr>
            <w:r>
              <w:rPr>
                <w:rFonts w:hint="eastAsia" w:ascii="宋体" w:hAnsi="宋体" w:cs="宋体"/>
                <w:szCs w:val="21"/>
              </w:rPr>
              <w:t>7.1</w:t>
            </w:r>
          </w:p>
        </w:tc>
        <w:tc>
          <w:tcPr>
            <w:tcW w:w="1848" w:type="dxa"/>
            <w:vAlign w:val="center"/>
          </w:tcPr>
          <w:p>
            <w:pPr>
              <w:adjustRightInd w:val="0"/>
              <w:snapToGrid w:val="0"/>
              <w:spacing w:line="320" w:lineRule="exact"/>
              <w:jc w:val="center"/>
              <w:rPr>
                <w:rFonts w:ascii="宋体" w:hAnsi="宋体" w:cs="宋体"/>
                <w:szCs w:val="21"/>
              </w:rPr>
            </w:pPr>
            <w:r>
              <w:rPr>
                <w:rFonts w:hint="eastAsia" w:ascii="宋体" w:hAnsi="宋体" w:cs="宋体"/>
                <w:szCs w:val="21"/>
              </w:rPr>
              <w:t>是否授权评标委员会确定中标人</w:t>
            </w:r>
          </w:p>
        </w:tc>
        <w:tc>
          <w:tcPr>
            <w:tcW w:w="7373" w:type="dxa"/>
            <w:vAlign w:val="center"/>
          </w:tcPr>
          <w:p>
            <w:pPr>
              <w:adjustRightInd w:val="0"/>
              <w:snapToGrid w:val="0"/>
              <w:spacing w:line="320" w:lineRule="exact"/>
              <w:rPr>
                <w:rFonts w:ascii="宋体" w:hAnsi="宋体" w:cs="宋体"/>
                <w:szCs w:val="21"/>
              </w:rPr>
            </w:pPr>
            <w:r>
              <w:rPr>
                <w:rFonts w:ascii="宋体" w:hAnsi="宋体" w:cs="宋体"/>
                <w:b/>
                <w:sz w:val="24"/>
                <w:szCs w:val="24"/>
              </w:rPr>
              <w:fldChar w:fldCharType="begin"/>
            </w:r>
            <w:r>
              <w:rPr>
                <w:rFonts w:hint="eastAsia" w:ascii="宋体" w:hAnsi="宋体" w:cs="宋体"/>
                <w:b/>
                <w:sz w:val="24"/>
                <w:szCs w:val="24"/>
              </w:rPr>
              <w:instrText xml:space="preserve">eq \o\ac(□,</w:instrText>
            </w:r>
            <w:r>
              <w:rPr>
                <w:rFonts w:hint="eastAsia" w:ascii="宋体" w:hAnsi="宋体" w:cs="宋体"/>
                <w:b/>
                <w:position w:val="2"/>
                <w:sz w:val="16"/>
                <w:szCs w:val="24"/>
              </w:rPr>
              <w:instrText xml:space="preserve">√</w:instrText>
            </w:r>
            <w:r>
              <w:rPr>
                <w:rFonts w:hint="eastAsia" w:ascii="宋体" w:hAnsi="宋体" w:cs="宋体"/>
                <w:b/>
                <w:sz w:val="24"/>
                <w:szCs w:val="24"/>
              </w:rPr>
              <w:instrText xml:space="preserve">)</w:instrText>
            </w:r>
            <w:r>
              <w:rPr>
                <w:rFonts w:ascii="宋体" w:hAnsi="宋体" w:cs="宋体"/>
                <w:b/>
                <w:sz w:val="24"/>
                <w:szCs w:val="24"/>
              </w:rPr>
              <w:fldChar w:fldCharType="end"/>
            </w:r>
            <w:r>
              <w:rPr>
                <w:rFonts w:hint="eastAsia" w:ascii="宋体" w:hAnsi="宋体" w:cs="宋体"/>
                <w:szCs w:val="21"/>
              </w:rPr>
              <w:t>否 推荐的中标候选人数</w:t>
            </w:r>
            <w:r>
              <w:rPr>
                <w:rFonts w:hint="eastAsia" w:ascii="宋体" w:hAnsi="宋体" w:cs="宋体"/>
                <w:szCs w:val="21"/>
                <w:u w:val="single"/>
              </w:rPr>
              <w:t xml:space="preserve"> 3 名</w:t>
            </w:r>
            <w:r>
              <w:rPr>
                <w:rFonts w:hint="eastAsia" w:ascii="宋体" w:hAnsi="宋体" w:cs="宋体"/>
                <w:szCs w:val="21"/>
              </w:rPr>
              <w:t>，</w:t>
            </w:r>
            <w:r>
              <w:t>中标公示期无异议，第一中标候选人为中标人。</w:t>
            </w:r>
          </w:p>
          <w:p>
            <w:pPr>
              <w:adjustRightInd w:val="0"/>
              <w:snapToGrid w:val="0"/>
              <w:spacing w:line="320" w:lineRule="exact"/>
              <w:rPr>
                <w:rFonts w:ascii="宋体" w:hAnsi="宋体" w:cs="宋体"/>
                <w:szCs w:val="21"/>
                <w:highlight w:val="green"/>
              </w:rPr>
            </w:pPr>
            <w:r>
              <w:rPr>
                <w:rFonts w:hint="eastAsia" w:ascii="宋体" w:hAnsi="宋体" w:cs="宋体"/>
                <w:szCs w:val="21"/>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977" w:hRule="atLeast"/>
          <w:jc w:val="center"/>
        </w:trPr>
        <w:tc>
          <w:tcPr>
            <w:tcW w:w="914" w:type="dxa"/>
            <w:vAlign w:val="center"/>
          </w:tcPr>
          <w:p>
            <w:pPr>
              <w:adjustRightInd w:val="0"/>
              <w:snapToGrid w:val="0"/>
              <w:spacing w:line="320" w:lineRule="exact"/>
              <w:jc w:val="center"/>
              <w:rPr>
                <w:rFonts w:ascii="宋体" w:hAnsi="宋体" w:cs="宋体"/>
                <w:szCs w:val="21"/>
              </w:rPr>
            </w:pPr>
            <w:r>
              <w:rPr>
                <w:rFonts w:hint="eastAsia" w:ascii="宋体" w:hAnsi="宋体" w:cs="宋体"/>
                <w:szCs w:val="21"/>
              </w:rPr>
              <w:t>7.3.1</w:t>
            </w:r>
          </w:p>
        </w:tc>
        <w:tc>
          <w:tcPr>
            <w:tcW w:w="1848" w:type="dxa"/>
            <w:vAlign w:val="center"/>
          </w:tcPr>
          <w:p>
            <w:pPr>
              <w:adjustRightInd w:val="0"/>
              <w:snapToGrid w:val="0"/>
              <w:spacing w:line="320" w:lineRule="exact"/>
              <w:jc w:val="center"/>
              <w:rPr>
                <w:rFonts w:ascii="宋体" w:hAnsi="宋体" w:cs="宋体"/>
                <w:szCs w:val="21"/>
              </w:rPr>
            </w:pPr>
            <w:r>
              <w:rPr>
                <w:rFonts w:hint="eastAsia" w:ascii="宋体" w:hAnsi="宋体" w:cs="宋体"/>
                <w:szCs w:val="21"/>
              </w:rPr>
              <w:t>履约保证金</w:t>
            </w:r>
          </w:p>
        </w:tc>
        <w:tc>
          <w:tcPr>
            <w:tcW w:w="7373" w:type="dxa"/>
            <w:vAlign w:val="center"/>
          </w:tcPr>
          <w:p>
            <w:pPr>
              <w:spacing w:line="360" w:lineRule="exact"/>
              <w:rPr>
                <w:rFonts w:ascii="宋体" w:hAnsi="宋体"/>
                <w:szCs w:val="21"/>
              </w:rPr>
            </w:pPr>
            <w:r>
              <w:rPr>
                <w:rFonts w:hint="eastAsia" w:ascii="宋体" w:hAnsi="宋体"/>
                <w:szCs w:val="21"/>
              </w:rPr>
              <w:t>签订合同前，承包方需向发包方缴纳履约保证金。履约保证金以银行转账或银行保函等非现金形式提交。按合同总价的</w:t>
            </w:r>
            <w:r>
              <w:rPr>
                <w:rFonts w:ascii="宋体" w:hAnsi="宋体"/>
                <w:szCs w:val="21"/>
              </w:rPr>
              <w:t>5%（</w:t>
            </w:r>
            <w:r>
              <w:rPr>
                <w:rFonts w:hint="eastAsia" w:ascii="宋体" w:hAnsi="宋体"/>
                <w:szCs w:val="21"/>
              </w:rPr>
              <w:t>其中质量</w:t>
            </w:r>
            <w:r>
              <w:rPr>
                <w:rFonts w:ascii="宋体" w:hAnsi="宋体"/>
                <w:szCs w:val="21"/>
              </w:rPr>
              <w:t>3%、安全2%）计取，</w:t>
            </w:r>
            <w:r>
              <w:rPr>
                <w:rFonts w:hint="eastAsia" w:ascii="宋体" w:hAnsi="宋体"/>
                <w:szCs w:val="21"/>
              </w:rPr>
              <w:t>不计息。</w:t>
            </w:r>
            <w:r>
              <w:rPr>
                <w:rFonts w:ascii="宋体" w:hAnsi="宋体"/>
                <w:szCs w:val="21"/>
              </w:rPr>
              <w:t>中标人按要求保质保量完成该项目合同并通过验收后，</w:t>
            </w:r>
            <w:r>
              <w:rPr>
                <w:rFonts w:hint="eastAsia" w:ascii="宋体" w:hAnsi="宋体"/>
                <w:szCs w:val="21"/>
              </w:rPr>
              <w:t>招标</w:t>
            </w:r>
            <w:r>
              <w:rPr>
                <w:rFonts w:ascii="宋体" w:hAnsi="宋体"/>
                <w:szCs w:val="21"/>
              </w:rPr>
              <w:t>人凭中标人提交的申请，一次性无息退还。由于中标人原因，在签订合同后</w:t>
            </w:r>
            <w:r>
              <w:rPr>
                <w:rFonts w:hint="eastAsia" w:ascii="宋体" w:hAnsi="宋体"/>
                <w:szCs w:val="21"/>
              </w:rPr>
              <w:t>如</w:t>
            </w:r>
            <w:r>
              <w:rPr>
                <w:rFonts w:ascii="宋体" w:hAnsi="宋体"/>
                <w:szCs w:val="21"/>
              </w:rPr>
              <w:t>出现不按合同履行情况，采购人有权将履约保证金</w:t>
            </w:r>
            <w:r>
              <w:rPr>
                <w:rFonts w:hint="eastAsia" w:ascii="宋体" w:hAnsi="宋体"/>
                <w:szCs w:val="21"/>
              </w:rPr>
              <w:t>按违约（如时间等）比例予以扣减</w:t>
            </w:r>
            <w:r>
              <w:rPr>
                <w:rFonts w:ascii="宋体" w:hAnsi="宋体"/>
                <w:szCs w:val="21"/>
              </w:rPr>
              <w:t>，同时采购人亦有权终止合同，中标人还须承担相应法律赔偿责任。</w:t>
            </w:r>
            <w:r>
              <w:rPr>
                <w:rFonts w:hint="eastAsia" w:ascii="宋体" w:hAnsi="宋体"/>
                <w:szCs w:val="21"/>
              </w:rPr>
              <w:t>缺陷部分按相关专业定额及当期造价信息指导价等规范文件计取后由管护单位承担。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542" w:hRule="atLeast"/>
          <w:jc w:val="center"/>
        </w:trPr>
        <w:tc>
          <w:tcPr>
            <w:tcW w:w="914" w:type="dxa"/>
            <w:vAlign w:val="center"/>
          </w:tcPr>
          <w:p>
            <w:pPr>
              <w:adjustRightInd w:val="0"/>
              <w:snapToGrid w:val="0"/>
              <w:spacing w:line="320" w:lineRule="exact"/>
              <w:jc w:val="center"/>
              <w:rPr>
                <w:rFonts w:ascii="宋体" w:hAnsi="宋体" w:cs="宋体"/>
                <w:szCs w:val="21"/>
              </w:rPr>
            </w:pPr>
            <w:r>
              <w:rPr>
                <w:rFonts w:hint="eastAsia" w:ascii="宋体" w:hAnsi="宋体" w:cs="宋体"/>
                <w:szCs w:val="21"/>
              </w:rPr>
              <w:t>8.5.1</w:t>
            </w:r>
          </w:p>
        </w:tc>
        <w:tc>
          <w:tcPr>
            <w:tcW w:w="1848" w:type="dxa"/>
            <w:vAlign w:val="center"/>
          </w:tcPr>
          <w:p>
            <w:pPr>
              <w:adjustRightInd w:val="0"/>
              <w:snapToGrid w:val="0"/>
              <w:spacing w:line="320" w:lineRule="exact"/>
              <w:jc w:val="center"/>
              <w:rPr>
                <w:rFonts w:ascii="宋体" w:hAnsi="宋体" w:cs="宋体"/>
                <w:szCs w:val="21"/>
              </w:rPr>
            </w:pPr>
            <w:r>
              <w:rPr>
                <w:rFonts w:hint="eastAsia" w:ascii="宋体" w:hAnsi="宋体" w:cs="宋体"/>
                <w:szCs w:val="21"/>
              </w:rPr>
              <w:t>异议提出的时间</w:t>
            </w:r>
          </w:p>
        </w:tc>
        <w:tc>
          <w:tcPr>
            <w:tcW w:w="7373" w:type="dxa"/>
            <w:vAlign w:val="center"/>
          </w:tcPr>
          <w:p>
            <w:pPr>
              <w:adjustRightInd w:val="0"/>
              <w:snapToGrid w:val="0"/>
              <w:spacing w:line="320" w:lineRule="exact"/>
              <w:rPr>
                <w:rFonts w:ascii="宋体" w:hAnsi="宋体" w:cs="宋体"/>
                <w:szCs w:val="21"/>
              </w:rPr>
            </w:pPr>
            <w:r>
              <w:rPr>
                <w:rFonts w:hint="eastAsia" w:ascii="宋体" w:hAnsi="宋体" w:cs="宋体"/>
                <w:szCs w:val="21"/>
              </w:rPr>
              <w:t xml:space="preserve">(1)招标文件有异议的，应在投标截止时间10日前提出；  </w:t>
            </w:r>
          </w:p>
          <w:p>
            <w:pPr>
              <w:adjustRightInd w:val="0"/>
              <w:snapToGrid w:val="0"/>
              <w:spacing w:line="320" w:lineRule="exact"/>
              <w:rPr>
                <w:rFonts w:ascii="宋体" w:hAnsi="宋体" w:cs="宋体"/>
                <w:szCs w:val="21"/>
              </w:rPr>
            </w:pPr>
            <w:r>
              <w:rPr>
                <w:rFonts w:hint="eastAsia" w:ascii="宋体" w:hAnsi="宋体" w:cs="宋体"/>
                <w:szCs w:val="21"/>
              </w:rPr>
              <w:t xml:space="preserve">(2)对开标有异议的，应当在开标现场提出。 </w:t>
            </w:r>
          </w:p>
          <w:p>
            <w:pPr>
              <w:adjustRightInd w:val="0"/>
              <w:snapToGrid w:val="0"/>
              <w:spacing w:line="320" w:lineRule="exact"/>
              <w:rPr>
                <w:rFonts w:ascii="宋体" w:hAnsi="宋体" w:cs="宋体"/>
                <w:szCs w:val="21"/>
              </w:rPr>
            </w:pPr>
            <w:r>
              <w:rPr>
                <w:rFonts w:hint="eastAsia" w:ascii="宋体" w:hAnsi="宋体" w:cs="宋体"/>
                <w:szCs w:val="21"/>
              </w:rPr>
              <w:t>(3)对评标结果有异议的，应当在中标候选人公示期间提出。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106" w:hRule="atLeast"/>
          <w:jc w:val="center"/>
        </w:trPr>
        <w:tc>
          <w:tcPr>
            <w:tcW w:w="914" w:type="dxa"/>
            <w:vAlign w:val="center"/>
          </w:tcPr>
          <w:p>
            <w:pPr>
              <w:adjustRightInd w:val="0"/>
              <w:snapToGrid w:val="0"/>
              <w:spacing w:line="320" w:lineRule="exact"/>
              <w:jc w:val="center"/>
              <w:rPr>
                <w:rFonts w:ascii="宋体" w:hAnsi="宋体" w:cs="宋体"/>
                <w:szCs w:val="21"/>
              </w:rPr>
            </w:pPr>
            <w:r>
              <w:rPr>
                <w:rFonts w:hint="eastAsia" w:ascii="宋体" w:hAnsi="宋体" w:cs="宋体"/>
                <w:szCs w:val="21"/>
              </w:rPr>
              <w:t>8.5.2</w:t>
            </w:r>
          </w:p>
        </w:tc>
        <w:tc>
          <w:tcPr>
            <w:tcW w:w="1848" w:type="dxa"/>
            <w:vAlign w:val="center"/>
          </w:tcPr>
          <w:p>
            <w:pPr>
              <w:adjustRightInd w:val="0"/>
              <w:snapToGrid w:val="0"/>
              <w:spacing w:line="320" w:lineRule="exact"/>
              <w:jc w:val="center"/>
              <w:rPr>
                <w:rFonts w:ascii="宋体" w:hAnsi="宋体" w:cs="宋体"/>
                <w:szCs w:val="21"/>
              </w:rPr>
            </w:pPr>
            <w:r>
              <w:rPr>
                <w:rFonts w:hint="eastAsia" w:ascii="宋体" w:hAnsi="宋体" w:cs="宋体"/>
                <w:szCs w:val="21"/>
              </w:rPr>
              <w:t>招投标监督</w:t>
            </w:r>
          </w:p>
          <w:p>
            <w:pPr>
              <w:adjustRightInd w:val="0"/>
              <w:snapToGrid w:val="0"/>
              <w:spacing w:line="320" w:lineRule="exact"/>
              <w:jc w:val="center"/>
              <w:rPr>
                <w:rFonts w:ascii="宋体" w:hAnsi="宋体" w:cs="宋体"/>
                <w:szCs w:val="21"/>
              </w:rPr>
            </w:pPr>
            <w:r>
              <w:rPr>
                <w:rFonts w:hint="eastAsia" w:ascii="宋体" w:hAnsi="宋体" w:cs="宋体"/>
                <w:szCs w:val="21"/>
              </w:rPr>
              <w:t>管理部门</w:t>
            </w:r>
          </w:p>
        </w:tc>
        <w:tc>
          <w:tcPr>
            <w:tcW w:w="7373" w:type="dxa"/>
            <w:vAlign w:val="center"/>
          </w:tcPr>
          <w:p>
            <w:pPr>
              <w:adjustRightInd w:val="0"/>
              <w:snapToGrid w:val="0"/>
              <w:spacing w:line="320" w:lineRule="exact"/>
              <w:rPr>
                <w:rFonts w:ascii="宋体" w:hAnsi="宋体" w:cs="宋体"/>
                <w:b/>
                <w:strike/>
                <w:color w:val="0000FF"/>
                <w:szCs w:val="21"/>
                <w:u w:val="single"/>
              </w:rPr>
            </w:pPr>
            <w:r>
              <w:rPr>
                <w:rFonts w:hint="eastAsia" w:ascii="宋体" w:hAnsi="宋体" w:cs="宋体"/>
                <w:b/>
                <w:color w:val="0000FF"/>
                <w:szCs w:val="21"/>
              </w:rPr>
              <w:t>南通市住房和城乡建设局</w:t>
            </w:r>
          </w:p>
        </w:tc>
      </w:tr>
    </w:tbl>
    <w:p>
      <w:pPr>
        <w:keepNext/>
        <w:keepLines/>
        <w:spacing w:line="360" w:lineRule="auto"/>
        <w:jc w:val="center"/>
        <w:outlineLvl w:val="0"/>
        <w:rPr>
          <w:rFonts w:ascii="宋体" w:hAnsi="宋体"/>
          <w:b/>
          <w:bCs/>
          <w:kern w:val="44"/>
          <w:sz w:val="32"/>
          <w:szCs w:val="44"/>
        </w:rPr>
      </w:pPr>
      <w:bookmarkStart w:id="29" w:name="_Toc535487083"/>
      <w:bookmarkStart w:id="30" w:name="_Toc389065144"/>
      <w:r>
        <w:rPr>
          <w:rFonts w:ascii="宋体" w:hAnsi="宋体"/>
          <w:b/>
          <w:bCs/>
          <w:kern w:val="44"/>
          <w:sz w:val="32"/>
          <w:szCs w:val="44"/>
        </w:rPr>
        <w:br w:type="page"/>
      </w:r>
      <w:bookmarkEnd w:id="29"/>
      <w:bookmarkEnd w:id="30"/>
      <w:bookmarkStart w:id="31" w:name="_Toc389065158"/>
      <w:bookmarkStart w:id="32" w:name="_Toc535487098"/>
      <w:r>
        <w:rPr>
          <w:rFonts w:ascii="宋体" w:hAnsi="宋体"/>
          <w:b/>
          <w:bCs/>
          <w:kern w:val="44"/>
          <w:sz w:val="32"/>
          <w:szCs w:val="44"/>
        </w:rPr>
        <w:t>投标人须知</w:t>
      </w:r>
    </w:p>
    <w:p>
      <w:pPr>
        <w:keepNext/>
        <w:keepLines/>
        <w:spacing w:before="60" w:after="60" w:line="400" w:lineRule="exact"/>
        <w:outlineLvl w:val="1"/>
        <w:rPr>
          <w:rFonts w:ascii="宋体" w:hAnsi="宋体" w:cs="宋体"/>
          <w:b/>
          <w:bCs/>
          <w:szCs w:val="21"/>
        </w:rPr>
      </w:pPr>
      <w:bookmarkStart w:id="33" w:name="_Toc389065145"/>
      <w:bookmarkStart w:id="34" w:name="_Toc535487084"/>
      <w:r>
        <w:rPr>
          <w:rFonts w:hint="eastAsia" w:ascii="宋体" w:hAnsi="宋体" w:cs="宋体"/>
          <w:b/>
          <w:bCs/>
          <w:szCs w:val="21"/>
        </w:rPr>
        <w:t>1 总则</w:t>
      </w:r>
      <w:bookmarkEnd w:id="33"/>
      <w:bookmarkEnd w:id="34"/>
    </w:p>
    <w:p>
      <w:pPr>
        <w:keepNext/>
        <w:keepLines/>
        <w:spacing w:line="400" w:lineRule="exact"/>
        <w:outlineLvl w:val="2"/>
        <w:rPr>
          <w:rFonts w:ascii="宋体" w:hAnsi="宋体" w:cs="宋体"/>
          <w:b/>
          <w:bCs/>
          <w:szCs w:val="21"/>
        </w:rPr>
      </w:pPr>
      <w:bookmarkStart w:id="35" w:name="_Toc389065146"/>
      <w:bookmarkStart w:id="36" w:name="_Toc535487085"/>
      <w:r>
        <w:rPr>
          <w:rFonts w:hint="eastAsia" w:ascii="宋体" w:hAnsi="宋体" w:cs="宋体"/>
          <w:b/>
          <w:bCs/>
          <w:szCs w:val="21"/>
        </w:rPr>
        <w:t>1.1 项目概况</w:t>
      </w:r>
      <w:bookmarkEnd w:id="35"/>
      <w:bookmarkEnd w:id="36"/>
    </w:p>
    <w:p>
      <w:pPr>
        <w:spacing w:line="400" w:lineRule="exact"/>
        <w:ind w:firstLine="420" w:firstLineChars="200"/>
        <w:rPr>
          <w:rFonts w:ascii="宋体" w:hAnsi="宋体" w:cs="宋体"/>
          <w:szCs w:val="21"/>
        </w:rPr>
      </w:pPr>
      <w:r>
        <w:rPr>
          <w:rFonts w:hint="eastAsia" w:ascii="宋体" w:hAnsi="宋体" w:cs="宋体"/>
          <w:szCs w:val="21"/>
        </w:rPr>
        <w:t>1.1.1 根据《中华人民共和国招标投标法》等有关法律、法规和规章的规定，本招标项目已具备招标条件，现对本项目管护工作进行招标。</w:t>
      </w:r>
    </w:p>
    <w:p>
      <w:pPr>
        <w:spacing w:line="400" w:lineRule="exact"/>
        <w:ind w:firstLine="420" w:firstLineChars="200"/>
        <w:rPr>
          <w:rFonts w:ascii="宋体" w:hAnsi="宋体" w:cs="宋体"/>
          <w:szCs w:val="21"/>
        </w:rPr>
      </w:pPr>
      <w:r>
        <w:rPr>
          <w:rFonts w:hint="eastAsia" w:ascii="宋体" w:hAnsi="宋体" w:cs="宋体"/>
          <w:szCs w:val="21"/>
        </w:rPr>
        <w:t>1.1.2 本招标项目招标人：见“投标人须知前附表”。</w:t>
      </w:r>
    </w:p>
    <w:p>
      <w:pPr>
        <w:spacing w:line="400" w:lineRule="exact"/>
        <w:ind w:firstLine="420" w:firstLineChars="200"/>
        <w:rPr>
          <w:rFonts w:ascii="宋体" w:hAnsi="宋体" w:cs="宋体"/>
          <w:szCs w:val="21"/>
        </w:rPr>
      </w:pPr>
      <w:r>
        <w:rPr>
          <w:rFonts w:hint="eastAsia" w:ascii="宋体" w:hAnsi="宋体" w:cs="宋体"/>
          <w:szCs w:val="21"/>
        </w:rPr>
        <w:t>1.1.3 本项目招标代理机构：见“投标人须知前附表”。</w:t>
      </w:r>
    </w:p>
    <w:p>
      <w:pPr>
        <w:spacing w:line="400" w:lineRule="exact"/>
        <w:ind w:firstLine="420" w:firstLineChars="200"/>
        <w:rPr>
          <w:rFonts w:ascii="宋体" w:hAnsi="宋体" w:cs="宋体"/>
          <w:szCs w:val="21"/>
        </w:rPr>
      </w:pPr>
      <w:r>
        <w:rPr>
          <w:rFonts w:hint="eastAsia" w:ascii="宋体" w:hAnsi="宋体" w:cs="宋体"/>
          <w:szCs w:val="21"/>
        </w:rPr>
        <w:t>1.1.4 本招标项目及标段名称：见“投标人须知前附表”。</w:t>
      </w:r>
    </w:p>
    <w:p>
      <w:pPr>
        <w:spacing w:line="400" w:lineRule="exact"/>
        <w:ind w:firstLine="420" w:firstLineChars="200"/>
        <w:rPr>
          <w:rFonts w:ascii="宋体" w:hAnsi="宋体" w:cs="宋体"/>
          <w:szCs w:val="21"/>
        </w:rPr>
      </w:pPr>
      <w:r>
        <w:rPr>
          <w:rFonts w:hint="eastAsia" w:ascii="宋体" w:hAnsi="宋体" w:cs="宋体"/>
          <w:szCs w:val="21"/>
        </w:rPr>
        <w:t>1.1.5 本项目及标段管护地点：见“投标人须知前附表”。</w:t>
      </w:r>
    </w:p>
    <w:p>
      <w:pPr>
        <w:keepNext/>
        <w:keepLines/>
        <w:spacing w:line="400" w:lineRule="exact"/>
        <w:outlineLvl w:val="2"/>
        <w:rPr>
          <w:rFonts w:ascii="宋体" w:hAnsi="宋体" w:cs="宋体"/>
          <w:b/>
          <w:bCs/>
          <w:szCs w:val="21"/>
        </w:rPr>
      </w:pPr>
      <w:bookmarkStart w:id="37" w:name="_Toc535487086"/>
      <w:bookmarkStart w:id="38" w:name="_Toc389065147"/>
      <w:r>
        <w:rPr>
          <w:rFonts w:hint="eastAsia" w:ascii="宋体" w:hAnsi="宋体" w:cs="宋体"/>
          <w:b/>
          <w:bCs/>
          <w:szCs w:val="21"/>
        </w:rPr>
        <w:t>1.2 资金来源和落实情况</w:t>
      </w:r>
      <w:bookmarkEnd w:id="37"/>
      <w:bookmarkEnd w:id="38"/>
    </w:p>
    <w:p>
      <w:pPr>
        <w:spacing w:line="400" w:lineRule="exact"/>
        <w:ind w:firstLine="420" w:firstLineChars="200"/>
        <w:rPr>
          <w:rFonts w:ascii="宋体" w:hAnsi="宋体" w:cs="宋体"/>
          <w:szCs w:val="21"/>
        </w:rPr>
      </w:pPr>
      <w:r>
        <w:rPr>
          <w:rFonts w:hint="eastAsia" w:ascii="宋体" w:hAnsi="宋体" w:cs="宋体"/>
          <w:szCs w:val="21"/>
        </w:rPr>
        <w:t>1.2.1 本招标项目的资金来源：见“投标人须知前附表”。</w:t>
      </w:r>
    </w:p>
    <w:p>
      <w:pPr>
        <w:spacing w:line="400" w:lineRule="exact"/>
        <w:ind w:firstLine="420" w:firstLineChars="200"/>
        <w:rPr>
          <w:rFonts w:ascii="宋体" w:hAnsi="宋体" w:cs="宋体"/>
          <w:szCs w:val="21"/>
        </w:rPr>
      </w:pPr>
      <w:r>
        <w:rPr>
          <w:rFonts w:hint="eastAsia" w:ascii="宋体" w:hAnsi="宋体" w:cs="宋体"/>
          <w:szCs w:val="21"/>
        </w:rPr>
        <w:t>1.2.2 本招标项目的出资比例：见“投标人须知前附表”。</w:t>
      </w:r>
    </w:p>
    <w:p>
      <w:pPr>
        <w:spacing w:line="400" w:lineRule="exact"/>
        <w:ind w:firstLine="420" w:firstLineChars="200"/>
        <w:rPr>
          <w:rFonts w:ascii="宋体" w:hAnsi="宋体" w:cs="宋体"/>
          <w:szCs w:val="21"/>
        </w:rPr>
      </w:pPr>
      <w:r>
        <w:rPr>
          <w:rFonts w:hint="eastAsia" w:ascii="宋体" w:hAnsi="宋体" w:cs="宋体"/>
          <w:szCs w:val="21"/>
        </w:rPr>
        <w:t>1.2.3 本招标项目的资金落实情况：见“投标人须知前附表”。</w:t>
      </w:r>
    </w:p>
    <w:p>
      <w:pPr>
        <w:spacing w:line="400" w:lineRule="exact"/>
        <w:ind w:firstLine="420" w:firstLineChars="200"/>
        <w:rPr>
          <w:rFonts w:ascii="宋体" w:hAnsi="宋体" w:cs="宋体"/>
          <w:szCs w:val="21"/>
        </w:rPr>
      </w:pPr>
      <w:r>
        <w:rPr>
          <w:rFonts w:hint="eastAsia" w:ascii="宋体" w:hAnsi="宋体" w:cs="宋体"/>
          <w:szCs w:val="21"/>
        </w:rPr>
        <w:t>1.2.4 本招标项目的管护费支付方式：见“投标人须知前附表”。</w:t>
      </w:r>
    </w:p>
    <w:p>
      <w:pPr>
        <w:keepNext/>
        <w:keepLines/>
        <w:spacing w:line="400" w:lineRule="exact"/>
        <w:outlineLvl w:val="2"/>
        <w:rPr>
          <w:rFonts w:ascii="宋体" w:hAnsi="宋体" w:cs="宋体"/>
          <w:b/>
          <w:bCs/>
          <w:szCs w:val="21"/>
        </w:rPr>
      </w:pPr>
      <w:bookmarkStart w:id="39" w:name="_Toc389065148"/>
      <w:bookmarkStart w:id="40" w:name="_Toc535487087"/>
      <w:r>
        <w:rPr>
          <w:rFonts w:hint="eastAsia" w:ascii="宋体" w:hAnsi="宋体" w:cs="宋体"/>
          <w:b/>
          <w:bCs/>
          <w:szCs w:val="21"/>
        </w:rPr>
        <w:t>1.3 招标范围、承包期限和质量要求</w:t>
      </w:r>
      <w:bookmarkEnd w:id="39"/>
      <w:bookmarkEnd w:id="40"/>
    </w:p>
    <w:p>
      <w:pPr>
        <w:spacing w:line="400" w:lineRule="exact"/>
        <w:ind w:firstLine="420" w:firstLineChars="200"/>
        <w:rPr>
          <w:rFonts w:ascii="宋体" w:hAnsi="宋体" w:cs="宋体"/>
          <w:szCs w:val="21"/>
        </w:rPr>
      </w:pPr>
      <w:r>
        <w:rPr>
          <w:rFonts w:hint="eastAsia" w:ascii="宋体" w:hAnsi="宋体" w:cs="宋体"/>
          <w:szCs w:val="21"/>
        </w:rPr>
        <w:t>1.3.1 本次招标范围：见“投标人须知前附表”。</w:t>
      </w:r>
    </w:p>
    <w:p>
      <w:pPr>
        <w:spacing w:line="400" w:lineRule="exact"/>
        <w:ind w:firstLine="420" w:firstLineChars="200"/>
        <w:rPr>
          <w:rFonts w:ascii="宋体" w:hAnsi="宋体" w:cs="宋体"/>
          <w:szCs w:val="21"/>
        </w:rPr>
      </w:pPr>
      <w:r>
        <w:rPr>
          <w:rFonts w:hint="eastAsia" w:ascii="宋体" w:hAnsi="宋体" w:cs="宋体"/>
          <w:szCs w:val="21"/>
        </w:rPr>
        <w:t>1.3.2 本项目承包期：见“投标人须知前附表”。</w:t>
      </w:r>
    </w:p>
    <w:p>
      <w:pPr>
        <w:spacing w:line="400" w:lineRule="exact"/>
        <w:ind w:firstLine="420" w:firstLineChars="200"/>
        <w:rPr>
          <w:rFonts w:ascii="宋体" w:hAnsi="宋体" w:cs="宋体"/>
          <w:szCs w:val="21"/>
        </w:rPr>
      </w:pPr>
      <w:r>
        <w:rPr>
          <w:rFonts w:hint="eastAsia" w:ascii="宋体" w:hAnsi="宋体" w:cs="宋体"/>
          <w:szCs w:val="21"/>
        </w:rPr>
        <w:t>1.3.3 本项目管护质量要求：见“投标人须知前附表”。</w:t>
      </w:r>
    </w:p>
    <w:p>
      <w:pPr>
        <w:keepNext/>
        <w:keepLines/>
        <w:spacing w:line="400" w:lineRule="exact"/>
        <w:outlineLvl w:val="2"/>
        <w:rPr>
          <w:rFonts w:ascii="宋体" w:hAnsi="宋体" w:cs="宋体"/>
          <w:b/>
          <w:bCs/>
          <w:szCs w:val="21"/>
        </w:rPr>
      </w:pPr>
      <w:bookmarkStart w:id="41" w:name="_Toc389065149"/>
      <w:bookmarkStart w:id="42" w:name="_Toc535487088"/>
      <w:r>
        <w:rPr>
          <w:rFonts w:hint="eastAsia" w:ascii="宋体" w:hAnsi="宋体" w:cs="宋体"/>
          <w:b/>
          <w:bCs/>
          <w:szCs w:val="21"/>
        </w:rPr>
        <w:t>1.4 投标人资格要求</w:t>
      </w:r>
      <w:bookmarkEnd w:id="41"/>
      <w:bookmarkEnd w:id="42"/>
    </w:p>
    <w:p>
      <w:pPr>
        <w:spacing w:line="400" w:lineRule="exact"/>
        <w:ind w:firstLine="420" w:firstLineChars="200"/>
        <w:rPr>
          <w:rFonts w:ascii="宋体" w:hAnsi="宋体" w:cs="宋体"/>
          <w:szCs w:val="21"/>
        </w:rPr>
      </w:pPr>
      <w:r>
        <w:rPr>
          <w:rFonts w:hint="eastAsia" w:ascii="宋体" w:hAnsi="宋体" w:cs="宋体"/>
          <w:szCs w:val="21"/>
        </w:rPr>
        <w:t>1.4.1 投标人应具备承担本项目的资格要求，见招标公告。</w:t>
      </w:r>
    </w:p>
    <w:p>
      <w:pPr>
        <w:spacing w:line="400" w:lineRule="exact"/>
        <w:ind w:firstLine="420" w:firstLineChars="200"/>
        <w:rPr>
          <w:rFonts w:ascii="宋体" w:hAnsi="宋体" w:cs="宋体"/>
          <w:szCs w:val="21"/>
        </w:rPr>
      </w:pPr>
      <w:r>
        <w:rPr>
          <w:rFonts w:hint="eastAsia" w:ascii="宋体" w:hAnsi="宋体" w:cs="宋体"/>
          <w:szCs w:val="21"/>
        </w:rPr>
        <w:t>1.4.2 投标人不得存在下列情形之一：</w:t>
      </w:r>
    </w:p>
    <w:p>
      <w:pPr>
        <w:spacing w:line="400" w:lineRule="exact"/>
        <w:ind w:firstLine="420" w:firstLineChars="200"/>
        <w:rPr>
          <w:rFonts w:ascii="宋体" w:hAnsi="宋体" w:cs="宋体"/>
          <w:szCs w:val="21"/>
        </w:rPr>
      </w:pPr>
      <w:r>
        <w:rPr>
          <w:rFonts w:hint="eastAsia" w:ascii="宋体" w:hAnsi="宋体" w:cs="宋体"/>
          <w:szCs w:val="21"/>
        </w:rPr>
        <w:t>（1）为招标人不具有独立法人资格的附属机构（单位）；</w:t>
      </w:r>
    </w:p>
    <w:p>
      <w:pPr>
        <w:spacing w:line="400" w:lineRule="exact"/>
        <w:ind w:firstLine="420" w:firstLineChars="200"/>
        <w:rPr>
          <w:rFonts w:ascii="宋体" w:hAnsi="宋体" w:cs="宋体"/>
          <w:szCs w:val="21"/>
        </w:rPr>
      </w:pPr>
      <w:r>
        <w:rPr>
          <w:rFonts w:hint="eastAsia" w:ascii="宋体" w:hAnsi="宋体" w:cs="宋体"/>
          <w:szCs w:val="21"/>
        </w:rPr>
        <w:t>（2）为本招标项目的监理人、代建人、项目管理人，以及为本招标项目提供招标代理的；</w:t>
      </w:r>
    </w:p>
    <w:p>
      <w:pPr>
        <w:spacing w:line="400" w:lineRule="exact"/>
        <w:ind w:firstLine="420" w:firstLineChars="200"/>
        <w:rPr>
          <w:rFonts w:ascii="宋体" w:hAnsi="宋体" w:cs="宋体"/>
          <w:szCs w:val="21"/>
        </w:rPr>
      </w:pPr>
      <w:r>
        <w:rPr>
          <w:rFonts w:hint="eastAsia" w:ascii="宋体" w:hAnsi="宋体" w:cs="宋体"/>
          <w:szCs w:val="21"/>
        </w:rPr>
        <w:t>（3）与本招标项目的监理人、代建人、招标代理机构同为一个法定代表人的，或者相互控股、参股的；</w:t>
      </w:r>
    </w:p>
    <w:p>
      <w:pPr>
        <w:spacing w:line="400" w:lineRule="exact"/>
        <w:ind w:firstLine="420" w:firstLineChars="200"/>
        <w:rPr>
          <w:rFonts w:ascii="宋体" w:hAnsi="宋体" w:cs="宋体"/>
          <w:szCs w:val="21"/>
        </w:rPr>
      </w:pPr>
      <w:r>
        <w:rPr>
          <w:rFonts w:hint="eastAsia" w:ascii="宋体" w:hAnsi="宋体" w:cs="宋体"/>
          <w:szCs w:val="21"/>
        </w:rPr>
        <w:t>（4）与招标人存在利害关系可能影响招标公正性的；</w:t>
      </w:r>
    </w:p>
    <w:p>
      <w:pPr>
        <w:spacing w:line="400" w:lineRule="exact"/>
        <w:ind w:firstLine="420" w:firstLineChars="200"/>
        <w:rPr>
          <w:rFonts w:ascii="宋体" w:hAnsi="宋体" w:cs="宋体"/>
          <w:szCs w:val="21"/>
        </w:rPr>
      </w:pPr>
      <w:r>
        <w:rPr>
          <w:rFonts w:hint="eastAsia" w:ascii="宋体" w:hAnsi="宋体" w:cs="宋体"/>
          <w:szCs w:val="21"/>
        </w:rPr>
        <w:t>（5）单位负责人为同一人或者存在控股、管理关系的不同单位；</w:t>
      </w:r>
    </w:p>
    <w:p>
      <w:pPr>
        <w:spacing w:line="400" w:lineRule="exact"/>
        <w:ind w:firstLine="420" w:firstLineChars="200"/>
        <w:rPr>
          <w:rFonts w:ascii="宋体" w:hAnsi="宋体" w:cs="宋体"/>
          <w:szCs w:val="21"/>
        </w:rPr>
      </w:pPr>
      <w:r>
        <w:rPr>
          <w:rFonts w:hint="eastAsia" w:ascii="宋体" w:hAnsi="宋体" w:cs="宋体"/>
          <w:szCs w:val="21"/>
        </w:rPr>
        <w:t>（6）处于被责令停业、财产被接管、冻结和破产状态，以及投标资格被取消或者被暂停且在暂停期内；</w:t>
      </w:r>
    </w:p>
    <w:p>
      <w:pPr>
        <w:spacing w:line="400" w:lineRule="exact"/>
        <w:ind w:firstLine="420" w:firstLineChars="200"/>
        <w:rPr>
          <w:rFonts w:ascii="宋体" w:hAnsi="宋体" w:cs="宋体"/>
          <w:szCs w:val="21"/>
        </w:rPr>
      </w:pPr>
      <w:r>
        <w:rPr>
          <w:rFonts w:hint="eastAsia" w:ascii="宋体" w:hAnsi="宋体" w:cs="宋体"/>
          <w:szCs w:val="21"/>
        </w:rPr>
        <w:t>（7）因拖欠工人工资或者发生质量安全事故被有关部门限制在招标项目所在地承接工程的；</w:t>
      </w:r>
    </w:p>
    <w:p>
      <w:pPr>
        <w:spacing w:line="400" w:lineRule="exact"/>
        <w:ind w:firstLine="420" w:firstLineChars="200"/>
        <w:rPr>
          <w:rFonts w:ascii="宋体" w:hAnsi="宋体" w:cs="宋体"/>
          <w:szCs w:val="21"/>
        </w:rPr>
      </w:pPr>
      <w:r>
        <w:rPr>
          <w:rFonts w:hint="eastAsia" w:ascii="宋体" w:hAnsi="宋体" w:cs="宋体"/>
          <w:szCs w:val="21"/>
        </w:rPr>
        <w:t>（8）被工商行政管理机关在全国企业信用信息公示系统中列入严重违法失信企业名单的；</w:t>
      </w:r>
    </w:p>
    <w:p>
      <w:pPr>
        <w:spacing w:line="400" w:lineRule="exact"/>
        <w:ind w:firstLine="420" w:firstLineChars="200"/>
        <w:rPr>
          <w:rFonts w:ascii="宋体" w:hAnsi="宋体" w:cs="宋体"/>
          <w:szCs w:val="21"/>
        </w:rPr>
      </w:pPr>
      <w:r>
        <w:rPr>
          <w:rFonts w:hint="eastAsia" w:ascii="宋体" w:hAnsi="宋体" w:cs="宋体"/>
          <w:szCs w:val="21"/>
        </w:rPr>
        <w:t>（9）被最高人民法院在“信用中国”网站（www.creditchina.gov.cn）或各级信用信息共享平台中列入失信被执行名单的。</w:t>
      </w:r>
    </w:p>
    <w:p>
      <w:pPr>
        <w:spacing w:line="400" w:lineRule="exact"/>
        <w:ind w:firstLine="420" w:firstLineChars="200"/>
        <w:rPr>
          <w:rFonts w:ascii="宋体" w:hAnsi="宋体" w:cs="宋体"/>
          <w:szCs w:val="21"/>
        </w:rPr>
      </w:pPr>
      <w:r>
        <w:rPr>
          <w:rFonts w:hint="eastAsia" w:ascii="宋体" w:hAnsi="宋体" w:cs="宋体"/>
          <w:szCs w:val="21"/>
        </w:rPr>
        <w:t>1.4.3本项目不接受联合体投标。</w:t>
      </w:r>
    </w:p>
    <w:p>
      <w:pPr>
        <w:keepNext/>
        <w:keepLines/>
        <w:spacing w:line="400" w:lineRule="exact"/>
        <w:outlineLvl w:val="2"/>
        <w:rPr>
          <w:rFonts w:ascii="宋体" w:hAnsi="宋体" w:cs="宋体"/>
          <w:b/>
          <w:bCs/>
          <w:szCs w:val="21"/>
        </w:rPr>
      </w:pPr>
      <w:bookmarkStart w:id="43" w:name="_Toc389065150"/>
      <w:bookmarkStart w:id="44" w:name="_Toc535487089"/>
      <w:r>
        <w:rPr>
          <w:rFonts w:hint="eastAsia" w:ascii="宋体" w:hAnsi="宋体" w:cs="宋体"/>
          <w:b/>
          <w:bCs/>
          <w:szCs w:val="21"/>
        </w:rPr>
        <w:t>1.5 费用承担</w:t>
      </w:r>
      <w:bookmarkEnd w:id="43"/>
      <w:bookmarkEnd w:id="44"/>
    </w:p>
    <w:p>
      <w:pPr>
        <w:spacing w:line="400" w:lineRule="exact"/>
        <w:ind w:firstLine="420" w:firstLineChars="200"/>
        <w:rPr>
          <w:rFonts w:ascii="宋体" w:hAnsi="宋体" w:cs="宋体"/>
          <w:szCs w:val="21"/>
        </w:rPr>
      </w:pPr>
      <w:r>
        <w:rPr>
          <w:rFonts w:hint="eastAsia" w:ascii="宋体" w:hAnsi="宋体" w:cs="宋体"/>
          <w:szCs w:val="21"/>
        </w:rPr>
        <w:t>1.5.1投标人准备和参加投标活动发生的费用自理。</w:t>
      </w:r>
    </w:p>
    <w:p>
      <w:pPr>
        <w:keepNext/>
        <w:keepLines/>
        <w:spacing w:line="400" w:lineRule="exact"/>
        <w:outlineLvl w:val="2"/>
        <w:rPr>
          <w:rFonts w:ascii="宋体" w:hAnsi="宋体" w:cs="宋体"/>
          <w:b/>
          <w:bCs/>
          <w:szCs w:val="21"/>
        </w:rPr>
      </w:pPr>
      <w:bookmarkStart w:id="45" w:name="_Toc389065151"/>
      <w:bookmarkStart w:id="46" w:name="_Toc535487090"/>
      <w:r>
        <w:rPr>
          <w:rFonts w:hint="eastAsia" w:ascii="宋体" w:hAnsi="宋体" w:cs="宋体"/>
          <w:b/>
          <w:bCs/>
          <w:szCs w:val="21"/>
        </w:rPr>
        <w:t>1.6 保密</w:t>
      </w:r>
      <w:bookmarkEnd w:id="45"/>
      <w:bookmarkEnd w:id="46"/>
    </w:p>
    <w:p>
      <w:pPr>
        <w:spacing w:line="400" w:lineRule="exact"/>
        <w:ind w:firstLine="420" w:firstLineChars="200"/>
        <w:rPr>
          <w:rFonts w:ascii="宋体" w:hAnsi="宋体" w:cs="宋体"/>
          <w:szCs w:val="21"/>
        </w:rPr>
      </w:pPr>
      <w:r>
        <w:rPr>
          <w:rFonts w:hint="eastAsia" w:ascii="宋体" w:hAnsi="宋体" w:cs="宋体"/>
          <w:szCs w:val="21"/>
        </w:rPr>
        <w:t>参与招标投标活动的各方应对招标文件和投标文件中的商业和技术等秘密保密，违者应对由此造成的后果承担法律责任。</w:t>
      </w:r>
    </w:p>
    <w:p>
      <w:pPr>
        <w:keepNext/>
        <w:keepLines/>
        <w:spacing w:line="400" w:lineRule="exact"/>
        <w:outlineLvl w:val="2"/>
        <w:rPr>
          <w:rFonts w:ascii="宋体" w:hAnsi="宋体" w:cs="宋体"/>
          <w:b/>
          <w:bCs/>
          <w:szCs w:val="21"/>
        </w:rPr>
      </w:pPr>
      <w:bookmarkStart w:id="47" w:name="_Toc389065152"/>
      <w:bookmarkStart w:id="48" w:name="_Toc535487091"/>
      <w:r>
        <w:rPr>
          <w:rFonts w:hint="eastAsia" w:ascii="宋体" w:hAnsi="宋体" w:cs="宋体"/>
          <w:b/>
          <w:bCs/>
          <w:szCs w:val="21"/>
        </w:rPr>
        <w:t>1.7 语言文字</w:t>
      </w:r>
      <w:bookmarkEnd w:id="47"/>
      <w:bookmarkEnd w:id="48"/>
    </w:p>
    <w:p>
      <w:pPr>
        <w:spacing w:line="400" w:lineRule="exact"/>
        <w:ind w:firstLine="420" w:firstLineChars="200"/>
        <w:rPr>
          <w:rFonts w:ascii="宋体" w:hAnsi="宋体" w:cs="宋体"/>
          <w:szCs w:val="21"/>
        </w:rPr>
      </w:pPr>
      <w:r>
        <w:rPr>
          <w:rFonts w:hint="eastAsia" w:ascii="宋体" w:hAnsi="宋体" w:cs="宋体"/>
          <w:szCs w:val="21"/>
        </w:rPr>
        <w:t>除专用术语外，与招标投标有关的语言均使用中文，必要时专用术语应附有中文注释。</w:t>
      </w:r>
    </w:p>
    <w:p>
      <w:pPr>
        <w:keepNext/>
        <w:keepLines/>
        <w:spacing w:line="400" w:lineRule="exact"/>
        <w:outlineLvl w:val="2"/>
        <w:rPr>
          <w:rFonts w:ascii="宋体" w:hAnsi="宋体" w:cs="宋体"/>
          <w:b/>
          <w:bCs/>
          <w:szCs w:val="21"/>
        </w:rPr>
      </w:pPr>
      <w:bookmarkStart w:id="49" w:name="_Toc389065153"/>
      <w:bookmarkStart w:id="50" w:name="_Toc535487092"/>
      <w:r>
        <w:rPr>
          <w:rFonts w:hint="eastAsia" w:ascii="宋体" w:hAnsi="宋体" w:cs="宋体"/>
          <w:b/>
          <w:bCs/>
          <w:szCs w:val="21"/>
        </w:rPr>
        <w:t>1.8 计量单位</w:t>
      </w:r>
      <w:bookmarkEnd w:id="49"/>
      <w:bookmarkEnd w:id="50"/>
    </w:p>
    <w:p>
      <w:pPr>
        <w:spacing w:line="400" w:lineRule="exact"/>
        <w:ind w:firstLine="420" w:firstLineChars="200"/>
        <w:rPr>
          <w:rFonts w:ascii="宋体" w:hAnsi="宋体" w:cs="宋体"/>
          <w:szCs w:val="21"/>
        </w:rPr>
      </w:pPr>
      <w:r>
        <w:rPr>
          <w:rFonts w:hint="eastAsia" w:ascii="宋体" w:hAnsi="宋体" w:cs="宋体"/>
          <w:szCs w:val="21"/>
        </w:rPr>
        <w:t>所有计量均采用中华人民共和国法定计量单位。</w:t>
      </w:r>
    </w:p>
    <w:p>
      <w:pPr>
        <w:keepNext/>
        <w:keepLines/>
        <w:spacing w:line="400" w:lineRule="exact"/>
        <w:outlineLvl w:val="2"/>
        <w:rPr>
          <w:rFonts w:ascii="宋体" w:hAnsi="宋体" w:cs="宋体"/>
          <w:b/>
          <w:bCs/>
          <w:szCs w:val="21"/>
        </w:rPr>
      </w:pPr>
      <w:bookmarkStart w:id="51" w:name="_Toc535487093"/>
      <w:bookmarkStart w:id="52" w:name="_Toc389065154"/>
      <w:r>
        <w:rPr>
          <w:rFonts w:hint="eastAsia" w:ascii="宋体" w:hAnsi="宋体" w:cs="宋体"/>
          <w:b/>
          <w:bCs/>
          <w:szCs w:val="21"/>
        </w:rPr>
        <w:t>1.9 踏勘现场</w:t>
      </w:r>
      <w:bookmarkEnd w:id="51"/>
      <w:bookmarkEnd w:id="52"/>
    </w:p>
    <w:p>
      <w:pPr>
        <w:spacing w:line="400" w:lineRule="exact"/>
        <w:ind w:firstLine="420" w:firstLineChars="200"/>
        <w:rPr>
          <w:rFonts w:ascii="宋体" w:hAnsi="宋体" w:cs="宋体"/>
          <w:szCs w:val="21"/>
        </w:rPr>
      </w:pPr>
      <w:r>
        <w:rPr>
          <w:rFonts w:hint="eastAsia" w:ascii="宋体" w:hAnsi="宋体" w:cs="宋体"/>
          <w:szCs w:val="21"/>
        </w:rPr>
        <w:t>1.9.1 投标人根据需要自行踏勘项目现场。</w:t>
      </w:r>
    </w:p>
    <w:p>
      <w:pPr>
        <w:spacing w:line="400" w:lineRule="exact"/>
        <w:ind w:firstLine="420" w:firstLineChars="200"/>
        <w:rPr>
          <w:rFonts w:ascii="宋体" w:hAnsi="宋体" w:cs="宋体"/>
          <w:szCs w:val="21"/>
        </w:rPr>
      </w:pPr>
      <w:r>
        <w:rPr>
          <w:rFonts w:hint="eastAsia" w:ascii="宋体" w:hAnsi="宋体" w:cs="宋体"/>
          <w:szCs w:val="21"/>
        </w:rPr>
        <w:t>1.9.2 投标人踏勘现场发生的费用自理。</w:t>
      </w:r>
    </w:p>
    <w:p>
      <w:pPr>
        <w:spacing w:line="400" w:lineRule="exact"/>
        <w:ind w:firstLine="420" w:firstLineChars="200"/>
        <w:rPr>
          <w:rFonts w:ascii="宋体" w:hAnsi="宋体" w:cs="宋体"/>
          <w:szCs w:val="21"/>
        </w:rPr>
      </w:pPr>
      <w:r>
        <w:rPr>
          <w:rFonts w:hint="eastAsia" w:ascii="宋体" w:hAnsi="宋体" w:cs="宋体"/>
          <w:szCs w:val="21"/>
        </w:rPr>
        <w:t>1.9.3 投标人自行负责在踏勘现场中所发生的人员伤亡和财产损失。</w:t>
      </w:r>
    </w:p>
    <w:p>
      <w:pPr>
        <w:keepNext/>
        <w:keepLines/>
        <w:spacing w:line="400" w:lineRule="exact"/>
        <w:outlineLvl w:val="2"/>
        <w:rPr>
          <w:rFonts w:ascii="宋体" w:hAnsi="宋体" w:cs="宋体"/>
          <w:b/>
          <w:bCs/>
          <w:szCs w:val="21"/>
        </w:rPr>
      </w:pPr>
      <w:r>
        <w:rPr>
          <w:rFonts w:hint="eastAsia" w:ascii="宋体" w:hAnsi="宋体" w:cs="宋体"/>
          <w:b/>
          <w:bCs/>
          <w:szCs w:val="21"/>
        </w:rPr>
        <w:t>1.10分包</w:t>
      </w:r>
    </w:p>
    <w:p>
      <w:pPr>
        <w:spacing w:line="400" w:lineRule="exact"/>
        <w:ind w:firstLine="420" w:firstLineChars="200"/>
        <w:rPr>
          <w:rFonts w:ascii="宋体" w:hAnsi="宋体" w:cs="宋体"/>
          <w:bCs/>
          <w:szCs w:val="21"/>
        </w:rPr>
      </w:pPr>
      <w:r>
        <w:rPr>
          <w:rFonts w:hint="eastAsia" w:ascii="宋体" w:hAnsi="宋体" w:cs="宋体"/>
          <w:bCs/>
          <w:szCs w:val="21"/>
        </w:rPr>
        <w:t>投标人拟在中标后将中标项目的部分非主体、非关键性工作进行分包的，应符合“投标人须知前附表”规定的分包内容、分包金额和接受分包的第三人资质要求等限制性条件。</w:t>
      </w:r>
    </w:p>
    <w:p>
      <w:pPr>
        <w:keepNext/>
        <w:keepLines/>
        <w:spacing w:line="400" w:lineRule="exact"/>
        <w:outlineLvl w:val="2"/>
        <w:rPr>
          <w:rFonts w:ascii="宋体" w:hAnsi="宋体" w:cs="宋体"/>
          <w:b/>
          <w:bCs/>
          <w:szCs w:val="21"/>
        </w:rPr>
      </w:pPr>
      <w:r>
        <w:rPr>
          <w:rFonts w:hint="eastAsia" w:ascii="宋体" w:hAnsi="宋体" w:cs="宋体"/>
          <w:b/>
          <w:bCs/>
          <w:szCs w:val="21"/>
        </w:rPr>
        <w:t>1.11偏离</w:t>
      </w:r>
    </w:p>
    <w:p>
      <w:pPr>
        <w:spacing w:line="400" w:lineRule="exact"/>
        <w:ind w:firstLine="420" w:firstLineChars="200"/>
        <w:rPr>
          <w:rFonts w:ascii="宋体" w:hAnsi="宋体" w:cs="宋体"/>
          <w:bCs/>
          <w:szCs w:val="21"/>
        </w:rPr>
      </w:pPr>
      <w:r>
        <w:rPr>
          <w:rFonts w:hint="eastAsia" w:ascii="宋体" w:hAnsi="宋体" w:cs="宋体"/>
          <w:bCs/>
          <w:szCs w:val="21"/>
        </w:rPr>
        <w:t>投标人须知前附表允许投标文件偏离招标文件某些要求的，偏离应当符合招标文件规定的偏离范围和幅度。</w:t>
      </w:r>
    </w:p>
    <w:p>
      <w:pPr>
        <w:keepNext/>
        <w:keepLines/>
        <w:spacing w:line="400" w:lineRule="exact"/>
        <w:outlineLvl w:val="2"/>
        <w:rPr>
          <w:rFonts w:ascii="宋体" w:hAnsi="宋体" w:cs="宋体"/>
          <w:b/>
          <w:bCs/>
          <w:szCs w:val="21"/>
        </w:rPr>
      </w:pPr>
      <w:r>
        <w:rPr>
          <w:rFonts w:hint="eastAsia" w:ascii="宋体" w:hAnsi="宋体" w:cs="宋体"/>
          <w:b/>
          <w:bCs/>
          <w:szCs w:val="21"/>
        </w:rPr>
        <w:t>1.12知识产权</w:t>
      </w:r>
    </w:p>
    <w:p>
      <w:pPr>
        <w:spacing w:line="400" w:lineRule="exact"/>
        <w:ind w:firstLine="420" w:firstLineChars="200"/>
        <w:rPr>
          <w:rFonts w:ascii="宋体" w:hAnsi="宋体" w:cs="宋体"/>
          <w:bCs/>
          <w:szCs w:val="21"/>
        </w:rPr>
      </w:pPr>
      <w:r>
        <w:rPr>
          <w:rFonts w:hint="eastAsia" w:ascii="宋体" w:hAnsi="宋体" w:cs="宋体"/>
          <w:bCs/>
          <w:szCs w:val="21"/>
        </w:rPr>
        <w:t>构成本招标文件各个组成部分的文件，未经招标人书面同意，投标人不得擅自复印和用于非本招标项目所需的其他目的。招标人全部或者部分使用未中标人投标文件中的技术成果或技术方案时，需征得其书面同意，并不得擅自复印或提供给第三人。</w:t>
      </w:r>
    </w:p>
    <w:p>
      <w:pPr>
        <w:keepNext/>
        <w:keepLines/>
        <w:spacing w:line="400" w:lineRule="exact"/>
        <w:outlineLvl w:val="2"/>
        <w:rPr>
          <w:rFonts w:ascii="宋体" w:hAnsi="宋体" w:cs="宋体"/>
          <w:b/>
          <w:bCs/>
          <w:szCs w:val="21"/>
        </w:rPr>
      </w:pPr>
      <w:r>
        <w:rPr>
          <w:rFonts w:hint="eastAsia" w:ascii="宋体" w:hAnsi="宋体" w:cs="宋体"/>
          <w:b/>
          <w:bCs/>
          <w:szCs w:val="21"/>
        </w:rPr>
        <w:t>1.13同义词语</w:t>
      </w:r>
    </w:p>
    <w:p>
      <w:pPr>
        <w:spacing w:line="400" w:lineRule="exact"/>
        <w:ind w:firstLine="420" w:firstLineChars="200"/>
        <w:rPr>
          <w:rFonts w:ascii="宋体" w:hAnsi="宋体" w:cs="宋体"/>
          <w:bCs/>
          <w:szCs w:val="21"/>
        </w:rPr>
      </w:pPr>
      <w:r>
        <w:rPr>
          <w:rFonts w:hint="eastAsia" w:ascii="宋体" w:hAnsi="宋体" w:cs="宋体"/>
          <w:bCs/>
          <w:szCs w:val="21"/>
        </w:rPr>
        <w:t>构成招标文件组成部分的“通用合同条款”、“专用合同条款”、“技术标准和要求”和“工程量清单”等章节中出现的措辞“发包人”和“承包人”，在招标投标阶段应当分别按“招标人”和“投标人”进行理解。</w:t>
      </w:r>
    </w:p>
    <w:p>
      <w:pPr>
        <w:keepNext/>
        <w:keepLines/>
        <w:spacing w:line="360" w:lineRule="auto"/>
        <w:outlineLvl w:val="0"/>
        <w:rPr>
          <w:rFonts w:ascii="宋体" w:hAnsi="宋体" w:cs="宋体"/>
          <w:b/>
          <w:bCs/>
          <w:szCs w:val="21"/>
        </w:rPr>
      </w:pPr>
      <w:r>
        <w:rPr>
          <w:rFonts w:hint="eastAsia" w:ascii="宋体" w:hAnsi="宋体" w:cs="宋体"/>
          <w:b/>
          <w:bCs/>
          <w:szCs w:val="21"/>
        </w:rPr>
        <w:t>2 招标文件</w:t>
      </w:r>
      <w:bookmarkEnd w:id="31"/>
      <w:bookmarkEnd w:id="32"/>
    </w:p>
    <w:p>
      <w:pPr>
        <w:keepNext/>
        <w:keepLines/>
        <w:spacing w:line="360" w:lineRule="auto"/>
        <w:outlineLvl w:val="2"/>
        <w:rPr>
          <w:rFonts w:ascii="宋体" w:hAnsi="宋体" w:cs="宋体"/>
          <w:b/>
          <w:bCs/>
          <w:szCs w:val="21"/>
        </w:rPr>
      </w:pPr>
      <w:bookmarkStart w:id="53" w:name="_Toc389065159"/>
      <w:bookmarkStart w:id="54" w:name="_Toc535487099"/>
      <w:r>
        <w:rPr>
          <w:rFonts w:hint="eastAsia" w:ascii="宋体" w:hAnsi="宋体" w:cs="宋体"/>
          <w:b/>
          <w:bCs/>
          <w:szCs w:val="21"/>
        </w:rPr>
        <w:t>2.1 招标文件的组成</w:t>
      </w:r>
      <w:bookmarkEnd w:id="53"/>
      <w:bookmarkEnd w:id="54"/>
    </w:p>
    <w:p>
      <w:pPr>
        <w:spacing w:line="360" w:lineRule="auto"/>
        <w:ind w:firstLine="420" w:firstLineChars="200"/>
        <w:rPr>
          <w:rFonts w:ascii="宋体" w:hAnsi="宋体" w:cs="宋体"/>
          <w:szCs w:val="21"/>
        </w:rPr>
      </w:pPr>
      <w:r>
        <w:rPr>
          <w:rFonts w:hint="eastAsia" w:ascii="宋体" w:hAnsi="宋体" w:cs="宋体"/>
          <w:szCs w:val="21"/>
        </w:rPr>
        <w:t>2.1.1 本招标文件包括：</w:t>
      </w:r>
    </w:p>
    <w:p>
      <w:pPr>
        <w:spacing w:line="360" w:lineRule="auto"/>
        <w:ind w:firstLine="420" w:firstLineChars="200"/>
        <w:rPr>
          <w:rFonts w:ascii="宋体" w:hAnsi="宋体" w:cs="宋体"/>
          <w:szCs w:val="21"/>
        </w:rPr>
      </w:pPr>
      <w:r>
        <w:rPr>
          <w:rFonts w:hint="eastAsia" w:ascii="宋体" w:hAnsi="宋体" w:cs="宋体"/>
          <w:szCs w:val="21"/>
        </w:rPr>
        <w:t>（1）招标公告；</w:t>
      </w:r>
    </w:p>
    <w:p>
      <w:pPr>
        <w:spacing w:line="360" w:lineRule="auto"/>
        <w:ind w:firstLine="420" w:firstLineChars="200"/>
        <w:rPr>
          <w:rFonts w:ascii="宋体" w:hAnsi="宋体" w:cs="宋体"/>
          <w:szCs w:val="21"/>
        </w:rPr>
      </w:pPr>
      <w:r>
        <w:rPr>
          <w:rFonts w:hint="eastAsia" w:ascii="宋体" w:hAnsi="宋体" w:cs="宋体"/>
          <w:szCs w:val="21"/>
        </w:rPr>
        <w:t>（2）投标人须知；</w:t>
      </w:r>
    </w:p>
    <w:p>
      <w:pPr>
        <w:spacing w:line="360" w:lineRule="auto"/>
        <w:ind w:firstLine="420" w:firstLineChars="200"/>
        <w:rPr>
          <w:rFonts w:ascii="宋体" w:hAnsi="宋体" w:cs="宋体"/>
          <w:szCs w:val="21"/>
        </w:rPr>
      </w:pPr>
      <w:r>
        <w:rPr>
          <w:rFonts w:hint="eastAsia" w:ascii="宋体" w:hAnsi="宋体" w:cs="宋体"/>
          <w:szCs w:val="21"/>
        </w:rPr>
        <w:t>（3）评标办法；</w:t>
      </w:r>
    </w:p>
    <w:p>
      <w:pPr>
        <w:spacing w:line="360" w:lineRule="auto"/>
        <w:ind w:firstLine="420" w:firstLineChars="200"/>
        <w:rPr>
          <w:rFonts w:ascii="宋体" w:hAnsi="宋体" w:cs="宋体"/>
          <w:szCs w:val="21"/>
        </w:rPr>
      </w:pPr>
      <w:r>
        <w:rPr>
          <w:rFonts w:hint="eastAsia" w:ascii="宋体" w:hAnsi="宋体" w:cs="宋体"/>
          <w:szCs w:val="21"/>
        </w:rPr>
        <w:t>（4）合同协议书；</w:t>
      </w:r>
    </w:p>
    <w:p>
      <w:pPr>
        <w:spacing w:line="360" w:lineRule="auto"/>
        <w:ind w:firstLine="420" w:firstLineChars="200"/>
        <w:rPr>
          <w:rFonts w:ascii="宋体" w:hAnsi="宋体" w:cs="宋体"/>
          <w:szCs w:val="21"/>
        </w:rPr>
      </w:pPr>
      <w:r>
        <w:rPr>
          <w:rFonts w:hint="eastAsia" w:ascii="宋体" w:hAnsi="宋体" w:cs="宋体"/>
          <w:szCs w:val="21"/>
        </w:rPr>
        <w:t>（5）投标文件组成；</w:t>
      </w:r>
    </w:p>
    <w:p>
      <w:pPr>
        <w:spacing w:line="360" w:lineRule="auto"/>
        <w:ind w:firstLine="420" w:firstLineChars="200"/>
        <w:rPr>
          <w:rFonts w:ascii="宋体" w:hAnsi="宋体" w:cs="宋体"/>
          <w:szCs w:val="21"/>
        </w:rPr>
      </w:pPr>
      <w:r>
        <w:rPr>
          <w:rFonts w:hint="eastAsia" w:ascii="宋体" w:hAnsi="宋体" w:cs="宋体"/>
          <w:szCs w:val="21"/>
        </w:rPr>
        <w:t>（6）投标文件格式。</w:t>
      </w:r>
    </w:p>
    <w:p>
      <w:pPr>
        <w:spacing w:line="360" w:lineRule="auto"/>
        <w:ind w:firstLine="420" w:firstLineChars="200"/>
        <w:rPr>
          <w:rFonts w:ascii="宋体" w:hAnsi="宋体" w:cs="宋体"/>
          <w:szCs w:val="21"/>
        </w:rPr>
      </w:pPr>
      <w:r>
        <w:rPr>
          <w:rFonts w:hint="eastAsia" w:ascii="宋体" w:hAnsi="宋体" w:cs="宋体"/>
          <w:szCs w:val="21"/>
        </w:rPr>
        <w:t>（7）构成招标文件的其他材料。</w:t>
      </w:r>
    </w:p>
    <w:p>
      <w:pPr>
        <w:spacing w:line="360" w:lineRule="auto"/>
        <w:ind w:firstLine="420" w:firstLineChars="200"/>
        <w:rPr>
          <w:rFonts w:ascii="宋体" w:hAnsi="宋体" w:cs="宋体"/>
          <w:szCs w:val="21"/>
        </w:rPr>
      </w:pPr>
      <w:r>
        <w:rPr>
          <w:rFonts w:hint="eastAsia" w:ascii="宋体" w:hAnsi="宋体" w:cs="宋体"/>
          <w:szCs w:val="21"/>
        </w:rPr>
        <w:t>2.1.2 根据本章第2.2款和第2.3款对招标文件所作的澄清、修改，构成招标文件的组成部分。招标文件的澄清、修改内容前后相互矛盾时，以发布时间在后的文件为准。</w:t>
      </w:r>
    </w:p>
    <w:p>
      <w:pPr>
        <w:keepNext/>
        <w:keepLines/>
        <w:spacing w:line="360" w:lineRule="auto"/>
        <w:outlineLvl w:val="2"/>
        <w:rPr>
          <w:rFonts w:ascii="宋体" w:hAnsi="宋体" w:cs="宋体"/>
          <w:b/>
          <w:bCs/>
          <w:szCs w:val="21"/>
        </w:rPr>
      </w:pPr>
      <w:bookmarkStart w:id="55" w:name="_Toc535487100"/>
      <w:bookmarkStart w:id="56" w:name="_Toc389065160"/>
      <w:r>
        <w:rPr>
          <w:rFonts w:hint="eastAsia" w:ascii="宋体" w:hAnsi="宋体" w:cs="宋体"/>
          <w:b/>
          <w:bCs/>
          <w:szCs w:val="21"/>
        </w:rPr>
        <w:t>2.2 招标文件的澄清</w:t>
      </w:r>
      <w:bookmarkEnd w:id="55"/>
      <w:bookmarkEnd w:id="56"/>
    </w:p>
    <w:p>
      <w:pPr>
        <w:spacing w:line="360" w:lineRule="auto"/>
        <w:ind w:firstLine="420" w:firstLineChars="200"/>
        <w:rPr>
          <w:rFonts w:ascii="宋体" w:hAnsi="宋体" w:cs="宋体"/>
          <w:szCs w:val="21"/>
        </w:rPr>
      </w:pPr>
      <w:r>
        <w:rPr>
          <w:rFonts w:hint="eastAsia" w:ascii="宋体" w:hAnsi="宋体" w:cs="宋体"/>
          <w:szCs w:val="21"/>
        </w:rPr>
        <w:t>2.2.1 投标人应仔细阅读和检查招标文件的全部内容，投标人如有疑问，应在投标人须知前附表规定的时</w:t>
      </w:r>
      <w:r>
        <w:rPr>
          <w:rFonts w:hint="eastAsia" w:ascii="宋体" w:hAnsi="宋体" w:cs="宋体"/>
          <w:color w:val="000000" w:themeColor="text1"/>
          <w:szCs w:val="21"/>
        </w:rPr>
        <w:t>间，通过</w:t>
      </w:r>
      <w:r>
        <w:rPr>
          <w:rFonts w:hint="eastAsia" w:ascii="宋体" w:hAnsi="宋体" w:cs="宋体"/>
          <w:color w:val="000000" w:themeColor="text1"/>
          <w:szCs w:val="21"/>
          <w:lang w:val="zh-CN"/>
        </w:rPr>
        <w:t>电子邮件</w:t>
      </w:r>
      <w:r>
        <w:rPr>
          <w:rFonts w:hint="eastAsia" w:ascii="宋体" w:hAnsi="宋体" w:cs="宋体"/>
          <w:color w:val="000000" w:themeColor="text1"/>
          <w:szCs w:val="21"/>
        </w:rPr>
        <w:t>（</w:t>
      </w:r>
      <w:r>
        <w:rPr>
          <w:rFonts w:hint="eastAsia" w:ascii="宋体" w:hAnsi="宋体" w:cs="宋体"/>
          <w:color w:val="000000" w:themeColor="text1"/>
          <w:szCs w:val="21"/>
          <w:lang w:val="zh-CN"/>
        </w:rPr>
        <w:t>邮箱</w:t>
      </w:r>
      <w:r>
        <w:rPr>
          <w:rFonts w:hint="eastAsia" w:ascii="宋体" w:hAnsi="宋体" w:cs="宋体"/>
          <w:color w:val="000000" w:themeColor="text1"/>
          <w:szCs w:val="21"/>
        </w:rPr>
        <w:t>：719235490@qq.com）</w:t>
      </w:r>
      <w:r>
        <w:rPr>
          <w:rFonts w:hint="eastAsia" w:ascii="宋体" w:hAnsi="宋体" w:cs="宋体"/>
          <w:color w:val="000000" w:themeColor="text1"/>
          <w:szCs w:val="21"/>
          <w:lang w:val="zh-CN"/>
        </w:rPr>
        <w:t>并电话通知的方式提出澄清要求</w:t>
      </w:r>
      <w:r>
        <w:rPr>
          <w:rFonts w:hint="eastAsia" w:ascii="宋体" w:hAnsi="宋体" w:cs="宋体"/>
          <w:color w:val="000000" w:themeColor="text1"/>
          <w:szCs w:val="21"/>
        </w:rPr>
        <w:t>（</w:t>
      </w:r>
      <w:r>
        <w:rPr>
          <w:rFonts w:hint="eastAsia" w:ascii="宋体" w:hAnsi="宋体" w:cs="宋体"/>
          <w:color w:val="000000" w:themeColor="text1"/>
          <w:szCs w:val="21"/>
          <w:lang w:val="zh-CN"/>
        </w:rPr>
        <w:t>逾期提出疑问的</w:t>
      </w:r>
      <w:r>
        <w:rPr>
          <w:rFonts w:hint="eastAsia" w:ascii="宋体" w:hAnsi="宋体" w:cs="宋体"/>
          <w:color w:val="000000" w:themeColor="text1"/>
          <w:szCs w:val="21"/>
        </w:rPr>
        <w:t>，</w:t>
      </w:r>
      <w:r>
        <w:rPr>
          <w:rFonts w:hint="eastAsia" w:ascii="宋体" w:hAnsi="宋体" w:cs="宋体"/>
          <w:color w:val="000000" w:themeColor="text1"/>
          <w:szCs w:val="21"/>
          <w:lang w:val="zh-CN"/>
        </w:rPr>
        <w:t>招标人可不予解答</w:t>
      </w:r>
      <w:r>
        <w:rPr>
          <w:rFonts w:hint="eastAsia" w:ascii="宋体" w:hAnsi="宋体" w:cs="宋体"/>
          <w:color w:val="000000" w:themeColor="text1"/>
          <w:szCs w:val="21"/>
        </w:rPr>
        <w:t>）。</w:t>
      </w:r>
      <w:r>
        <w:rPr>
          <w:rFonts w:hint="eastAsia" w:ascii="宋体" w:hAnsi="宋体" w:cs="宋体"/>
          <w:b/>
          <w:color w:val="0000FF"/>
          <w:szCs w:val="21"/>
        </w:rPr>
        <w:t xml:space="preserve"> </w:t>
      </w:r>
    </w:p>
    <w:p>
      <w:pPr>
        <w:spacing w:line="360" w:lineRule="auto"/>
        <w:ind w:firstLine="420" w:firstLineChars="200"/>
        <w:rPr>
          <w:rFonts w:ascii="宋体" w:hAnsi="宋体" w:cs="宋体"/>
          <w:szCs w:val="21"/>
        </w:rPr>
      </w:pPr>
      <w:r>
        <w:rPr>
          <w:rFonts w:hint="eastAsia" w:ascii="宋体" w:hAnsi="宋体" w:cs="宋体"/>
          <w:szCs w:val="21"/>
        </w:rPr>
        <w:t xml:space="preserve">投标人不在澄清期限内提出，招标人有权不予答复。 </w:t>
      </w:r>
    </w:p>
    <w:p>
      <w:pPr>
        <w:spacing w:line="360" w:lineRule="auto"/>
        <w:ind w:firstLine="420" w:firstLineChars="200"/>
        <w:rPr>
          <w:rFonts w:ascii="宋体" w:hAnsi="宋体" w:cs="宋体"/>
          <w:szCs w:val="21"/>
        </w:rPr>
      </w:pPr>
      <w:r>
        <w:rPr>
          <w:rFonts w:hint="eastAsia" w:ascii="宋体" w:hAnsi="宋体" w:cs="宋体"/>
          <w:szCs w:val="21"/>
        </w:rPr>
        <w:t>2.2.2 招标文件的澄清将在投标人须知前附表规定时间前通</w:t>
      </w:r>
      <w:r>
        <w:rPr>
          <w:rFonts w:hint="eastAsia" w:ascii="宋体" w:hAnsi="宋体" w:cs="宋体"/>
          <w:color w:val="000000" w:themeColor="text1"/>
          <w:szCs w:val="21"/>
        </w:rPr>
        <w:t>过</w:t>
      </w:r>
      <w:r>
        <w:rPr>
          <w:rFonts w:hint="eastAsia" w:ascii="宋体" w:hAnsi="宋体" w:cs="宋体"/>
          <w:color w:val="000000" w:themeColor="text1"/>
          <w:szCs w:val="21"/>
          <w:lang w:val="zh-CN"/>
        </w:rPr>
        <w:t>招标文件发布平台</w:t>
      </w:r>
      <w:r>
        <w:rPr>
          <w:rFonts w:hint="eastAsia" w:ascii="宋体" w:hAnsi="宋体" w:cs="宋体"/>
          <w:szCs w:val="21"/>
        </w:rPr>
        <w:t>发给所有投标人，但招标人不指明澄清问题的来源，招标人不再另行通知。</w:t>
      </w:r>
    </w:p>
    <w:p>
      <w:pPr>
        <w:spacing w:line="360" w:lineRule="auto"/>
        <w:ind w:firstLine="420" w:firstLineChars="200"/>
        <w:rPr>
          <w:rFonts w:ascii="宋体" w:hAnsi="宋体" w:cs="宋体"/>
          <w:szCs w:val="21"/>
        </w:rPr>
      </w:pPr>
      <w:r>
        <w:rPr>
          <w:rFonts w:hint="eastAsia" w:ascii="宋体" w:hAnsi="宋体" w:cs="宋体"/>
          <w:szCs w:val="21"/>
        </w:rPr>
        <w:t>2.2.3澄清文件按本章第2.2.2款规定发出之时起，视为投标人已收到该澄清文件。投标人未及时</w:t>
      </w:r>
      <w:r>
        <w:rPr>
          <w:rFonts w:hint="eastAsia" w:ascii="宋体" w:hAnsi="宋体" w:cs="宋体"/>
          <w:color w:val="000000" w:themeColor="text1"/>
          <w:szCs w:val="21"/>
        </w:rPr>
        <w:t>通过</w:t>
      </w:r>
      <w:r>
        <w:rPr>
          <w:rFonts w:hint="eastAsia" w:ascii="宋体" w:hAnsi="宋体" w:cs="宋体"/>
          <w:color w:val="000000" w:themeColor="text1"/>
          <w:szCs w:val="21"/>
          <w:lang w:val="zh-CN"/>
        </w:rPr>
        <w:t>招标文件发布平台</w:t>
      </w:r>
      <w:r>
        <w:rPr>
          <w:rFonts w:hint="eastAsia" w:ascii="宋体" w:hAnsi="宋体" w:cs="宋体"/>
          <w:color w:val="000000" w:themeColor="text1"/>
          <w:szCs w:val="21"/>
        </w:rPr>
        <w:t>查阅招标文</w:t>
      </w:r>
      <w:r>
        <w:rPr>
          <w:rFonts w:hint="eastAsia" w:ascii="宋体" w:hAnsi="宋体" w:cs="宋体"/>
          <w:szCs w:val="21"/>
        </w:rPr>
        <w:t>件的澄清，或未按照澄清后的招标文件编制投标文件，由此造成的后果由投标人自行承担。</w:t>
      </w:r>
    </w:p>
    <w:p>
      <w:pPr>
        <w:keepNext/>
        <w:keepLines/>
        <w:spacing w:line="360" w:lineRule="auto"/>
        <w:outlineLvl w:val="2"/>
        <w:rPr>
          <w:rFonts w:ascii="宋体" w:hAnsi="宋体" w:cs="宋体"/>
          <w:b/>
          <w:bCs/>
          <w:szCs w:val="21"/>
        </w:rPr>
      </w:pPr>
      <w:bookmarkStart w:id="57" w:name="_Toc389065161"/>
      <w:bookmarkStart w:id="58" w:name="_Toc535487101"/>
      <w:r>
        <w:rPr>
          <w:rFonts w:hint="eastAsia" w:ascii="宋体" w:hAnsi="宋体" w:cs="宋体"/>
          <w:b/>
          <w:bCs/>
          <w:szCs w:val="21"/>
        </w:rPr>
        <w:t>2.3 招标文件的修改</w:t>
      </w:r>
      <w:bookmarkEnd w:id="57"/>
      <w:bookmarkEnd w:id="58"/>
    </w:p>
    <w:p>
      <w:pPr>
        <w:spacing w:line="360" w:lineRule="auto"/>
        <w:ind w:firstLine="420" w:firstLineChars="200"/>
        <w:rPr>
          <w:rFonts w:ascii="宋体" w:hAnsi="宋体" w:cs="宋体"/>
          <w:color w:val="000000" w:themeColor="text1"/>
          <w:szCs w:val="21"/>
        </w:rPr>
      </w:pPr>
      <w:r>
        <w:rPr>
          <w:rFonts w:hint="eastAsia" w:ascii="宋体" w:hAnsi="宋体" w:cs="宋体"/>
          <w:szCs w:val="21"/>
        </w:rPr>
        <w:t>2.3.1 招标文件发布后，招标人确需对招标文件进行修改的，招标人将通</w:t>
      </w:r>
      <w:r>
        <w:rPr>
          <w:rFonts w:hint="eastAsia" w:ascii="宋体" w:hAnsi="宋体" w:cs="宋体"/>
          <w:color w:val="000000" w:themeColor="text1"/>
          <w:szCs w:val="21"/>
        </w:rPr>
        <w:t>过</w:t>
      </w:r>
      <w:r>
        <w:rPr>
          <w:rFonts w:hint="eastAsia" w:ascii="宋体" w:hAnsi="宋体" w:cs="宋体"/>
          <w:color w:val="000000" w:themeColor="text1"/>
          <w:szCs w:val="21"/>
          <w:lang w:val="zh-CN"/>
        </w:rPr>
        <w:t>招标文件发布平台</w:t>
      </w:r>
      <w:r>
        <w:rPr>
          <w:rFonts w:hint="eastAsia" w:ascii="宋体" w:hAnsi="宋体" w:cs="宋体"/>
          <w:color w:val="000000" w:themeColor="text1"/>
          <w:szCs w:val="21"/>
        </w:rPr>
        <w:t>发给所有投标人。</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2.3.2修改文件按本章第2.3.1款规定发出之时起，视为投标人已收到该修改文件。投标人未及时通过</w:t>
      </w:r>
      <w:r>
        <w:rPr>
          <w:rFonts w:hint="eastAsia" w:ascii="宋体" w:hAnsi="宋体" w:cs="宋体"/>
          <w:color w:val="000000" w:themeColor="text1"/>
          <w:szCs w:val="21"/>
          <w:lang w:val="zh-CN"/>
        </w:rPr>
        <w:t>招标文件发布平台</w:t>
      </w:r>
      <w:r>
        <w:rPr>
          <w:rFonts w:hint="eastAsia" w:ascii="宋体" w:hAnsi="宋体" w:cs="宋体"/>
          <w:color w:val="000000" w:themeColor="text1"/>
          <w:szCs w:val="21"/>
        </w:rPr>
        <w:t>查阅招标文件的修改，或未按照修改后的招标文件编制投标文件，由此造成的后果由投标人自行承担。</w:t>
      </w:r>
    </w:p>
    <w:p>
      <w:pPr>
        <w:spacing w:line="360" w:lineRule="auto"/>
        <w:ind w:firstLine="420" w:firstLineChars="200"/>
        <w:rPr>
          <w:rFonts w:ascii="宋体" w:hAnsi="宋体" w:cs="宋体"/>
          <w:szCs w:val="21"/>
        </w:rPr>
      </w:pPr>
      <w:r>
        <w:rPr>
          <w:rFonts w:hint="eastAsia" w:ascii="宋体" w:hAnsi="宋体" w:cs="宋体"/>
          <w:szCs w:val="21"/>
        </w:rPr>
        <w:t>2.3.3根据《江苏省房屋建筑和市政基础设施工程招标投标活动异议与投诉处理实施办法》等有关文件规定，招标文件中，存在的遗漏、错误、含义不清甚至多处表述不一致或者前后矛盾情况的，不属于异议，属于疑问，疑问应当在资格预审文件或者招标文件规定的时间内提出。</w:t>
      </w:r>
    </w:p>
    <w:p>
      <w:pPr>
        <w:keepNext/>
        <w:keepLines/>
        <w:spacing w:line="360" w:lineRule="auto"/>
        <w:outlineLvl w:val="2"/>
        <w:rPr>
          <w:rFonts w:ascii="宋体" w:hAnsi="宋体" w:cs="宋体"/>
          <w:b/>
          <w:bCs/>
          <w:szCs w:val="21"/>
        </w:rPr>
      </w:pPr>
      <w:bookmarkStart w:id="59" w:name="_Toc535487102"/>
      <w:bookmarkStart w:id="60" w:name="_Toc473034303"/>
      <w:r>
        <w:rPr>
          <w:rFonts w:hint="eastAsia" w:ascii="宋体" w:hAnsi="宋体" w:cs="宋体"/>
          <w:b/>
          <w:bCs/>
          <w:szCs w:val="21"/>
        </w:rPr>
        <w:t>2.4 招标控制价</w:t>
      </w:r>
      <w:bookmarkEnd w:id="59"/>
      <w:bookmarkEnd w:id="60"/>
    </w:p>
    <w:p>
      <w:pPr>
        <w:spacing w:line="360" w:lineRule="auto"/>
        <w:ind w:firstLine="420" w:firstLineChars="200"/>
        <w:rPr>
          <w:rFonts w:ascii="宋体" w:hAnsi="宋体" w:cs="宋体"/>
          <w:szCs w:val="21"/>
        </w:rPr>
      </w:pPr>
      <w:r>
        <w:rPr>
          <w:rFonts w:hint="eastAsia" w:ascii="宋体" w:hAnsi="宋体" w:cs="宋体"/>
          <w:szCs w:val="21"/>
        </w:rPr>
        <w:t xml:space="preserve">2.4.1 招标控制价，是招标人根据国家或省级、行业建设主管部门颁发的有关计价依据和办法，以及本招标文件和招标管护量清单，结合项目具体情况编制的本次招标项目的最高投标限价。 </w:t>
      </w:r>
    </w:p>
    <w:p>
      <w:pPr>
        <w:spacing w:line="360" w:lineRule="auto"/>
        <w:ind w:firstLine="420" w:firstLineChars="200"/>
        <w:rPr>
          <w:rFonts w:ascii="宋体" w:hAnsi="宋体" w:cs="宋体"/>
          <w:szCs w:val="21"/>
        </w:rPr>
      </w:pPr>
      <w:r>
        <w:rPr>
          <w:rFonts w:hint="eastAsia" w:ascii="宋体" w:hAnsi="宋体" w:cs="宋体"/>
          <w:szCs w:val="21"/>
        </w:rPr>
        <w:t xml:space="preserve">2.4.2 招标控制价编制依据 </w:t>
      </w:r>
    </w:p>
    <w:p>
      <w:pPr>
        <w:spacing w:line="360" w:lineRule="auto"/>
        <w:ind w:firstLine="420" w:firstLineChars="200"/>
        <w:rPr>
          <w:rFonts w:ascii="宋体" w:hAnsi="宋体" w:cs="宋体"/>
          <w:szCs w:val="21"/>
        </w:rPr>
      </w:pPr>
      <w:r>
        <w:rPr>
          <w:rFonts w:hint="eastAsia" w:ascii="宋体" w:hAnsi="宋体" w:cs="宋体"/>
          <w:szCs w:val="21"/>
        </w:rPr>
        <w:t xml:space="preserve">（1） 本项目招标文件、标段内地段组成及管护量明细清单、招标答疑（如有）等有关技术资料。 </w:t>
      </w:r>
    </w:p>
    <w:p>
      <w:pPr>
        <w:spacing w:line="360" w:lineRule="auto"/>
        <w:ind w:firstLine="420" w:firstLineChars="200"/>
        <w:rPr>
          <w:rFonts w:ascii="宋体" w:hAnsi="宋体" w:cs="宋体"/>
          <w:color w:val="000000" w:themeColor="text1"/>
          <w:szCs w:val="21"/>
        </w:rPr>
      </w:pPr>
      <w:r>
        <w:rPr>
          <w:rFonts w:hint="eastAsia" w:ascii="宋体" w:hAnsi="宋体" w:cs="宋体"/>
          <w:szCs w:val="21"/>
        </w:rPr>
        <w:t>（2）</w:t>
      </w:r>
      <w:bookmarkStart w:id="61" w:name="_Toc389065162"/>
      <w:r>
        <w:rPr>
          <w:rFonts w:hint="eastAsia" w:ascii="宋体" w:hAnsi="宋体" w:cs="宋体"/>
          <w:szCs w:val="21"/>
        </w:rPr>
        <w:t>本项目养护分项控制价是根据</w:t>
      </w:r>
      <w:r>
        <w:rPr>
          <w:rFonts w:hint="eastAsia" w:ascii="宋体" w:hAnsi="宋体" w:cs="宋体"/>
          <w:color w:val="000000" w:themeColor="text1"/>
          <w:szCs w:val="21"/>
          <w:u w:val="single"/>
        </w:rPr>
        <w:t xml:space="preserve">  《南通市区绿化养护管理绩效评价办法的通知》通绿评【2024】1号文件内附件4南通市公共绿地养护定额标准  </w:t>
      </w:r>
      <w:r>
        <w:rPr>
          <w:rFonts w:hint="eastAsia" w:ascii="宋体" w:hAnsi="宋体" w:cs="宋体"/>
          <w:color w:val="000000" w:themeColor="text1"/>
          <w:szCs w:val="21"/>
        </w:rPr>
        <w:t>测算。老绿地缺陷完善分项控制价是根据</w:t>
      </w:r>
      <w:r>
        <w:rPr>
          <w:rFonts w:hint="eastAsia" w:ascii="宋体" w:hAnsi="宋体" w:cs="宋体"/>
          <w:color w:val="000000" w:themeColor="text1"/>
          <w:szCs w:val="21"/>
          <w:u w:val="single"/>
        </w:rPr>
        <w:t xml:space="preserve">  本地区行业内专业规范、定额、取费标准以及市造价处发布的近期指导价  </w:t>
      </w:r>
      <w:r>
        <w:rPr>
          <w:rFonts w:hint="eastAsia" w:ascii="宋体" w:hAnsi="宋体" w:cs="宋体"/>
          <w:color w:val="000000" w:themeColor="text1"/>
          <w:szCs w:val="21"/>
        </w:rPr>
        <w:t>测算，并已下浮10%。</w:t>
      </w:r>
    </w:p>
    <w:p>
      <w:pPr>
        <w:keepNext/>
        <w:keepLines/>
        <w:spacing w:before="60" w:after="60" w:line="360" w:lineRule="auto"/>
        <w:outlineLvl w:val="1"/>
        <w:rPr>
          <w:rFonts w:ascii="宋体" w:hAnsi="宋体" w:cs="宋体"/>
          <w:b/>
          <w:bCs/>
          <w:szCs w:val="21"/>
        </w:rPr>
      </w:pPr>
      <w:bookmarkStart w:id="62" w:name="_Toc535487103"/>
      <w:r>
        <w:rPr>
          <w:rFonts w:hint="eastAsia" w:ascii="宋体" w:hAnsi="宋体" w:cs="宋体"/>
          <w:b/>
          <w:bCs/>
          <w:szCs w:val="21"/>
        </w:rPr>
        <w:t>3 投标文件</w:t>
      </w:r>
      <w:bookmarkEnd w:id="61"/>
      <w:bookmarkEnd w:id="62"/>
    </w:p>
    <w:p>
      <w:pPr>
        <w:keepNext/>
        <w:keepLines/>
        <w:spacing w:line="360" w:lineRule="auto"/>
        <w:outlineLvl w:val="2"/>
        <w:rPr>
          <w:rFonts w:ascii="宋体" w:hAnsi="宋体" w:cs="宋体"/>
          <w:b/>
          <w:bCs/>
          <w:szCs w:val="21"/>
        </w:rPr>
      </w:pPr>
      <w:bookmarkStart w:id="63" w:name="_Toc389065163"/>
      <w:bookmarkStart w:id="64" w:name="_Toc535487104"/>
      <w:r>
        <w:rPr>
          <w:rFonts w:hint="eastAsia" w:ascii="宋体" w:hAnsi="宋体" w:cs="宋体"/>
          <w:b/>
          <w:bCs/>
          <w:szCs w:val="21"/>
        </w:rPr>
        <w:t>3.1 投标文件的组成</w:t>
      </w:r>
      <w:bookmarkEnd w:id="63"/>
      <w:bookmarkEnd w:id="64"/>
    </w:p>
    <w:p>
      <w:pPr>
        <w:spacing w:line="360" w:lineRule="auto"/>
        <w:ind w:firstLine="420" w:firstLineChars="200"/>
        <w:rPr>
          <w:rFonts w:ascii="宋体" w:hAnsi="宋体" w:cs="宋体"/>
          <w:szCs w:val="21"/>
        </w:rPr>
      </w:pPr>
      <w:bookmarkStart w:id="65" w:name="_Toc389065164"/>
      <w:r>
        <w:rPr>
          <w:rFonts w:hint="eastAsia" w:ascii="宋体" w:hAnsi="宋体" w:cs="宋体"/>
          <w:szCs w:val="21"/>
        </w:rPr>
        <w:t>3.1.1 投标文件组成见“投标人须知前附表”；</w:t>
      </w:r>
    </w:p>
    <w:p>
      <w:pPr>
        <w:spacing w:line="360" w:lineRule="auto"/>
        <w:ind w:firstLine="420" w:firstLineChars="200"/>
        <w:rPr>
          <w:rFonts w:ascii="宋体" w:hAnsi="宋体" w:cs="宋体"/>
          <w:szCs w:val="21"/>
        </w:rPr>
      </w:pPr>
      <w:r>
        <w:rPr>
          <w:rFonts w:hint="eastAsia" w:ascii="宋体" w:hAnsi="宋体" w:cs="宋体"/>
          <w:szCs w:val="21"/>
        </w:rPr>
        <w:t>3.1.2 招标文件“第八章 投标文件格式”有规定格式要求的，投标人应按规定的格式填写并按要求提交相关的证明材料。</w:t>
      </w:r>
    </w:p>
    <w:p>
      <w:pPr>
        <w:spacing w:line="360" w:lineRule="auto"/>
        <w:ind w:firstLine="420" w:firstLineChars="200"/>
        <w:rPr>
          <w:rFonts w:ascii="宋体" w:hAnsi="宋体" w:cs="宋体"/>
          <w:szCs w:val="21"/>
        </w:rPr>
      </w:pPr>
      <w:r>
        <w:rPr>
          <w:rFonts w:hint="eastAsia" w:ascii="宋体" w:hAnsi="宋体" w:cs="宋体"/>
          <w:szCs w:val="21"/>
        </w:rPr>
        <w:t>3.1.3 “投标人须知前附表”规定不接受联合体投标的，或投标人没有组成联合体的，投标文件不包括本章第3.1.1（1）中所指的联合体投标协议书。</w:t>
      </w:r>
    </w:p>
    <w:p>
      <w:pPr>
        <w:keepNext/>
        <w:keepLines/>
        <w:spacing w:line="360" w:lineRule="auto"/>
        <w:outlineLvl w:val="2"/>
        <w:rPr>
          <w:rFonts w:ascii="宋体" w:hAnsi="宋体" w:cs="宋体"/>
          <w:b/>
          <w:bCs/>
          <w:szCs w:val="21"/>
        </w:rPr>
      </w:pPr>
      <w:bookmarkStart w:id="66" w:name="_Toc3465"/>
      <w:bookmarkStart w:id="67" w:name="_Toc535487105"/>
      <w:bookmarkStart w:id="68" w:name="_Toc16271"/>
      <w:bookmarkStart w:id="69" w:name="_Toc3556"/>
      <w:r>
        <w:rPr>
          <w:rFonts w:hint="eastAsia" w:ascii="宋体" w:hAnsi="宋体" w:cs="宋体"/>
          <w:b/>
          <w:bCs/>
          <w:szCs w:val="21"/>
        </w:rPr>
        <w:t>3.2</w:t>
      </w:r>
      <w:bookmarkEnd w:id="66"/>
      <w:bookmarkEnd w:id="67"/>
      <w:bookmarkEnd w:id="68"/>
      <w:bookmarkEnd w:id="69"/>
      <w:bookmarkStart w:id="70" w:name="_Toc535487106"/>
      <w:r>
        <w:rPr>
          <w:rFonts w:hint="eastAsia" w:ascii="宋体" w:hAnsi="宋体" w:cs="宋体"/>
          <w:b/>
          <w:bCs/>
          <w:szCs w:val="21"/>
        </w:rPr>
        <w:t>投标报价</w:t>
      </w:r>
      <w:bookmarkEnd w:id="65"/>
      <w:bookmarkEnd w:id="70"/>
    </w:p>
    <w:p>
      <w:pPr>
        <w:spacing w:line="360" w:lineRule="auto"/>
        <w:ind w:firstLine="420" w:firstLineChars="200"/>
        <w:rPr>
          <w:rFonts w:ascii="宋体" w:hAnsi="宋体" w:cs="宋体"/>
          <w:szCs w:val="21"/>
        </w:rPr>
      </w:pPr>
      <w:r>
        <w:rPr>
          <w:rFonts w:hint="eastAsia" w:ascii="宋体" w:hAnsi="宋体" w:cs="宋体"/>
          <w:szCs w:val="21"/>
        </w:rPr>
        <w:t>3.2.1投标人在投标截止时间前修改投标函中的投标总价，应同时修改“已标价工程量清单”中的相应报价。此修改必须符合本章第4.3款的有关要求。</w:t>
      </w:r>
    </w:p>
    <w:p>
      <w:pPr>
        <w:spacing w:line="360" w:lineRule="auto"/>
        <w:ind w:firstLine="420" w:firstLineChars="200"/>
        <w:rPr>
          <w:rFonts w:ascii="宋体" w:hAnsi="宋体" w:cs="宋体"/>
          <w:szCs w:val="21"/>
        </w:rPr>
      </w:pPr>
      <w:r>
        <w:rPr>
          <w:rFonts w:hint="eastAsia" w:ascii="宋体" w:hAnsi="宋体" w:cs="宋体"/>
          <w:szCs w:val="21"/>
        </w:rPr>
        <w:t>3.2.2报价书中的数量乘以单价必须等于合价。如有误差，在结算时以单价金额小的为计算依据。</w:t>
      </w:r>
    </w:p>
    <w:p>
      <w:pPr>
        <w:spacing w:line="360" w:lineRule="auto"/>
        <w:ind w:firstLine="420" w:firstLineChars="200"/>
        <w:rPr>
          <w:rFonts w:ascii="宋体" w:hAnsi="宋体" w:cs="宋体"/>
          <w:szCs w:val="21"/>
        </w:rPr>
      </w:pPr>
      <w:r>
        <w:rPr>
          <w:rFonts w:hint="eastAsia" w:ascii="宋体" w:hAnsi="宋体" w:cs="宋体"/>
          <w:szCs w:val="21"/>
        </w:rPr>
        <w:t xml:space="preserve">3.2.3本项目合同价格形式见投标须知前附表，各投标人的投标报价应充分考虑第四章“合同条款及格式”所列合同价格风险。 </w:t>
      </w:r>
    </w:p>
    <w:p>
      <w:pPr>
        <w:spacing w:line="360" w:lineRule="auto"/>
        <w:ind w:firstLine="422" w:firstLineChars="200"/>
        <w:rPr>
          <w:rFonts w:ascii="宋体" w:hAnsi="宋体" w:cs="宋体"/>
          <w:b/>
          <w:bCs/>
          <w:color w:val="000000" w:themeColor="text1"/>
          <w:szCs w:val="21"/>
        </w:rPr>
      </w:pPr>
      <w:r>
        <w:rPr>
          <w:rFonts w:hint="eastAsia" w:ascii="宋体" w:hAnsi="宋体" w:cs="宋体"/>
          <w:b/>
          <w:bCs/>
          <w:color w:val="000000" w:themeColor="text1"/>
          <w:szCs w:val="21"/>
        </w:rPr>
        <w:t>3.2.4 投标人理性报价，充分考虑以下因素：</w:t>
      </w:r>
    </w:p>
    <w:p>
      <w:pPr>
        <w:snapToGrid w:val="0"/>
        <w:spacing w:line="360" w:lineRule="auto"/>
        <w:ind w:firstLine="422" w:firstLineChars="200"/>
        <w:contextualSpacing/>
        <w:rPr>
          <w:rFonts w:ascii="宋体" w:hAnsi="宋体"/>
          <w:b/>
          <w:color w:val="0000FF"/>
          <w:szCs w:val="21"/>
        </w:rPr>
      </w:pPr>
      <w:r>
        <w:rPr>
          <w:rFonts w:hint="eastAsia" w:ascii="宋体" w:hAnsi="宋体"/>
          <w:b/>
          <w:color w:val="0000FF"/>
          <w:szCs w:val="21"/>
        </w:rPr>
        <w:t>（1）服从市机关事务管理局的监督和指导，积极响应并高质量完成该局提出的临时性任务，如四座小楼内庭绿植养护、两办会议室植物摆放（两个会议室，每室摆放雀舌罗汉松3盆、蝴蝶兰1盆、红掌6盆。会议前布置、会议后撤离。每月平均四次；综合楼台阶16只花箱内常年草花布置8平方米）、大院河道两侧绿植花卉养护工作等。合同期内负责大院内草坪河道雨水喷淋系统的使用及修复工作。</w:t>
      </w:r>
    </w:p>
    <w:p>
      <w:pPr>
        <w:snapToGrid w:val="0"/>
        <w:spacing w:line="360" w:lineRule="auto"/>
        <w:ind w:firstLine="422" w:firstLineChars="200"/>
        <w:contextualSpacing/>
        <w:rPr>
          <w:rFonts w:ascii="宋体" w:hAnsi="宋体"/>
          <w:b/>
          <w:bCs/>
          <w:color w:val="0000FF"/>
          <w:szCs w:val="21"/>
        </w:rPr>
      </w:pPr>
      <w:r>
        <w:rPr>
          <w:rFonts w:hint="eastAsia" w:ascii="宋体" w:hAnsi="宋体"/>
          <w:b/>
          <w:color w:val="0000FF"/>
          <w:szCs w:val="21"/>
        </w:rPr>
        <w:t>（2）</w:t>
      </w:r>
      <w:r>
        <w:rPr>
          <w:rFonts w:hint="eastAsia" w:ascii="宋体" w:hAnsi="宋体"/>
          <w:b/>
          <w:bCs/>
          <w:color w:val="0000FF"/>
          <w:szCs w:val="21"/>
        </w:rPr>
        <w:t>因政府大院行政办公需要，项目养护作业时间和作业条件会大大受限，加上养护质量要求很高，投标人应认真踏勘现场，理性报价。</w:t>
      </w:r>
    </w:p>
    <w:p>
      <w:pPr>
        <w:snapToGrid w:val="0"/>
        <w:spacing w:line="360" w:lineRule="auto"/>
        <w:ind w:firstLine="422" w:firstLineChars="200"/>
        <w:contextualSpacing/>
        <w:rPr>
          <w:rFonts w:ascii="宋体" w:hAnsi="宋体"/>
          <w:b/>
          <w:bCs/>
          <w:color w:val="0000FF"/>
          <w:szCs w:val="21"/>
        </w:rPr>
      </w:pPr>
      <w:r>
        <w:rPr>
          <w:rFonts w:hint="eastAsia" w:ascii="宋体" w:hAnsi="宋体"/>
          <w:b/>
          <w:bCs/>
          <w:color w:val="0000FF"/>
          <w:szCs w:val="21"/>
        </w:rPr>
        <w:t>（3）</w:t>
      </w:r>
      <w:r>
        <w:rPr>
          <w:rFonts w:hint="eastAsia" w:ascii="宋体" w:hAnsi="宋体"/>
          <w:b/>
          <w:color w:val="0000FF"/>
          <w:szCs w:val="21"/>
        </w:rPr>
        <w:t>本项目为市管绿地精细化</w:t>
      </w:r>
      <w:r>
        <w:rPr>
          <w:rFonts w:hint="eastAsia" w:ascii="宋体" w:hAnsi="宋体"/>
          <w:b/>
          <w:bCs/>
          <w:color w:val="0000FF"/>
          <w:szCs w:val="21"/>
        </w:rPr>
        <w:t>养护点位，投标单位报价时应充分考虑业主单位推行的精细化管护具体作业要求所产生的相关费用。</w:t>
      </w:r>
    </w:p>
    <w:p>
      <w:pPr>
        <w:snapToGrid w:val="0"/>
        <w:spacing w:line="360" w:lineRule="auto"/>
        <w:ind w:firstLine="420" w:firstLineChars="200"/>
        <w:contextualSpacing/>
        <w:rPr>
          <w:rFonts w:ascii="宋体" w:hAnsi="宋体"/>
          <w:color w:val="000000" w:themeColor="text1"/>
          <w:szCs w:val="21"/>
        </w:rPr>
      </w:pPr>
      <w:r>
        <w:rPr>
          <w:rFonts w:hint="eastAsia" w:ascii="宋体" w:hAnsi="宋体"/>
          <w:color w:val="000000" w:themeColor="text1"/>
          <w:szCs w:val="21"/>
        </w:rPr>
        <w:t>（4）报价方式：采用</w:t>
      </w:r>
      <w:r>
        <w:rPr>
          <w:rFonts w:hint="eastAsia" w:ascii="宋体" w:hAnsi="宋体"/>
          <w:b/>
          <w:bCs/>
          <w:color w:val="000000" w:themeColor="text1"/>
          <w:szCs w:val="21"/>
        </w:rPr>
        <w:t>固定综合单价报价。</w:t>
      </w:r>
      <w:r>
        <w:rPr>
          <w:rFonts w:hint="eastAsia" w:ascii="宋体" w:hAnsi="宋体"/>
          <w:color w:val="000000" w:themeColor="text1"/>
          <w:szCs w:val="21"/>
        </w:rPr>
        <w:t>报价时应充分考虑合同期间人工、材料、机械的市场风险和国家政策性风险系数。同时考虑以下各类工作内容的作业费用和风险因素：</w:t>
      </w:r>
    </w:p>
    <w:p>
      <w:pPr>
        <w:snapToGrid w:val="0"/>
        <w:spacing w:line="360" w:lineRule="auto"/>
        <w:ind w:firstLine="420" w:firstLineChars="200"/>
        <w:contextualSpacing/>
        <w:rPr>
          <w:rFonts w:ascii="宋体" w:hAnsi="宋体"/>
          <w:color w:val="000000" w:themeColor="text1"/>
          <w:szCs w:val="21"/>
        </w:rPr>
      </w:pPr>
      <w:r>
        <w:rPr>
          <w:rFonts w:hint="eastAsia" w:ascii="宋体" w:hAnsi="宋体"/>
          <w:color w:val="000000" w:themeColor="text1"/>
          <w:szCs w:val="21"/>
        </w:rPr>
        <w:t>①报价应包含完成日常养护（修剪、施肥、除草、保洁、补植、涂白、病虫害防治、园林废弃物处置等）、黑麦草复播、草花地栽、设施维护、应急抢险、管护量交接清点等所发生的人材机费用、规费、税金，以及极端气候引起树木倾斜倒伏伤人伤物的保险购买等一切费用。</w:t>
      </w:r>
    </w:p>
    <w:p>
      <w:pPr>
        <w:snapToGrid w:val="0"/>
        <w:spacing w:line="360" w:lineRule="auto"/>
        <w:ind w:firstLine="420" w:firstLineChars="200"/>
        <w:contextualSpacing/>
        <w:rPr>
          <w:rFonts w:ascii="宋体" w:hAnsi="宋体"/>
          <w:color w:val="000000" w:themeColor="text1"/>
          <w:szCs w:val="21"/>
        </w:rPr>
      </w:pPr>
      <w:r>
        <w:rPr>
          <w:rFonts w:hint="eastAsia" w:ascii="宋体" w:hAnsi="宋体"/>
          <w:color w:val="000000" w:themeColor="text1"/>
          <w:szCs w:val="21"/>
        </w:rPr>
        <w:t>②每年乔灌木的整形修剪；气象灾害预警级别橙色及以上并且管护措施到位除外的绿地空缺补植；树木无法正常生长密林区域的疏苗间苗（就近的确保成活率95%以上，疏苗后一周内完成树坑回填、绿地平整、栽植周边相近品种规格地被的复绿工作等）。</w:t>
      </w:r>
    </w:p>
    <w:p>
      <w:pPr>
        <w:snapToGrid w:val="0"/>
        <w:spacing w:line="360" w:lineRule="auto"/>
        <w:ind w:firstLine="420" w:firstLineChars="200"/>
        <w:contextualSpacing/>
        <w:rPr>
          <w:rFonts w:ascii="宋体" w:hAnsi="宋体"/>
          <w:color w:val="000000" w:themeColor="text1"/>
          <w:szCs w:val="21"/>
        </w:rPr>
      </w:pPr>
      <w:r>
        <w:rPr>
          <w:rFonts w:hint="eastAsia" w:ascii="宋体" w:hAnsi="宋体"/>
          <w:color w:val="000000" w:themeColor="text1"/>
          <w:szCs w:val="21"/>
        </w:rPr>
        <w:t>③根据《南通市区绿化养护管理绩效评价办法的通知》（通绿评【2024】1号文）要求，本项目需配备1名专职巡查员。该名巡查员由中标人自行招聘并经发包人面试合格，合同期交发包人统一管理、调配使用6个月/年。中标人委托南通市人才事务所有限公司根据发包人考核结果按月代发工资。工资不低于政府购买服务岗位人员当期薪酬标准，投标单位在管护分项报价时应考虑此因素。</w:t>
      </w:r>
    </w:p>
    <w:p>
      <w:pPr>
        <w:snapToGrid w:val="0"/>
        <w:spacing w:line="360" w:lineRule="auto"/>
        <w:ind w:firstLine="420" w:firstLineChars="200"/>
        <w:contextualSpacing/>
        <w:rPr>
          <w:rFonts w:ascii="宋体" w:hAnsi="宋体"/>
          <w:color w:val="000000" w:themeColor="text1"/>
          <w:szCs w:val="21"/>
        </w:rPr>
      </w:pPr>
      <w:r>
        <w:rPr>
          <w:rFonts w:hint="eastAsia" w:ascii="宋体" w:hAnsi="宋体"/>
          <w:color w:val="000000" w:themeColor="text1"/>
          <w:szCs w:val="21"/>
        </w:rPr>
        <w:t>④为规范园林废弃物处理方式，提高园林废弃物资源化利用，承包方需将养护管理中所产生的枯枝败叶、树枝枝干、草屑等园林绿化垃圾送至发包方（或处置单位）确定的收集点集中处理，尚未确定处置单位前的过渡期内，由中标人按园林废弃物处理利用相关要求自行处置，严禁随意弃置，相应费用投标报价时应予考虑</w:t>
      </w:r>
      <w:r>
        <w:rPr>
          <w:rFonts w:ascii="宋体" w:hAnsi="宋体"/>
          <w:color w:val="000000" w:themeColor="text1"/>
          <w:szCs w:val="21"/>
        </w:rPr>
        <w:t>。</w:t>
      </w:r>
    </w:p>
    <w:p>
      <w:pPr>
        <w:snapToGrid w:val="0"/>
        <w:spacing w:line="360" w:lineRule="auto"/>
        <w:ind w:firstLine="420" w:firstLineChars="200"/>
        <w:contextualSpacing/>
        <w:rPr>
          <w:rFonts w:ascii="宋体" w:hAnsi="宋体"/>
          <w:color w:val="000000" w:themeColor="text1"/>
          <w:szCs w:val="21"/>
        </w:rPr>
      </w:pPr>
      <w:r>
        <w:rPr>
          <w:rFonts w:hint="eastAsia" w:ascii="宋体" w:hAnsi="宋体"/>
          <w:color w:val="000000" w:themeColor="text1"/>
          <w:szCs w:val="21"/>
        </w:rPr>
        <w:t>⑤发包方片区管理站所在标段，中标后承包方须承担片区管理站的安全护卫保洁管理。</w:t>
      </w:r>
    </w:p>
    <w:p>
      <w:pPr>
        <w:snapToGrid w:val="0"/>
        <w:spacing w:line="360" w:lineRule="auto"/>
        <w:ind w:firstLine="422" w:firstLineChars="200"/>
        <w:contextualSpacing/>
        <w:rPr>
          <w:rFonts w:ascii="宋体" w:hAnsi="宋体"/>
          <w:b/>
          <w:szCs w:val="21"/>
        </w:rPr>
      </w:pPr>
      <w:r>
        <w:rPr>
          <w:rFonts w:hint="eastAsia" w:ascii="宋体" w:hAnsi="宋体"/>
          <w:b/>
          <w:szCs w:val="21"/>
        </w:rPr>
        <w:t>3.2.5中标人不得向他人转包，也不得违法分包。一旦发现，招标人有权立即终止管护合同，由此产生的一切法律责任和经济损失均由中标人承担。</w:t>
      </w:r>
    </w:p>
    <w:p>
      <w:pPr>
        <w:keepNext/>
        <w:keepLines/>
        <w:spacing w:line="360" w:lineRule="auto"/>
        <w:outlineLvl w:val="2"/>
        <w:rPr>
          <w:rFonts w:ascii="宋体" w:hAnsi="宋体" w:cs="宋体"/>
          <w:b/>
          <w:bCs/>
          <w:szCs w:val="21"/>
        </w:rPr>
      </w:pPr>
      <w:bookmarkStart w:id="71" w:name="_Toc389065165"/>
      <w:bookmarkStart w:id="72" w:name="_Toc535487107"/>
      <w:r>
        <w:rPr>
          <w:rFonts w:hint="eastAsia" w:ascii="宋体" w:hAnsi="宋体" w:cs="宋体"/>
          <w:b/>
          <w:bCs/>
          <w:szCs w:val="21"/>
        </w:rPr>
        <w:t>3.3投标有效期</w:t>
      </w:r>
      <w:bookmarkEnd w:id="71"/>
      <w:bookmarkEnd w:id="72"/>
    </w:p>
    <w:p>
      <w:pPr>
        <w:spacing w:line="360" w:lineRule="auto"/>
        <w:ind w:firstLine="420" w:firstLineChars="200"/>
        <w:rPr>
          <w:rFonts w:ascii="宋体" w:hAnsi="宋体" w:cs="宋体"/>
          <w:szCs w:val="21"/>
        </w:rPr>
      </w:pPr>
      <w:r>
        <w:rPr>
          <w:rFonts w:hint="eastAsia" w:ascii="宋体" w:hAnsi="宋体" w:cs="宋体"/>
          <w:szCs w:val="21"/>
        </w:rPr>
        <w:t>3.3.1 在投标人须知前附表规定的投标有效期内，投标人不得要求撤销或修改其投标文件。</w:t>
      </w:r>
    </w:p>
    <w:p>
      <w:pPr>
        <w:spacing w:line="360" w:lineRule="auto"/>
        <w:ind w:firstLine="420" w:firstLineChars="200"/>
        <w:rPr>
          <w:rFonts w:ascii="宋体" w:hAnsi="宋体" w:cs="宋体"/>
          <w:szCs w:val="21"/>
        </w:rPr>
      </w:pPr>
      <w:r>
        <w:rPr>
          <w:rFonts w:hint="eastAsia" w:ascii="宋体" w:hAnsi="宋体" w:cs="宋体"/>
          <w:szCs w:val="21"/>
        </w:rPr>
        <w:t>3.3.2 出现特殊情况需要延长投标有效期的，招标人将通知所有投标人延长投标有效期。投标人同意延长的，应相应延长其投标保证金的有效期，但不得要求或被允许修改或撤销其投标文件；投标人拒绝延长的，其投标失效，但投标人有权收回其投标保证金。</w:t>
      </w:r>
    </w:p>
    <w:p>
      <w:pPr>
        <w:keepNext/>
        <w:keepLines/>
        <w:spacing w:line="360" w:lineRule="auto"/>
        <w:outlineLvl w:val="2"/>
        <w:rPr>
          <w:rFonts w:ascii="宋体" w:hAnsi="宋体" w:cs="宋体"/>
          <w:b/>
          <w:bCs/>
          <w:szCs w:val="21"/>
        </w:rPr>
      </w:pPr>
      <w:bookmarkStart w:id="73" w:name="_Toc389065166"/>
      <w:bookmarkStart w:id="74" w:name="_Toc535487108"/>
      <w:r>
        <w:rPr>
          <w:rFonts w:hint="eastAsia" w:ascii="宋体" w:hAnsi="宋体" w:cs="宋体"/>
          <w:b/>
          <w:bCs/>
          <w:szCs w:val="21"/>
        </w:rPr>
        <w:t>3.4 投标保证金</w:t>
      </w:r>
      <w:bookmarkEnd w:id="73"/>
      <w:bookmarkEnd w:id="74"/>
    </w:p>
    <w:p>
      <w:pPr>
        <w:spacing w:line="360" w:lineRule="auto"/>
        <w:ind w:firstLine="420" w:firstLineChars="200"/>
        <w:rPr>
          <w:rFonts w:ascii="宋体" w:hAnsi="宋体" w:cs="宋体"/>
          <w:szCs w:val="21"/>
        </w:rPr>
      </w:pPr>
      <w:r>
        <w:rPr>
          <w:rFonts w:ascii="宋体" w:hAnsi="宋体" w:cs="宋体"/>
          <w:szCs w:val="21"/>
        </w:rPr>
        <w:t>3.</w:t>
      </w:r>
      <w:r>
        <w:rPr>
          <w:rFonts w:hint="eastAsia" w:ascii="宋体" w:hAnsi="宋体" w:cs="宋体"/>
          <w:szCs w:val="21"/>
        </w:rPr>
        <w:t>4.1本项目实行投标保证金集中管理。投标人必须按投标人须知确定的投标保证金金额在本项目开标前办理投标保证金缴纳手续，投标保证金有效期与投标有效期一致。各投标人必须</w:t>
      </w:r>
      <w:r>
        <w:rPr>
          <w:rFonts w:hint="eastAsia" w:ascii="宋体" w:hAnsi="宋体" w:cs="宋体"/>
          <w:b/>
          <w:bCs/>
          <w:szCs w:val="21"/>
        </w:rPr>
        <w:t>以企业法人基本存款帐户办理保证金缴纳手续</w:t>
      </w:r>
      <w:r>
        <w:rPr>
          <w:rFonts w:hint="eastAsia" w:ascii="宋体" w:hAnsi="宋体" w:cs="宋体"/>
          <w:szCs w:val="21"/>
        </w:rPr>
        <w:t>，否则不予接受。</w:t>
      </w:r>
    </w:p>
    <w:p>
      <w:pPr>
        <w:spacing w:line="360" w:lineRule="auto"/>
        <w:ind w:firstLine="420" w:firstLineChars="200"/>
        <w:rPr>
          <w:rFonts w:ascii="宋体" w:hAnsi="宋体" w:cs="宋体"/>
          <w:szCs w:val="21"/>
        </w:rPr>
      </w:pPr>
      <w:r>
        <w:rPr>
          <w:rFonts w:ascii="宋体" w:hAnsi="宋体" w:cs="宋体"/>
          <w:szCs w:val="21"/>
        </w:rPr>
        <w:t>3.</w:t>
      </w:r>
      <w:r>
        <w:rPr>
          <w:rFonts w:hint="eastAsia" w:ascii="宋体" w:hAnsi="宋体" w:cs="宋体"/>
          <w:szCs w:val="21"/>
        </w:rPr>
        <w:t>4.1本项目实行投标保证金集中管理。投标人必须按投标人须知确定的投标保证金金额在本项目开标前办理投标保证金缴纳手续，投标保证金有效期与投标有效期一致。各投标人必须</w:t>
      </w:r>
      <w:r>
        <w:rPr>
          <w:rFonts w:hint="eastAsia" w:ascii="宋体" w:hAnsi="宋体" w:cs="宋体"/>
          <w:b/>
          <w:bCs/>
          <w:szCs w:val="21"/>
        </w:rPr>
        <w:t>以企业法人基本存款帐户办理保证金缴纳手续</w:t>
      </w:r>
      <w:r>
        <w:rPr>
          <w:rFonts w:hint="eastAsia" w:ascii="宋体" w:hAnsi="宋体" w:cs="宋体"/>
          <w:szCs w:val="21"/>
        </w:rPr>
        <w:t>，否则不予接受。</w:t>
      </w:r>
    </w:p>
    <w:p>
      <w:pPr>
        <w:spacing w:line="360" w:lineRule="auto"/>
        <w:ind w:firstLine="420" w:firstLineChars="200"/>
        <w:rPr>
          <w:rFonts w:ascii="宋体" w:hAnsi="宋体" w:cs="宋体"/>
          <w:szCs w:val="21"/>
        </w:rPr>
      </w:pPr>
      <w:r>
        <w:rPr>
          <w:rFonts w:ascii="宋体" w:hAnsi="宋体" w:cs="宋体"/>
          <w:color w:val="000000" w:themeColor="text1"/>
          <w:szCs w:val="21"/>
        </w:rPr>
        <w:t>3.</w:t>
      </w:r>
      <w:r>
        <w:rPr>
          <w:rFonts w:hint="eastAsia" w:ascii="宋体" w:hAnsi="宋体" w:cs="宋体"/>
          <w:color w:val="000000" w:themeColor="text1"/>
          <w:szCs w:val="21"/>
        </w:rPr>
        <w:t>4</w:t>
      </w:r>
      <w:r>
        <w:rPr>
          <w:rFonts w:ascii="宋体" w:hAnsi="宋体" w:cs="宋体"/>
          <w:color w:val="000000" w:themeColor="text1"/>
          <w:szCs w:val="21"/>
        </w:rPr>
        <w:t>.1</w:t>
      </w:r>
      <w:r>
        <w:rPr>
          <w:rFonts w:hint="eastAsia" w:ascii="宋体" w:hAnsi="宋体" w:cs="宋体"/>
          <w:color w:val="000000" w:themeColor="text1"/>
          <w:szCs w:val="21"/>
        </w:rPr>
        <w:t>.1</w:t>
      </w:r>
      <w:r>
        <w:rPr>
          <w:rFonts w:hint="eastAsia"/>
          <w:color w:val="000000" w:themeColor="text1"/>
        </w:rPr>
        <w:t>投标保证金缴纳形式为</w:t>
      </w:r>
      <w:r>
        <w:rPr>
          <w:rFonts w:hint="eastAsia"/>
          <w:color w:val="000000" w:themeColor="text1"/>
          <w:lang w:val="zh-CN"/>
        </w:rPr>
        <w:t>银行汇票或转账支票。投标人必须以企业法人基本存款帐户办理投标保证金缴纳手续，并将基本存款帐户凭证带至开标现场以供核查，否则不予接受。</w:t>
      </w:r>
    </w:p>
    <w:p>
      <w:pPr>
        <w:spacing w:line="360" w:lineRule="auto"/>
        <w:ind w:firstLine="420" w:firstLineChars="200"/>
        <w:rPr>
          <w:rFonts w:ascii="宋体" w:hAnsi="宋体" w:cs="宋体"/>
          <w:szCs w:val="21"/>
        </w:rPr>
      </w:pPr>
      <w:r>
        <w:rPr>
          <w:rFonts w:ascii="宋体" w:hAnsi="宋体" w:cs="宋体"/>
          <w:szCs w:val="21"/>
        </w:rPr>
        <w:t>3.</w:t>
      </w:r>
      <w:r>
        <w:rPr>
          <w:rFonts w:hint="eastAsia" w:ascii="宋体" w:hAnsi="宋体" w:cs="宋体"/>
          <w:szCs w:val="21"/>
        </w:rPr>
        <w:t>4</w:t>
      </w:r>
      <w:r>
        <w:rPr>
          <w:rFonts w:ascii="宋体" w:hAnsi="宋体" w:cs="宋体"/>
          <w:szCs w:val="21"/>
        </w:rPr>
        <w:t>.1</w:t>
      </w:r>
      <w:r>
        <w:rPr>
          <w:rFonts w:hint="eastAsia" w:ascii="宋体" w:hAnsi="宋体" w:cs="宋体"/>
          <w:szCs w:val="21"/>
        </w:rPr>
        <w:t>.2投标保证金金额：见投标须知前附表</w:t>
      </w:r>
    </w:p>
    <w:p>
      <w:pPr>
        <w:spacing w:line="360" w:lineRule="auto"/>
        <w:ind w:firstLine="420" w:firstLineChars="200"/>
        <w:rPr>
          <w:rFonts w:ascii="宋体" w:hAnsi="宋体" w:cs="宋体"/>
          <w:szCs w:val="21"/>
        </w:rPr>
      </w:pPr>
      <w:r>
        <w:rPr>
          <w:rFonts w:hint="eastAsia" w:ascii="宋体" w:hAnsi="宋体" w:cs="宋体"/>
          <w:szCs w:val="21"/>
        </w:rPr>
        <w:t>（1）接受投标保证金的指定账户信息：</w:t>
      </w:r>
    </w:p>
    <w:p>
      <w:pPr>
        <w:spacing w:line="360" w:lineRule="auto"/>
        <w:ind w:firstLine="1050" w:firstLineChars="500"/>
        <w:rPr>
          <w:rFonts w:ascii="宋体" w:hAnsi="宋体" w:cs="宋体"/>
          <w:szCs w:val="21"/>
        </w:rPr>
      </w:pPr>
      <w:r>
        <w:rPr>
          <w:rFonts w:hint="eastAsia" w:ascii="宋体" w:hAnsi="宋体" w:cs="宋体"/>
          <w:szCs w:val="21"/>
        </w:rPr>
        <w:t>开户名：</w:t>
      </w:r>
      <w:r>
        <w:rPr>
          <w:rFonts w:hint="eastAsia" w:ascii="宋体" w:hAnsi="宋体" w:cs="宋体"/>
          <w:color w:val="000000"/>
          <w:szCs w:val="21"/>
        </w:rPr>
        <w:t>南通市财政局</w:t>
      </w:r>
    </w:p>
    <w:p>
      <w:pPr>
        <w:spacing w:line="360" w:lineRule="auto"/>
        <w:ind w:firstLine="1050" w:firstLineChars="500"/>
        <w:rPr>
          <w:rFonts w:ascii="宋体" w:hAnsi="宋体" w:cs="宋体"/>
          <w:color w:val="000000"/>
          <w:szCs w:val="21"/>
        </w:rPr>
      </w:pPr>
      <w:r>
        <w:rPr>
          <w:rFonts w:hint="eastAsia" w:ascii="宋体" w:hAnsi="宋体" w:cs="宋体"/>
          <w:szCs w:val="21"/>
        </w:rPr>
        <w:t>开户行：</w:t>
      </w:r>
      <w:r>
        <w:rPr>
          <w:rFonts w:hint="eastAsia" w:ascii="宋体" w:hAnsi="宋体" w:cs="宋体"/>
          <w:color w:val="000000"/>
          <w:szCs w:val="21"/>
        </w:rPr>
        <w:t>中信银行南通分行营业部，</w:t>
      </w:r>
    </w:p>
    <w:p>
      <w:pPr>
        <w:spacing w:line="360" w:lineRule="auto"/>
        <w:ind w:firstLine="1050" w:firstLineChars="500"/>
        <w:rPr>
          <w:rFonts w:ascii="宋体" w:hAnsi="宋体" w:cs="宋体"/>
          <w:szCs w:val="21"/>
        </w:rPr>
      </w:pPr>
      <w:r>
        <w:rPr>
          <w:rFonts w:hint="eastAsia" w:ascii="宋体" w:hAnsi="宋体" w:cs="宋体"/>
          <w:color w:val="000000"/>
          <w:szCs w:val="21"/>
        </w:rPr>
        <w:t>帐号：7358010195900000162。</w:t>
      </w:r>
    </w:p>
    <w:p>
      <w:pPr>
        <w:spacing w:line="360" w:lineRule="auto"/>
        <w:ind w:firstLine="420" w:firstLineChars="200"/>
        <w:rPr>
          <w:rFonts w:ascii="宋体" w:hAnsi="宋体" w:cs="宋体"/>
          <w:color w:val="000000" w:themeColor="text1"/>
          <w:szCs w:val="21"/>
        </w:rPr>
      </w:pPr>
      <w:r>
        <w:rPr>
          <w:rFonts w:hint="eastAsia" w:ascii="宋体" w:hAnsi="宋体" w:cs="宋体"/>
          <w:szCs w:val="21"/>
        </w:rPr>
        <w:t>（2）投标人从企业法人基本存款帐户往完整的保证金账户汇款。</w:t>
      </w:r>
    </w:p>
    <w:p>
      <w:pPr>
        <w:spacing w:line="360" w:lineRule="auto"/>
        <w:ind w:firstLine="420" w:firstLineChars="200"/>
        <w:rPr>
          <w:rFonts w:ascii="宋体" w:hAnsi="宋体" w:cs="宋体"/>
          <w:szCs w:val="21"/>
        </w:rPr>
      </w:pPr>
      <w:r>
        <w:rPr>
          <w:rFonts w:ascii="宋体" w:hAnsi="宋体" w:cs="宋体"/>
          <w:szCs w:val="21"/>
        </w:rPr>
        <w:t>3.</w:t>
      </w:r>
      <w:r>
        <w:rPr>
          <w:rFonts w:hint="eastAsia" w:ascii="宋体" w:hAnsi="宋体" w:cs="宋体"/>
          <w:szCs w:val="21"/>
        </w:rPr>
        <w:t>4</w:t>
      </w:r>
      <w:r>
        <w:rPr>
          <w:rFonts w:ascii="宋体" w:hAnsi="宋体" w:cs="宋体"/>
          <w:szCs w:val="21"/>
        </w:rPr>
        <w:t>.</w:t>
      </w:r>
      <w:r>
        <w:rPr>
          <w:rFonts w:hint="eastAsia" w:ascii="宋体" w:hAnsi="宋体" w:cs="宋体"/>
          <w:szCs w:val="21"/>
        </w:rPr>
        <w:t>3 开标结束后，投标保证金由招标代理或招标人统一办理中标人和未中标人的保证金退还事宜。如本项目招标中遇质疑，投诉，复议等特殊情况，保证金退还时间按相关规定执行。</w:t>
      </w:r>
    </w:p>
    <w:p>
      <w:pPr>
        <w:spacing w:line="360" w:lineRule="auto"/>
        <w:ind w:firstLine="420" w:firstLineChars="200"/>
        <w:rPr>
          <w:rFonts w:ascii="宋体" w:hAnsi="宋体" w:cs="宋体"/>
          <w:szCs w:val="21"/>
        </w:rPr>
      </w:pPr>
      <w:r>
        <w:rPr>
          <w:rFonts w:ascii="宋体" w:hAnsi="宋体" w:cs="宋体"/>
          <w:szCs w:val="21"/>
        </w:rPr>
        <w:t>3.</w:t>
      </w:r>
      <w:r>
        <w:rPr>
          <w:rFonts w:hint="eastAsia" w:ascii="宋体" w:hAnsi="宋体" w:cs="宋体"/>
          <w:szCs w:val="21"/>
        </w:rPr>
        <w:t>4</w:t>
      </w:r>
      <w:r>
        <w:rPr>
          <w:rFonts w:ascii="宋体" w:hAnsi="宋体" w:cs="宋体"/>
          <w:szCs w:val="21"/>
        </w:rPr>
        <w:t>.</w:t>
      </w:r>
      <w:r>
        <w:rPr>
          <w:rFonts w:hint="eastAsia" w:ascii="宋体" w:hAnsi="宋体" w:cs="宋体"/>
          <w:szCs w:val="21"/>
        </w:rPr>
        <w:t>3.1未中标单位的投标保证金在其定标后予以退还。</w:t>
      </w:r>
    </w:p>
    <w:p>
      <w:pPr>
        <w:spacing w:line="360" w:lineRule="auto"/>
        <w:ind w:firstLine="420" w:firstLineChars="200"/>
        <w:rPr>
          <w:rFonts w:ascii="宋体" w:hAnsi="宋体" w:cs="宋体"/>
          <w:szCs w:val="21"/>
        </w:rPr>
      </w:pPr>
      <w:r>
        <w:rPr>
          <w:rFonts w:ascii="宋体" w:hAnsi="宋体" w:cs="宋体"/>
          <w:szCs w:val="21"/>
        </w:rPr>
        <w:t>3.</w:t>
      </w:r>
      <w:r>
        <w:rPr>
          <w:rFonts w:hint="eastAsia" w:ascii="宋体" w:hAnsi="宋体" w:cs="宋体"/>
          <w:szCs w:val="21"/>
        </w:rPr>
        <w:t>4</w:t>
      </w:r>
      <w:r>
        <w:rPr>
          <w:rFonts w:ascii="宋体" w:hAnsi="宋体" w:cs="宋体"/>
          <w:szCs w:val="21"/>
        </w:rPr>
        <w:t>.</w:t>
      </w:r>
      <w:r>
        <w:rPr>
          <w:rFonts w:hint="eastAsia" w:ascii="宋体" w:hAnsi="宋体" w:cs="宋体"/>
          <w:szCs w:val="21"/>
        </w:rPr>
        <w:t>3.2中标单位的投标保证金在管护合同签订后5日内予以退还。中标通知书发出后7个工作日内中标人应向招标人递交履约保证金，否则招标人有权按中标人自动放弃中标资格处理。</w:t>
      </w:r>
    </w:p>
    <w:p>
      <w:pPr>
        <w:spacing w:line="360" w:lineRule="auto"/>
        <w:ind w:firstLine="420" w:firstLineChars="200"/>
        <w:rPr>
          <w:rFonts w:ascii="宋体" w:hAnsi="宋体" w:cs="宋体"/>
          <w:szCs w:val="21"/>
        </w:rPr>
      </w:pPr>
      <w:r>
        <w:rPr>
          <w:rFonts w:ascii="宋体" w:hAnsi="宋体" w:cs="宋体"/>
          <w:szCs w:val="21"/>
        </w:rPr>
        <w:t>3.</w:t>
      </w:r>
      <w:r>
        <w:rPr>
          <w:rFonts w:hint="eastAsia" w:ascii="宋体" w:hAnsi="宋体" w:cs="宋体"/>
          <w:szCs w:val="21"/>
        </w:rPr>
        <w:t>4</w:t>
      </w:r>
      <w:r>
        <w:rPr>
          <w:rFonts w:ascii="宋体" w:hAnsi="宋体" w:cs="宋体"/>
          <w:szCs w:val="21"/>
        </w:rPr>
        <w:t>.</w:t>
      </w:r>
      <w:r>
        <w:rPr>
          <w:rFonts w:hint="eastAsia" w:ascii="宋体" w:hAnsi="宋体" w:cs="宋体"/>
          <w:szCs w:val="21"/>
        </w:rPr>
        <w:t>5投标人在投标有效期内撤回投标文件或被认定存在违法违规行为时，投标人的投标保证金不予退还或由被保险人发起理赔申请。中标通知书发出后，除不可抗力情况外，中标人出现下列情形之一的，招标人必须取消其中标资格，并不予退还其投标保证金或由被保险人发起理赔申请：</w:t>
      </w:r>
    </w:p>
    <w:p>
      <w:pPr>
        <w:spacing w:line="360" w:lineRule="auto"/>
        <w:ind w:firstLine="420" w:firstLineChars="200"/>
        <w:rPr>
          <w:rFonts w:ascii="宋体" w:hAnsi="宋体" w:cs="宋体"/>
          <w:szCs w:val="21"/>
        </w:rPr>
      </w:pPr>
      <w:r>
        <w:rPr>
          <w:rFonts w:hint="eastAsia" w:ascii="宋体" w:hAnsi="宋体" w:cs="宋体"/>
          <w:szCs w:val="21"/>
        </w:rPr>
        <w:t>3.4.5.1放弃中标项目的；</w:t>
      </w:r>
    </w:p>
    <w:p>
      <w:pPr>
        <w:spacing w:line="360" w:lineRule="auto"/>
        <w:ind w:firstLine="420" w:firstLineChars="200"/>
        <w:rPr>
          <w:rFonts w:ascii="宋体" w:hAnsi="宋体" w:cs="宋体"/>
          <w:szCs w:val="21"/>
        </w:rPr>
      </w:pPr>
      <w:r>
        <w:rPr>
          <w:rFonts w:hint="eastAsia" w:ascii="宋体" w:hAnsi="宋体" w:cs="宋体"/>
          <w:szCs w:val="21"/>
        </w:rPr>
        <w:t>3.4.5.2拒不按照招标文件的要求提交履约保证金的；</w:t>
      </w:r>
    </w:p>
    <w:p>
      <w:pPr>
        <w:spacing w:line="360" w:lineRule="auto"/>
        <w:ind w:firstLine="420" w:firstLineChars="200"/>
        <w:rPr>
          <w:rFonts w:ascii="宋体" w:hAnsi="宋体" w:cs="宋体"/>
          <w:szCs w:val="21"/>
        </w:rPr>
      </w:pPr>
      <w:r>
        <w:rPr>
          <w:rFonts w:hint="eastAsia" w:ascii="宋体" w:hAnsi="宋体" w:cs="宋体"/>
          <w:szCs w:val="21"/>
        </w:rPr>
        <w:t>3.4.5.3不与招标人签订合同的，或者在签订合同时向招标人提出附加条件或者更改合同实质性内容的。</w:t>
      </w:r>
    </w:p>
    <w:p>
      <w:pPr>
        <w:spacing w:line="360" w:lineRule="auto"/>
        <w:ind w:firstLine="420" w:firstLineChars="200"/>
        <w:rPr>
          <w:rFonts w:ascii="宋体" w:hAnsi="宋体" w:cs="宋体"/>
          <w:szCs w:val="21"/>
        </w:rPr>
      </w:pPr>
      <w:r>
        <w:rPr>
          <w:rFonts w:hint="eastAsia" w:ascii="宋体" w:hAnsi="宋体" w:cs="宋体"/>
          <w:szCs w:val="21"/>
        </w:rPr>
        <w:t>3.4.6投标人（中标人）存在前款所述情形的，招标投标行政监督部门应当将其记入不良行为记录，在一年内其它政府投资项目的招标人可以据此不接受其投标。</w:t>
      </w:r>
    </w:p>
    <w:p>
      <w:pPr>
        <w:keepNext/>
        <w:keepLines/>
        <w:spacing w:line="360" w:lineRule="auto"/>
        <w:outlineLvl w:val="2"/>
        <w:rPr>
          <w:rFonts w:ascii="宋体" w:hAnsi="宋体" w:cs="宋体"/>
          <w:b/>
          <w:bCs/>
          <w:szCs w:val="21"/>
        </w:rPr>
      </w:pPr>
      <w:bookmarkStart w:id="75" w:name="_Toc535487110"/>
      <w:bookmarkStart w:id="76" w:name="_Toc389065168"/>
      <w:r>
        <w:rPr>
          <w:rFonts w:hint="eastAsia" w:ascii="宋体" w:hAnsi="宋体" w:cs="宋体"/>
          <w:b/>
          <w:bCs/>
          <w:szCs w:val="21"/>
        </w:rPr>
        <w:t>3.5 投标文件的编制</w:t>
      </w:r>
      <w:bookmarkEnd w:id="75"/>
      <w:bookmarkEnd w:id="76"/>
    </w:p>
    <w:p>
      <w:pPr>
        <w:spacing w:line="360" w:lineRule="auto"/>
        <w:ind w:firstLine="420" w:firstLineChars="200"/>
        <w:rPr>
          <w:rFonts w:ascii="宋体" w:hAnsi="宋体" w:cs="宋体"/>
          <w:szCs w:val="21"/>
        </w:rPr>
      </w:pPr>
      <w:r>
        <w:rPr>
          <w:rFonts w:hint="eastAsia" w:ascii="宋体" w:hAnsi="宋体" w:cs="宋体"/>
          <w:szCs w:val="21"/>
        </w:rPr>
        <w:t>3.5.1 投标文件应按第八章“投标文件格式”进行编写，如有必要可自行增加，作为投标文件的组成部分。</w:t>
      </w:r>
    </w:p>
    <w:p>
      <w:pPr>
        <w:spacing w:line="360" w:lineRule="auto"/>
        <w:ind w:firstLine="420" w:firstLineChars="200"/>
        <w:rPr>
          <w:rFonts w:ascii="宋体" w:hAnsi="宋体" w:cs="宋体"/>
          <w:szCs w:val="21"/>
        </w:rPr>
      </w:pPr>
      <w:r>
        <w:rPr>
          <w:rFonts w:hint="eastAsia" w:ascii="宋体" w:hAnsi="宋体" w:cs="宋体"/>
          <w:szCs w:val="21"/>
        </w:rPr>
        <w:t>3.5.4投标文件应当对招标文件有关承包期、投标有效期、质量要求、技术标准和要求、招标范围等实质性内容作出响应。</w:t>
      </w:r>
    </w:p>
    <w:p>
      <w:pPr>
        <w:spacing w:line="360" w:lineRule="auto"/>
        <w:ind w:firstLine="420" w:firstLineChars="200"/>
        <w:rPr>
          <w:rFonts w:ascii="宋体" w:hAnsi="宋体" w:cs="宋体"/>
          <w:szCs w:val="21"/>
        </w:rPr>
      </w:pPr>
      <w:r>
        <w:rPr>
          <w:rFonts w:hint="eastAsia" w:ascii="宋体" w:hAnsi="宋体" w:cs="宋体"/>
          <w:szCs w:val="21"/>
        </w:rPr>
        <w:t>3.5.5补充内容：投标文件编制的其它要求详见投标人须知前附表。</w:t>
      </w:r>
    </w:p>
    <w:p>
      <w:pPr>
        <w:autoSpaceDE w:val="0"/>
        <w:autoSpaceDN w:val="0"/>
        <w:adjustRightInd w:val="0"/>
        <w:spacing w:line="360" w:lineRule="auto"/>
        <w:jc w:val="left"/>
        <w:rPr>
          <w:rFonts w:ascii="宋体" w:hAnsi="宋体" w:cs="宋体"/>
          <w:b/>
          <w:szCs w:val="21"/>
        </w:rPr>
      </w:pPr>
      <w:bookmarkStart w:id="77" w:name="_Toc389065169"/>
      <w:r>
        <w:rPr>
          <w:rFonts w:hint="eastAsia" w:ascii="宋体" w:hAnsi="宋体" w:cs="宋体"/>
          <w:b/>
          <w:szCs w:val="21"/>
        </w:rPr>
        <w:t>4 投标</w:t>
      </w:r>
      <w:bookmarkEnd w:id="77"/>
      <w:bookmarkStart w:id="78" w:name="_Toc389065170"/>
    </w:p>
    <w:bookmarkEnd w:id="78"/>
    <w:p>
      <w:pPr>
        <w:keepNext/>
        <w:keepLines/>
        <w:spacing w:line="360" w:lineRule="auto"/>
        <w:contextualSpacing/>
        <w:outlineLvl w:val="2"/>
        <w:rPr>
          <w:rFonts w:ascii="宋体" w:hAnsi="宋体" w:cs="宋体"/>
          <w:b/>
          <w:bCs/>
          <w:color w:val="000000"/>
          <w:szCs w:val="21"/>
        </w:rPr>
      </w:pPr>
      <w:bookmarkStart w:id="79" w:name="_Toc389065173"/>
      <w:bookmarkStart w:id="80" w:name="_Toc535487113"/>
      <w:r>
        <w:rPr>
          <w:rFonts w:hint="eastAsia" w:ascii="宋体" w:hAnsi="宋体" w:cs="宋体"/>
          <w:b/>
          <w:bCs/>
          <w:szCs w:val="21"/>
        </w:rPr>
        <w:t>4.1</w:t>
      </w:r>
      <w:r>
        <w:rPr>
          <w:rFonts w:hint="eastAsia" w:ascii="宋体" w:hAnsi="宋体" w:cs="宋体"/>
          <w:b/>
          <w:bCs/>
          <w:color w:val="000000"/>
          <w:szCs w:val="21"/>
        </w:rPr>
        <w:t>投标文件的密封与标志</w:t>
      </w:r>
    </w:p>
    <w:p>
      <w:pPr>
        <w:spacing w:line="360" w:lineRule="auto"/>
        <w:ind w:firstLine="420" w:firstLineChars="200"/>
        <w:contextualSpacing/>
        <w:rPr>
          <w:rFonts w:ascii="宋体" w:hAnsi="宋体" w:cs="宋体"/>
          <w:color w:val="000000"/>
          <w:szCs w:val="21"/>
        </w:rPr>
      </w:pPr>
      <w:r>
        <w:rPr>
          <w:rFonts w:hint="eastAsia" w:ascii="宋体" w:hAnsi="宋体" w:cs="宋体"/>
          <w:color w:val="000000"/>
          <w:szCs w:val="21"/>
        </w:rPr>
        <w:t>4.1.1投标人</w:t>
      </w:r>
      <w:r>
        <w:rPr>
          <w:rFonts w:hint="eastAsia" w:ascii="宋体" w:hAnsi="宋体" w:cs="宋体"/>
          <w:color w:val="000000" w:themeColor="text1"/>
          <w:szCs w:val="21"/>
        </w:rPr>
        <w:t>应准备肆份完整的投标文件</w:t>
      </w:r>
      <w:r>
        <w:rPr>
          <w:rFonts w:hint="eastAsia" w:ascii="宋体" w:hAnsi="宋体" w:cs="宋体"/>
          <w:color w:val="000000"/>
          <w:szCs w:val="21"/>
        </w:rPr>
        <w:t>，其中正本壹份，副本叁份，并标明“正本”或“副本”字样。所有投标文件都必须在封袋密封处以显著标志密封。投标人可将投标文件正副本统一密封，也可正本和副本分别密封，并在封袋上标明正副本字样。</w:t>
      </w:r>
    </w:p>
    <w:p>
      <w:pPr>
        <w:spacing w:line="360" w:lineRule="auto"/>
        <w:ind w:firstLine="420" w:firstLineChars="200"/>
        <w:contextualSpacing/>
        <w:rPr>
          <w:rFonts w:ascii="宋体" w:hAnsi="宋体" w:cs="宋体"/>
          <w:color w:val="000000"/>
          <w:szCs w:val="21"/>
        </w:rPr>
      </w:pPr>
      <w:r>
        <w:rPr>
          <w:rFonts w:hint="eastAsia" w:ascii="宋体" w:hAnsi="宋体" w:cs="宋体"/>
          <w:color w:val="000000"/>
          <w:szCs w:val="21"/>
        </w:rPr>
        <w:t>4.1.2投标文件分为原件包、资格审查申请书、商务技术标函、价格标函四部分。原件包壹份；资格审查申请书、商务技术标函、价格标函均一式肆份，其中正本壹份、副本叁份，并分别在封面左上角标明“正本”或“副本”字样；商务技术标函内管护方案（暗标）的要求见4.1.3条款。</w:t>
      </w:r>
    </w:p>
    <w:p>
      <w:pPr>
        <w:spacing w:line="360" w:lineRule="auto"/>
        <w:ind w:firstLine="420" w:firstLineChars="200"/>
        <w:contextualSpacing/>
        <w:rPr>
          <w:rFonts w:ascii="宋体" w:hAnsi="宋体" w:cs="宋体"/>
          <w:color w:val="000000"/>
          <w:szCs w:val="21"/>
        </w:rPr>
      </w:pPr>
      <w:r>
        <w:rPr>
          <w:rFonts w:hint="eastAsia" w:ascii="宋体" w:hAnsi="宋体" w:cs="宋体"/>
          <w:color w:val="000000"/>
          <w:szCs w:val="21"/>
        </w:rPr>
        <w:t>4.1.3原件包、资格审查申请书、商务技术标函、价格标函必须分别密封，并在封袋上标明“原件包”或“资格审查申请书”或“商务技术标函”或“价格标函”，并写明招标方名称、项目名称、投标人名称。</w:t>
      </w:r>
    </w:p>
    <w:p>
      <w:pPr>
        <w:spacing w:line="360" w:lineRule="auto"/>
        <w:ind w:firstLine="420" w:firstLineChars="200"/>
        <w:contextualSpacing/>
        <w:rPr>
          <w:rFonts w:ascii="宋体" w:hAnsi="宋体" w:cs="宋体"/>
          <w:color w:val="000000"/>
          <w:szCs w:val="21"/>
        </w:rPr>
      </w:pPr>
      <w:r>
        <w:rPr>
          <w:rFonts w:hint="eastAsia" w:ascii="宋体" w:hAnsi="宋体" w:cs="宋体"/>
          <w:color w:val="000000"/>
          <w:szCs w:val="21"/>
        </w:rPr>
        <w:t>商务技术标函内的管护方案为暗标，编制时不可以有封面，也不可以标注正副本，具体格式和要求如下：</w:t>
      </w:r>
    </w:p>
    <w:p>
      <w:pPr>
        <w:spacing w:line="360" w:lineRule="auto"/>
        <w:ind w:firstLine="420" w:firstLineChars="200"/>
        <w:contextualSpacing/>
        <w:rPr>
          <w:rFonts w:ascii="宋体" w:hAnsi="宋体" w:cs="宋体"/>
          <w:color w:val="000000"/>
          <w:szCs w:val="21"/>
        </w:rPr>
      </w:pPr>
      <w:r>
        <w:rPr>
          <w:rFonts w:hint="eastAsia" w:ascii="宋体" w:hAnsi="宋体" w:cs="宋体"/>
          <w:color w:val="000000"/>
          <w:szCs w:val="21"/>
        </w:rPr>
        <w:t>①所有正文中均不得出现可识别投标人身份的任何字符和徽标（包括文字、符号、图案、标识、标志、人员姓名、企业名称、以往工程名称、投标人独有企业标准或编号等）</w:t>
      </w:r>
    </w:p>
    <w:p>
      <w:pPr>
        <w:spacing w:line="360" w:lineRule="auto"/>
        <w:ind w:firstLine="420" w:firstLineChars="200"/>
        <w:contextualSpacing/>
        <w:rPr>
          <w:rFonts w:ascii="宋体" w:hAnsi="宋体" w:cs="宋体"/>
          <w:color w:val="000000"/>
          <w:szCs w:val="21"/>
        </w:rPr>
      </w:pPr>
      <w:r>
        <w:rPr>
          <w:rFonts w:hint="eastAsia" w:ascii="宋体" w:hAnsi="宋体" w:cs="宋体"/>
          <w:color w:val="000000"/>
          <w:szCs w:val="21"/>
        </w:rPr>
        <w:t>②排版要求：应使用WORD文件形式；A4页面黑白版面；仿宋字体、标题三号字、其它四号；行距固定值28磅；页边距（上2.5厘米，其余为2.0厘米）；不得有任何加粗、斜体、下划线、边框、底纹、阴影、重复序号等标记；不允许出现页眉；页脚只准出现页码，采用阿拉伯数字格式，设在页脚对中位置，页码应当连续，不得分章或节单独编码；暗标编制不得出现图片，如有表格一律用 A4 页面，表中字体用宋体字，字号不作限制。（纸质标书的话A4白色复印纸70g，不允许使用彩色打印；投标文件装订须左侧装订）</w:t>
      </w:r>
    </w:p>
    <w:p>
      <w:pPr>
        <w:spacing w:line="360" w:lineRule="auto"/>
        <w:ind w:firstLine="420" w:firstLineChars="200"/>
        <w:contextualSpacing/>
        <w:rPr>
          <w:rFonts w:ascii="宋体" w:hAnsi="宋体" w:cs="宋体"/>
          <w:color w:val="000000"/>
          <w:szCs w:val="21"/>
        </w:rPr>
      </w:pPr>
      <w:r>
        <w:rPr>
          <w:rFonts w:hint="eastAsia" w:ascii="宋体" w:hAnsi="宋体" w:cs="宋体"/>
          <w:color w:val="000000"/>
          <w:szCs w:val="21"/>
        </w:rPr>
        <w:t>4.1.4投标人未按上述规定提交投标文件，其投标文件将被拒绝，并退还给投标人。</w:t>
      </w:r>
    </w:p>
    <w:p>
      <w:pPr>
        <w:spacing w:line="360" w:lineRule="auto"/>
        <w:ind w:firstLine="420" w:firstLineChars="200"/>
        <w:contextualSpacing/>
        <w:rPr>
          <w:rFonts w:ascii="宋体" w:hAnsi="宋体" w:cs="宋体"/>
          <w:color w:val="000000"/>
          <w:szCs w:val="21"/>
        </w:rPr>
      </w:pPr>
      <w:r>
        <w:rPr>
          <w:rFonts w:hint="eastAsia" w:ascii="宋体" w:hAnsi="宋体" w:cs="宋体"/>
          <w:color w:val="000000"/>
          <w:szCs w:val="21"/>
        </w:rPr>
        <w:t>4.1.5投标文件正、副本不一致时，以正本为准。</w:t>
      </w:r>
    </w:p>
    <w:p>
      <w:pPr>
        <w:keepNext/>
        <w:keepLines/>
        <w:spacing w:line="360" w:lineRule="auto"/>
        <w:contextualSpacing/>
        <w:outlineLvl w:val="2"/>
        <w:rPr>
          <w:rFonts w:ascii="宋体" w:hAnsi="宋体" w:cs="宋体"/>
          <w:b/>
          <w:bCs/>
          <w:color w:val="000000"/>
          <w:szCs w:val="21"/>
        </w:rPr>
      </w:pPr>
      <w:r>
        <w:rPr>
          <w:rFonts w:hint="eastAsia" w:ascii="宋体" w:hAnsi="宋体" w:cs="宋体"/>
          <w:b/>
          <w:bCs/>
          <w:color w:val="000000"/>
          <w:szCs w:val="21"/>
        </w:rPr>
        <w:t>4.2投标文件的递交</w:t>
      </w:r>
    </w:p>
    <w:p>
      <w:pPr>
        <w:spacing w:line="360" w:lineRule="auto"/>
        <w:ind w:firstLine="420" w:firstLineChars="200"/>
        <w:contextualSpacing/>
        <w:rPr>
          <w:rFonts w:ascii="宋体" w:hAnsi="宋体" w:cs="宋体"/>
          <w:color w:val="000000"/>
          <w:szCs w:val="21"/>
        </w:rPr>
      </w:pPr>
      <w:r>
        <w:rPr>
          <w:rFonts w:hint="eastAsia" w:ascii="宋体" w:hAnsi="宋体" w:cs="宋体"/>
          <w:color w:val="000000"/>
          <w:szCs w:val="21"/>
        </w:rPr>
        <w:t>4.2.1投标人递交投标文件时，投标人的法定代表人或其授权委托人必须携带本人身份证原件、授权委托书原件（如有授权）准时参加开标。否则，其投标文件不予受理。</w:t>
      </w:r>
    </w:p>
    <w:p>
      <w:pPr>
        <w:spacing w:line="360" w:lineRule="auto"/>
        <w:ind w:firstLine="420" w:firstLineChars="200"/>
        <w:contextualSpacing/>
        <w:rPr>
          <w:rFonts w:ascii="宋体" w:hAnsi="宋体" w:cs="宋体"/>
          <w:color w:val="000000"/>
          <w:szCs w:val="21"/>
        </w:rPr>
      </w:pPr>
      <w:r>
        <w:rPr>
          <w:rFonts w:hint="eastAsia" w:ascii="宋体" w:hAnsi="宋体" w:cs="宋体"/>
          <w:color w:val="000000"/>
          <w:szCs w:val="21"/>
        </w:rPr>
        <w:t>4.2.2投标人应在投标人须知前附表规定的投标文件递交截止时间之前完成投标文件的递交。招标方延长递交投标文件截止时间的，招标方与投标人在原招标截止期的全部权利、义务、责任将适用于延长后新的招标截止期。</w:t>
      </w:r>
    </w:p>
    <w:p>
      <w:pPr>
        <w:spacing w:line="360" w:lineRule="auto"/>
        <w:ind w:firstLine="420" w:firstLineChars="200"/>
        <w:contextualSpacing/>
        <w:rPr>
          <w:rFonts w:ascii="宋体" w:hAnsi="宋体" w:cs="宋体"/>
          <w:color w:val="000000"/>
          <w:szCs w:val="21"/>
        </w:rPr>
      </w:pPr>
      <w:r>
        <w:rPr>
          <w:rFonts w:hint="eastAsia" w:ascii="宋体" w:hAnsi="宋体" w:cs="宋体"/>
          <w:color w:val="000000"/>
          <w:szCs w:val="21"/>
        </w:rPr>
        <w:t>4.2.3投标文件接收时间：</w:t>
      </w:r>
      <w:r>
        <w:rPr>
          <w:rFonts w:hint="eastAsia" w:ascii="宋体" w:hAnsi="宋体" w:cs="宋体"/>
          <w:b/>
          <w:color w:val="0000FF"/>
          <w:szCs w:val="21"/>
        </w:rPr>
        <w:t>截止时间2025年10月2</w:t>
      </w:r>
      <w:r>
        <w:rPr>
          <w:rFonts w:hint="eastAsia" w:ascii="宋体" w:hAnsi="宋体" w:cs="宋体"/>
          <w:b/>
          <w:color w:val="0000FF"/>
          <w:szCs w:val="21"/>
          <w:lang w:val="en-US" w:eastAsia="zh-CN"/>
        </w:rPr>
        <w:t>3</w:t>
      </w:r>
      <w:r>
        <w:rPr>
          <w:rFonts w:hint="eastAsia" w:ascii="宋体" w:hAnsi="宋体" w:cs="宋体"/>
          <w:b/>
          <w:color w:val="0000FF"/>
          <w:szCs w:val="21"/>
        </w:rPr>
        <w:t>日周</w:t>
      </w:r>
      <w:r>
        <w:rPr>
          <w:rFonts w:hint="eastAsia" w:ascii="宋体" w:hAnsi="宋体" w:cs="宋体"/>
          <w:b/>
          <w:color w:val="0000FF"/>
          <w:szCs w:val="21"/>
          <w:lang w:val="en-US" w:eastAsia="zh-CN"/>
        </w:rPr>
        <w:t>四</w:t>
      </w:r>
      <w:bookmarkStart w:id="157" w:name="_GoBack"/>
      <w:bookmarkEnd w:id="157"/>
      <w:r>
        <w:rPr>
          <w:rFonts w:hint="eastAsia" w:ascii="宋体" w:hAnsi="宋体" w:cs="宋体"/>
          <w:b/>
          <w:color w:val="0000FF"/>
          <w:szCs w:val="21"/>
        </w:rPr>
        <w:t>下午14:00之前</w:t>
      </w:r>
      <w:r>
        <w:rPr>
          <w:rFonts w:hint="eastAsia" w:ascii="宋体" w:hAnsi="宋体" w:cs="宋体"/>
          <w:color w:val="000000"/>
          <w:szCs w:val="21"/>
        </w:rPr>
        <w:t>。超过招标截止时间视为逾期送达。</w:t>
      </w:r>
    </w:p>
    <w:p>
      <w:pPr>
        <w:spacing w:line="360" w:lineRule="auto"/>
        <w:ind w:firstLine="420" w:firstLineChars="200"/>
        <w:contextualSpacing/>
        <w:rPr>
          <w:rFonts w:ascii="宋体" w:hAnsi="宋体" w:cs="宋体"/>
          <w:color w:val="000000"/>
          <w:szCs w:val="21"/>
        </w:rPr>
      </w:pPr>
      <w:r>
        <w:rPr>
          <w:rFonts w:hint="eastAsia" w:ascii="宋体" w:hAnsi="宋体" w:cs="宋体"/>
          <w:color w:val="000000"/>
          <w:szCs w:val="21"/>
        </w:rPr>
        <w:t>4.2.4所有投标文件的密封袋处均应加盖投标人公章及法定代表人印章。</w:t>
      </w:r>
    </w:p>
    <w:p>
      <w:pPr>
        <w:keepNext/>
        <w:keepLines/>
        <w:spacing w:line="360" w:lineRule="auto"/>
        <w:contextualSpacing/>
        <w:outlineLvl w:val="2"/>
        <w:rPr>
          <w:rFonts w:ascii="宋体" w:hAnsi="宋体" w:cs="宋体"/>
          <w:b/>
          <w:bCs/>
          <w:color w:val="000000"/>
          <w:szCs w:val="21"/>
        </w:rPr>
      </w:pPr>
      <w:r>
        <w:rPr>
          <w:rFonts w:hint="eastAsia" w:ascii="宋体" w:hAnsi="宋体" w:cs="宋体"/>
          <w:b/>
          <w:bCs/>
          <w:color w:val="000000"/>
          <w:szCs w:val="21"/>
        </w:rPr>
        <w:t>4.3投标文件的修改与撤回</w:t>
      </w:r>
    </w:p>
    <w:p>
      <w:pPr>
        <w:spacing w:line="360" w:lineRule="auto"/>
        <w:ind w:firstLine="420" w:firstLineChars="200"/>
        <w:contextualSpacing/>
        <w:rPr>
          <w:rFonts w:ascii="宋体" w:hAnsi="宋体" w:cs="宋体"/>
          <w:color w:val="000000"/>
          <w:szCs w:val="21"/>
        </w:rPr>
      </w:pPr>
      <w:r>
        <w:rPr>
          <w:rFonts w:hint="eastAsia" w:ascii="宋体" w:hAnsi="宋体" w:cs="宋体"/>
          <w:color w:val="000000"/>
          <w:szCs w:val="21"/>
        </w:rPr>
        <w:t>4.3.1在规定的招标截止时间前，投标方可以多次修改或撤回已递交的投标文件，最终投标文件以招标截止时间前完成送达至招标单位最后一份投标文件为准。</w:t>
      </w:r>
    </w:p>
    <w:p>
      <w:pPr>
        <w:spacing w:line="360" w:lineRule="auto"/>
        <w:ind w:firstLine="420" w:firstLineChars="200"/>
        <w:contextualSpacing/>
        <w:rPr>
          <w:rFonts w:ascii="宋体" w:hAnsi="宋体" w:cs="宋体"/>
          <w:color w:val="000000"/>
          <w:szCs w:val="21"/>
        </w:rPr>
      </w:pPr>
      <w:r>
        <w:rPr>
          <w:rFonts w:hint="eastAsia" w:ascii="宋体" w:hAnsi="宋体" w:cs="宋体"/>
          <w:color w:val="000000"/>
          <w:szCs w:val="21"/>
        </w:rPr>
        <w:t>4.3.2招标截止时间之后，投标人不得修改或撤回投标文件。</w:t>
      </w:r>
    </w:p>
    <w:p>
      <w:pPr>
        <w:spacing w:line="360" w:lineRule="auto"/>
        <w:ind w:firstLine="420" w:firstLineChars="200"/>
        <w:rPr>
          <w:rFonts w:ascii="宋体" w:hAnsi="宋体" w:cs="宋体"/>
          <w:szCs w:val="21"/>
        </w:rPr>
      </w:pPr>
      <w:r>
        <w:rPr>
          <w:rFonts w:hint="eastAsia" w:ascii="宋体" w:hAnsi="宋体" w:cs="宋体"/>
          <w:color w:val="000000"/>
          <w:szCs w:val="21"/>
        </w:rPr>
        <w:t>3、招标截止时间之后，在招标有效期内，投标人不得撤回投标文件，否则投标保证金将被没收。</w:t>
      </w:r>
    </w:p>
    <w:p>
      <w:pPr>
        <w:keepNext/>
        <w:keepLines/>
        <w:spacing w:before="60" w:after="60" w:line="360" w:lineRule="auto"/>
        <w:outlineLvl w:val="1"/>
        <w:rPr>
          <w:rFonts w:ascii="宋体" w:hAnsi="宋体" w:cs="宋体"/>
          <w:b/>
          <w:bCs/>
          <w:szCs w:val="21"/>
        </w:rPr>
      </w:pPr>
      <w:r>
        <w:rPr>
          <w:rFonts w:hint="eastAsia" w:ascii="宋体" w:hAnsi="宋体" w:cs="宋体"/>
          <w:b/>
          <w:bCs/>
          <w:szCs w:val="21"/>
        </w:rPr>
        <w:t>5 开标</w:t>
      </w:r>
      <w:bookmarkEnd w:id="79"/>
      <w:bookmarkEnd w:id="80"/>
    </w:p>
    <w:p>
      <w:pPr>
        <w:keepNext/>
        <w:keepLines/>
        <w:spacing w:line="360" w:lineRule="auto"/>
        <w:outlineLvl w:val="2"/>
        <w:rPr>
          <w:rFonts w:ascii="宋体" w:hAnsi="宋体" w:cs="宋体"/>
          <w:b/>
          <w:bCs/>
          <w:szCs w:val="21"/>
        </w:rPr>
      </w:pPr>
      <w:bookmarkStart w:id="81" w:name="_Toc389065174"/>
      <w:bookmarkStart w:id="82" w:name="_Toc535487114"/>
      <w:r>
        <w:rPr>
          <w:rFonts w:hint="eastAsia" w:ascii="宋体" w:hAnsi="宋体" w:cs="宋体"/>
          <w:b/>
          <w:bCs/>
          <w:szCs w:val="21"/>
        </w:rPr>
        <w:t>5.1 开标时间、地点</w:t>
      </w:r>
      <w:bookmarkEnd w:id="81"/>
      <w:r>
        <w:rPr>
          <w:rFonts w:hint="eastAsia" w:ascii="宋体" w:hAnsi="宋体" w:cs="宋体"/>
          <w:b/>
          <w:bCs/>
          <w:szCs w:val="21"/>
        </w:rPr>
        <w:t>和投标人参会代表</w:t>
      </w:r>
      <w:bookmarkEnd w:id="82"/>
    </w:p>
    <w:p>
      <w:pPr>
        <w:spacing w:line="360" w:lineRule="auto"/>
        <w:ind w:firstLine="420" w:firstLineChars="200"/>
        <w:rPr>
          <w:rFonts w:ascii="宋体" w:hAnsi="宋体" w:cs="宋体"/>
          <w:szCs w:val="21"/>
        </w:rPr>
      </w:pPr>
      <w:r>
        <w:rPr>
          <w:rFonts w:hint="eastAsia" w:ascii="宋体" w:hAnsi="宋体" w:cs="宋体"/>
          <w:szCs w:val="21"/>
        </w:rPr>
        <w:t>5.1.1招标人在投标人须知前附表规定的时间和地点公开开标；</w:t>
      </w:r>
    </w:p>
    <w:p>
      <w:pPr>
        <w:spacing w:line="360" w:lineRule="auto"/>
        <w:ind w:firstLine="420" w:firstLineChars="200"/>
        <w:rPr>
          <w:rFonts w:ascii="宋体" w:hAnsi="宋体" w:cs="宋体"/>
          <w:szCs w:val="21"/>
        </w:rPr>
      </w:pPr>
      <w:r>
        <w:rPr>
          <w:rFonts w:hint="eastAsia" w:ascii="宋体" w:hAnsi="宋体" w:cs="宋体"/>
          <w:szCs w:val="21"/>
        </w:rPr>
        <w:t>5.1.2参加开标会的投标人代表的要求见投标人须知前附表。未按要求派相关人员参加开标的，其投标将被拒绝。</w:t>
      </w:r>
    </w:p>
    <w:p>
      <w:pPr>
        <w:keepNext/>
        <w:keepLines/>
        <w:spacing w:line="360" w:lineRule="auto"/>
        <w:outlineLvl w:val="2"/>
        <w:rPr>
          <w:rFonts w:ascii="宋体" w:hAnsi="宋体" w:cs="宋体"/>
          <w:b/>
          <w:bCs/>
          <w:szCs w:val="21"/>
        </w:rPr>
      </w:pPr>
      <w:bookmarkStart w:id="83" w:name="_Toc535487115"/>
      <w:bookmarkStart w:id="84" w:name="_Toc389065175"/>
      <w:r>
        <w:rPr>
          <w:rFonts w:hint="eastAsia" w:ascii="宋体" w:hAnsi="宋体" w:cs="宋体"/>
          <w:b/>
          <w:bCs/>
          <w:szCs w:val="21"/>
        </w:rPr>
        <w:t>5.2 开标程序</w:t>
      </w:r>
      <w:bookmarkEnd w:id="83"/>
      <w:bookmarkEnd w:id="84"/>
    </w:p>
    <w:p>
      <w:pPr>
        <w:spacing w:line="360" w:lineRule="auto"/>
        <w:ind w:firstLine="420" w:firstLineChars="200"/>
        <w:rPr>
          <w:rFonts w:ascii="宋体" w:hAnsi="宋体" w:cs="宋体"/>
          <w:szCs w:val="21"/>
        </w:rPr>
      </w:pPr>
      <w:bookmarkStart w:id="85" w:name="_Toc389065176"/>
      <w:r>
        <w:rPr>
          <w:rFonts w:hint="eastAsia" w:ascii="宋体" w:hAnsi="宋体" w:cs="宋体"/>
          <w:szCs w:val="21"/>
        </w:rPr>
        <w:t>5.2.1开标程序见投标人须知前附表。</w:t>
      </w:r>
    </w:p>
    <w:p>
      <w:pPr>
        <w:spacing w:line="360" w:lineRule="auto"/>
        <w:ind w:firstLine="420" w:firstLineChars="200"/>
        <w:rPr>
          <w:rFonts w:ascii="宋体" w:hAnsi="宋体" w:cs="宋体"/>
          <w:color w:val="FF0000"/>
          <w:szCs w:val="21"/>
        </w:rPr>
      </w:pPr>
      <w:r>
        <w:rPr>
          <w:rFonts w:hint="eastAsia" w:ascii="宋体" w:hAnsi="宋体" w:cs="宋体"/>
          <w:szCs w:val="21"/>
        </w:rPr>
        <w:t>5.2.2每个投标人应在“投标人须知前附表”规定的时</w:t>
      </w:r>
      <w:r>
        <w:rPr>
          <w:rFonts w:hint="eastAsia" w:ascii="宋体" w:hAnsi="宋体" w:cs="宋体"/>
          <w:color w:val="000000" w:themeColor="text1"/>
          <w:szCs w:val="21"/>
        </w:rPr>
        <w:t>间内完成投标文件提交。</w:t>
      </w:r>
    </w:p>
    <w:p>
      <w:pPr>
        <w:keepNext/>
        <w:keepLines/>
        <w:spacing w:line="360" w:lineRule="auto"/>
        <w:outlineLvl w:val="2"/>
        <w:rPr>
          <w:rFonts w:ascii="宋体" w:hAnsi="宋体" w:cs="宋体"/>
          <w:b/>
          <w:bCs/>
          <w:szCs w:val="21"/>
        </w:rPr>
      </w:pPr>
      <w:bookmarkStart w:id="86" w:name="_Toc535487116"/>
      <w:r>
        <w:rPr>
          <w:rFonts w:hint="eastAsia" w:ascii="宋体" w:hAnsi="宋体" w:cs="宋体"/>
          <w:b/>
          <w:bCs/>
          <w:szCs w:val="21"/>
        </w:rPr>
        <w:t>5.3 特殊情况处理</w:t>
      </w:r>
      <w:bookmarkEnd w:id="86"/>
    </w:p>
    <w:p>
      <w:pPr>
        <w:spacing w:line="360" w:lineRule="auto"/>
        <w:ind w:firstLine="420" w:firstLineChars="200"/>
        <w:rPr>
          <w:rFonts w:ascii="宋体" w:hAnsi="宋体" w:cs="宋体"/>
          <w:szCs w:val="21"/>
        </w:rPr>
      </w:pPr>
      <w:r>
        <w:rPr>
          <w:rFonts w:hint="eastAsia" w:ascii="宋体" w:hAnsi="宋体" w:cs="宋体"/>
          <w:szCs w:val="21"/>
        </w:rPr>
        <w:t>5.3.2投标人对开标有异议的，应当在开标现场提出，招标人当场予以答复。</w:t>
      </w:r>
      <w:bookmarkEnd w:id="85"/>
      <w:bookmarkStart w:id="87" w:name="_Toc389065177"/>
    </w:p>
    <w:p>
      <w:pPr>
        <w:keepNext/>
        <w:keepLines/>
        <w:spacing w:before="60" w:after="60" w:line="360" w:lineRule="auto"/>
        <w:outlineLvl w:val="1"/>
        <w:rPr>
          <w:rFonts w:ascii="宋体" w:hAnsi="宋体" w:cs="宋体"/>
          <w:b/>
          <w:bCs/>
          <w:szCs w:val="21"/>
        </w:rPr>
      </w:pPr>
      <w:bookmarkStart w:id="88" w:name="_Toc535487117"/>
      <w:r>
        <w:rPr>
          <w:rFonts w:hint="eastAsia" w:ascii="宋体" w:hAnsi="宋体" w:cs="宋体"/>
          <w:b/>
          <w:bCs/>
          <w:szCs w:val="21"/>
        </w:rPr>
        <w:t>6 评标</w:t>
      </w:r>
      <w:bookmarkEnd w:id="87"/>
      <w:bookmarkEnd w:id="88"/>
    </w:p>
    <w:p>
      <w:pPr>
        <w:keepNext/>
        <w:keepLines/>
        <w:spacing w:line="360" w:lineRule="auto"/>
        <w:outlineLvl w:val="2"/>
        <w:rPr>
          <w:rFonts w:ascii="宋体" w:hAnsi="宋体" w:cs="宋体"/>
          <w:b/>
          <w:bCs/>
          <w:szCs w:val="21"/>
        </w:rPr>
      </w:pPr>
      <w:bookmarkStart w:id="89" w:name="_Toc535487118"/>
      <w:bookmarkStart w:id="90" w:name="_Toc389065178"/>
      <w:r>
        <w:rPr>
          <w:rFonts w:hint="eastAsia" w:ascii="宋体" w:hAnsi="宋体" w:cs="宋体"/>
          <w:b/>
          <w:bCs/>
          <w:szCs w:val="21"/>
        </w:rPr>
        <w:t>6.1 评标委员会</w:t>
      </w:r>
      <w:bookmarkEnd w:id="89"/>
      <w:bookmarkEnd w:id="90"/>
    </w:p>
    <w:p>
      <w:pPr>
        <w:spacing w:line="360" w:lineRule="auto"/>
        <w:ind w:firstLine="420" w:firstLineChars="200"/>
        <w:rPr>
          <w:rFonts w:ascii="宋体" w:hAnsi="宋体" w:cs="宋体"/>
          <w:szCs w:val="21"/>
        </w:rPr>
      </w:pPr>
      <w:r>
        <w:rPr>
          <w:rFonts w:hint="eastAsia" w:ascii="宋体" w:hAnsi="宋体" w:cs="宋体"/>
          <w:szCs w:val="21"/>
        </w:rPr>
        <w:t>6.1.1 评标由招标人依法组建的评标委员会负责。评标委员会成员人数以及技术、经济等方面专家的确定方式见“投标人须知前附表”。</w:t>
      </w:r>
    </w:p>
    <w:p>
      <w:pPr>
        <w:spacing w:line="360" w:lineRule="auto"/>
        <w:ind w:firstLine="420" w:firstLineChars="200"/>
        <w:rPr>
          <w:rFonts w:ascii="宋体" w:hAnsi="宋体" w:cs="宋体"/>
          <w:szCs w:val="21"/>
        </w:rPr>
      </w:pPr>
      <w:r>
        <w:rPr>
          <w:rFonts w:hint="eastAsia" w:ascii="宋体" w:hAnsi="宋体" w:cs="宋体"/>
          <w:szCs w:val="21"/>
        </w:rPr>
        <w:t>6.1.2 评标委员会成员有下列情形之一的，应当回避：</w:t>
      </w:r>
      <w:bookmarkStart w:id="91" w:name="_Toc389065179"/>
    </w:p>
    <w:p>
      <w:pPr>
        <w:spacing w:line="360" w:lineRule="auto"/>
        <w:ind w:firstLine="420" w:firstLineChars="200"/>
        <w:rPr>
          <w:rFonts w:ascii="宋体" w:hAnsi="宋体" w:cs="宋体"/>
          <w:szCs w:val="21"/>
        </w:rPr>
      </w:pPr>
      <w:r>
        <w:rPr>
          <w:rFonts w:hint="eastAsia" w:ascii="宋体" w:hAnsi="宋体" w:cs="宋体"/>
          <w:szCs w:val="21"/>
        </w:rPr>
        <w:t>（1）投标人或投标人的主要负责人的近亲属；</w:t>
      </w:r>
    </w:p>
    <w:p>
      <w:pPr>
        <w:spacing w:line="360" w:lineRule="auto"/>
        <w:ind w:firstLine="420" w:firstLineChars="200"/>
        <w:rPr>
          <w:rFonts w:ascii="宋体" w:hAnsi="宋体" w:cs="宋体"/>
          <w:szCs w:val="21"/>
        </w:rPr>
      </w:pPr>
      <w:r>
        <w:rPr>
          <w:rFonts w:hint="eastAsia" w:ascii="宋体" w:hAnsi="宋体" w:cs="宋体"/>
          <w:szCs w:val="21"/>
        </w:rPr>
        <w:t>（2）项目主管部门或者行政监督部门的人员；</w:t>
      </w:r>
    </w:p>
    <w:p>
      <w:pPr>
        <w:spacing w:line="360" w:lineRule="auto"/>
        <w:ind w:firstLine="420" w:firstLineChars="200"/>
        <w:rPr>
          <w:rFonts w:ascii="宋体" w:hAnsi="宋体" w:cs="宋体"/>
          <w:szCs w:val="21"/>
        </w:rPr>
      </w:pPr>
      <w:r>
        <w:rPr>
          <w:rFonts w:hint="eastAsia" w:ascii="宋体" w:hAnsi="宋体" w:cs="宋体"/>
          <w:szCs w:val="21"/>
        </w:rPr>
        <w:t>（3）与投标人有经济利益关系，可能影响对投标公正评审的；</w:t>
      </w:r>
    </w:p>
    <w:p>
      <w:pPr>
        <w:spacing w:line="360" w:lineRule="auto"/>
        <w:ind w:firstLine="420" w:firstLineChars="200"/>
        <w:rPr>
          <w:rFonts w:ascii="宋体" w:hAnsi="宋体" w:cs="宋体"/>
          <w:szCs w:val="21"/>
        </w:rPr>
      </w:pPr>
      <w:r>
        <w:rPr>
          <w:rFonts w:hint="eastAsia" w:ascii="宋体" w:hAnsi="宋体" w:cs="宋体"/>
          <w:szCs w:val="21"/>
        </w:rPr>
        <w:t>（4）曾因在招标、评标以及其他与招标投标有关活动中从事违法行为而受过行政处罚或刑事处罚的。</w:t>
      </w:r>
    </w:p>
    <w:p>
      <w:pPr>
        <w:keepNext/>
        <w:keepLines/>
        <w:spacing w:line="360" w:lineRule="auto"/>
        <w:outlineLvl w:val="2"/>
        <w:rPr>
          <w:rFonts w:ascii="宋体" w:hAnsi="宋体" w:cs="宋体"/>
          <w:b/>
          <w:bCs/>
          <w:szCs w:val="21"/>
        </w:rPr>
      </w:pPr>
      <w:bookmarkStart w:id="92" w:name="_Toc535487119"/>
      <w:r>
        <w:rPr>
          <w:rFonts w:hint="eastAsia" w:ascii="宋体" w:hAnsi="宋体" w:cs="宋体"/>
          <w:b/>
          <w:bCs/>
          <w:szCs w:val="21"/>
        </w:rPr>
        <w:t>6.2 评标原则</w:t>
      </w:r>
      <w:bookmarkEnd w:id="91"/>
      <w:bookmarkEnd w:id="92"/>
    </w:p>
    <w:p>
      <w:pPr>
        <w:spacing w:line="360" w:lineRule="auto"/>
        <w:ind w:firstLine="420" w:firstLineChars="200"/>
        <w:rPr>
          <w:rFonts w:ascii="宋体" w:hAnsi="宋体" w:cs="宋体"/>
          <w:szCs w:val="21"/>
        </w:rPr>
      </w:pPr>
      <w:r>
        <w:rPr>
          <w:rFonts w:hint="eastAsia" w:ascii="宋体" w:hAnsi="宋体" w:cs="宋体"/>
          <w:szCs w:val="21"/>
        </w:rPr>
        <w:t>评标活动遵循公平、公正、科学和择优的原则。</w:t>
      </w:r>
    </w:p>
    <w:p>
      <w:pPr>
        <w:keepNext/>
        <w:keepLines/>
        <w:spacing w:line="360" w:lineRule="auto"/>
        <w:outlineLvl w:val="2"/>
        <w:rPr>
          <w:rFonts w:ascii="宋体" w:hAnsi="宋体" w:cs="宋体"/>
          <w:b/>
          <w:bCs/>
          <w:szCs w:val="21"/>
        </w:rPr>
      </w:pPr>
      <w:bookmarkStart w:id="93" w:name="_Toc535487120"/>
      <w:bookmarkStart w:id="94" w:name="_Toc389065180"/>
      <w:r>
        <w:rPr>
          <w:rFonts w:hint="eastAsia" w:ascii="宋体" w:hAnsi="宋体" w:cs="宋体"/>
          <w:b/>
          <w:bCs/>
          <w:szCs w:val="21"/>
        </w:rPr>
        <w:t>6.3 评标</w:t>
      </w:r>
      <w:bookmarkEnd w:id="93"/>
      <w:bookmarkEnd w:id="94"/>
    </w:p>
    <w:p>
      <w:pPr>
        <w:spacing w:line="360" w:lineRule="auto"/>
        <w:ind w:firstLine="420" w:firstLineChars="200"/>
        <w:rPr>
          <w:rFonts w:ascii="宋体" w:hAnsi="宋体" w:cs="宋体"/>
          <w:szCs w:val="21"/>
        </w:rPr>
      </w:pPr>
      <w:r>
        <w:rPr>
          <w:rFonts w:hint="eastAsia" w:ascii="宋体" w:hAnsi="宋体" w:cs="宋体"/>
          <w:szCs w:val="21"/>
        </w:rPr>
        <w:t>评标委员会按照第三章“评标办法”规定的方法、评审因素、标准和程序对投标文件进行评审。第三章“评标办法”没有规定的方法、评审因素和标准，不作为评标依据。</w:t>
      </w:r>
      <w:bookmarkStart w:id="95" w:name="_Toc389065184"/>
    </w:p>
    <w:p>
      <w:pPr>
        <w:keepNext/>
        <w:keepLines/>
        <w:spacing w:line="360" w:lineRule="auto"/>
        <w:outlineLvl w:val="2"/>
        <w:rPr>
          <w:rFonts w:ascii="宋体" w:hAnsi="宋体" w:cs="宋体"/>
          <w:b/>
          <w:bCs/>
          <w:szCs w:val="21"/>
        </w:rPr>
      </w:pPr>
      <w:bookmarkStart w:id="96" w:name="_Toc535487121"/>
      <w:bookmarkStart w:id="97" w:name="_Toc389065183"/>
      <w:r>
        <w:rPr>
          <w:rFonts w:hint="eastAsia" w:ascii="宋体" w:hAnsi="宋体" w:cs="宋体"/>
          <w:b/>
          <w:bCs/>
          <w:szCs w:val="21"/>
        </w:rPr>
        <w:t>6.4 评标结果公示</w:t>
      </w:r>
      <w:bookmarkEnd w:id="96"/>
      <w:bookmarkEnd w:id="97"/>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szCs w:val="21"/>
        </w:rPr>
        <w:t>6.4.1</w:t>
      </w:r>
      <w:r>
        <w:rPr>
          <w:rFonts w:hint="eastAsia" w:ascii="宋体" w:hAnsi="宋体" w:cs="宋体"/>
          <w:kern w:val="0"/>
          <w:szCs w:val="21"/>
        </w:rPr>
        <w:t>招标人在收到评标报告后在招标公告相同的发布媒介上对评标结果进行公示，公示期不少于3日。</w:t>
      </w:r>
    </w:p>
    <w:p>
      <w:pPr>
        <w:spacing w:line="360" w:lineRule="auto"/>
        <w:ind w:firstLine="420" w:firstLineChars="200"/>
        <w:rPr>
          <w:rFonts w:ascii="宋体" w:hAnsi="宋体" w:cs="宋体"/>
          <w:szCs w:val="21"/>
        </w:rPr>
      </w:pPr>
      <w:r>
        <w:rPr>
          <w:rFonts w:hint="eastAsia" w:ascii="宋体" w:hAnsi="宋体" w:cs="宋体"/>
          <w:szCs w:val="21"/>
        </w:rPr>
        <w:t>6.4.2</w:t>
      </w:r>
      <w:r>
        <w:rPr>
          <w:rFonts w:hint="eastAsia" w:ascii="宋体" w:hAnsi="宋体" w:cs="宋体"/>
          <w:kern w:val="0"/>
          <w:szCs w:val="21"/>
        </w:rPr>
        <w:t>投标人或者其他利害关系人对评标结果有异议的，应当在中标候选人公示期间以书面形式提出。招标人将在收到异议之日起3日内作出答复；作出答复前，将暂停招标投标活动。</w:t>
      </w:r>
    </w:p>
    <w:p>
      <w:pPr>
        <w:keepNext/>
        <w:keepLines/>
        <w:spacing w:before="60" w:after="60" w:line="360" w:lineRule="auto"/>
        <w:outlineLvl w:val="1"/>
        <w:rPr>
          <w:rFonts w:ascii="宋体" w:hAnsi="宋体" w:cs="宋体"/>
          <w:b/>
          <w:bCs/>
          <w:szCs w:val="21"/>
        </w:rPr>
      </w:pPr>
      <w:bookmarkStart w:id="98" w:name="_Toc535487122"/>
      <w:r>
        <w:rPr>
          <w:rFonts w:hint="eastAsia" w:ascii="宋体" w:hAnsi="宋体" w:cs="宋体"/>
          <w:b/>
          <w:bCs/>
          <w:szCs w:val="21"/>
        </w:rPr>
        <w:t>7 合同授予</w:t>
      </w:r>
      <w:bookmarkEnd w:id="95"/>
      <w:bookmarkEnd w:id="98"/>
    </w:p>
    <w:p>
      <w:pPr>
        <w:keepNext/>
        <w:keepLines/>
        <w:spacing w:line="360" w:lineRule="auto"/>
        <w:outlineLvl w:val="2"/>
        <w:rPr>
          <w:rFonts w:ascii="宋体" w:hAnsi="宋体" w:cs="宋体"/>
          <w:b/>
          <w:bCs/>
          <w:szCs w:val="21"/>
        </w:rPr>
      </w:pPr>
      <w:bookmarkStart w:id="99" w:name="_Toc389065185"/>
      <w:bookmarkStart w:id="100" w:name="_Toc535487123"/>
      <w:r>
        <w:rPr>
          <w:rFonts w:hint="eastAsia" w:ascii="宋体" w:hAnsi="宋体" w:cs="宋体"/>
          <w:b/>
          <w:bCs/>
          <w:szCs w:val="21"/>
        </w:rPr>
        <w:t>7.1 定标方式</w:t>
      </w:r>
      <w:bookmarkEnd w:id="99"/>
      <w:bookmarkEnd w:id="100"/>
    </w:p>
    <w:p>
      <w:pPr>
        <w:spacing w:line="360" w:lineRule="auto"/>
        <w:ind w:firstLine="420" w:firstLineChars="200"/>
        <w:rPr>
          <w:rFonts w:ascii="宋体" w:hAnsi="宋体" w:cs="宋体"/>
          <w:szCs w:val="21"/>
        </w:rPr>
      </w:pPr>
      <w:r>
        <w:rPr>
          <w:rFonts w:hint="eastAsia" w:ascii="宋体" w:hAnsi="宋体" w:cs="宋体"/>
          <w:szCs w:val="21"/>
        </w:rPr>
        <w:t>除“投标人须知前附表”规定评标委员会直接确定中标人外，招标人依据评标委员会推荐的中标候选人确定中标人，评标委员会推荐中标候选人的人数见“投标人须知前附表”。</w:t>
      </w:r>
    </w:p>
    <w:p>
      <w:pPr>
        <w:keepNext/>
        <w:keepLines/>
        <w:spacing w:line="360" w:lineRule="auto"/>
        <w:outlineLvl w:val="2"/>
        <w:rPr>
          <w:rFonts w:ascii="宋体" w:hAnsi="宋体" w:cs="宋体"/>
          <w:b/>
          <w:bCs/>
          <w:szCs w:val="21"/>
        </w:rPr>
      </w:pPr>
      <w:bookmarkStart w:id="101" w:name="_Toc389065186"/>
      <w:bookmarkStart w:id="102" w:name="_Toc535487124"/>
      <w:r>
        <w:rPr>
          <w:rFonts w:hint="eastAsia" w:ascii="宋体" w:hAnsi="宋体" w:cs="宋体"/>
          <w:b/>
          <w:bCs/>
          <w:szCs w:val="21"/>
        </w:rPr>
        <w:t>7.2 中标通知</w:t>
      </w:r>
      <w:bookmarkEnd w:id="101"/>
      <w:r>
        <w:rPr>
          <w:rFonts w:hint="eastAsia" w:ascii="宋体" w:hAnsi="宋体" w:cs="宋体"/>
          <w:b/>
          <w:bCs/>
          <w:szCs w:val="21"/>
        </w:rPr>
        <w:t>及中标结果公告</w:t>
      </w:r>
      <w:bookmarkEnd w:id="102"/>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评标结果公示期满无异议或投诉的，招标人应在5日内按规定的格式以书面形式向中标人发出中标通知书。同时，按规定的格式在</w:t>
      </w:r>
      <w:r>
        <w:rPr>
          <w:rFonts w:hint="eastAsia" w:ascii="宋体" w:hAnsi="宋体" w:cs="宋体"/>
          <w:color w:val="000000" w:themeColor="text1"/>
          <w:kern w:val="0"/>
          <w:szCs w:val="21"/>
        </w:rPr>
        <w:t>招标公告发布媒介上</w:t>
      </w:r>
      <w:r>
        <w:rPr>
          <w:rFonts w:hint="eastAsia" w:ascii="宋体" w:hAnsi="宋体" w:cs="宋体"/>
          <w:color w:val="000000" w:themeColor="text1"/>
          <w:szCs w:val="21"/>
        </w:rPr>
        <w:t>发出中标结果公告，将中标结果通知未中标的投标人。</w:t>
      </w:r>
    </w:p>
    <w:p>
      <w:pPr>
        <w:keepNext/>
        <w:keepLines/>
        <w:spacing w:line="360" w:lineRule="auto"/>
        <w:outlineLvl w:val="2"/>
        <w:rPr>
          <w:rFonts w:ascii="宋体" w:hAnsi="宋体" w:cs="宋体"/>
          <w:b/>
          <w:bCs/>
          <w:szCs w:val="21"/>
        </w:rPr>
      </w:pPr>
      <w:bookmarkStart w:id="103" w:name="_Toc389065187"/>
      <w:bookmarkStart w:id="104" w:name="_Toc535487125"/>
      <w:r>
        <w:rPr>
          <w:rFonts w:hint="eastAsia" w:ascii="宋体" w:hAnsi="宋体" w:cs="宋体"/>
          <w:b/>
          <w:bCs/>
          <w:szCs w:val="21"/>
        </w:rPr>
        <w:t>7.3 履约</w:t>
      </w:r>
      <w:bookmarkEnd w:id="103"/>
      <w:r>
        <w:rPr>
          <w:rFonts w:hint="eastAsia" w:ascii="宋体" w:hAnsi="宋体" w:cs="宋体"/>
          <w:b/>
          <w:bCs/>
          <w:szCs w:val="21"/>
        </w:rPr>
        <w:t>保证金</w:t>
      </w:r>
      <w:bookmarkEnd w:id="104"/>
    </w:p>
    <w:p>
      <w:pPr>
        <w:spacing w:line="360" w:lineRule="auto"/>
        <w:ind w:firstLine="420" w:firstLineChars="200"/>
        <w:rPr>
          <w:rFonts w:ascii="宋体" w:hAnsi="宋体" w:cs="宋体"/>
          <w:szCs w:val="21"/>
        </w:rPr>
      </w:pPr>
      <w:r>
        <w:rPr>
          <w:rFonts w:hint="eastAsia" w:ascii="宋体" w:hAnsi="宋体" w:cs="宋体"/>
          <w:szCs w:val="21"/>
        </w:rPr>
        <w:t>7.3.1在签订合同前，中标人应按“投标人须知前附表”规定的金额、担保形式和招标文件第四章“合同条款及格式”规定的履约担保格式向招标人提交履约保证金。</w:t>
      </w:r>
    </w:p>
    <w:p>
      <w:pPr>
        <w:spacing w:line="360" w:lineRule="auto"/>
        <w:ind w:firstLine="420" w:firstLineChars="200"/>
        <w:rPr>
          <w:rFonts w:ascii="宋体" w:hAnsi="宋体" w:cs="宋体"/>
          <w:szCs w:val="21"/>
        </w:rPr>
      </w:pPr>
      <w:r>
        <w:rPr>
          <w:rFonts w:hint="eastAsia" w:ascii="宋体" w:hAnsi="宋体" w:cs="宋体"/>
          <w:szCs w:val="21"/>
        </w:rPr>
        <w:t>7.3.2 中标人不能按本章第7.3.1项要求提交履约保证金的，视为放弃中标，其投标保证金不予退还，给招标人造成的损失超过投标保证金数额的，中标人还应当对超过部分予以赔偿。</w:t>
      </w:r>
    </w:p>
    <w:p>
      <w:pPr>
        <w:keepNext/>
        <w:keepLines/>
        <w:spacing w:line="360" w:lineRule="auto"/>
        <w:outlineLvl w:val="2"/>
        <w:rPr>
          <w:rFonts w:ascii="宋体" w:hAnsi="宋体" w:cs="宋体"/>
          <w:b/>
          <w:bCs/>
          <w:szCs w:val="21"/>
        </w:rPr>
      </w:pPr>
      <w:bookmarkStart w:id="105" w:name="_Toc535487126"/>
      <w:bookmarkStart w:id="106" w:name="_Toc389065188"/>
      <w:r>
        <w:rPr>
          <w:rFonts w:hint="eastAsia" w:ascii="宋体" w:hAnsi="宋体" w:cs="宋体"/>
          <w:b/>
          <w:bCs/>
          <w:szCs w:val="21"/>
        </w:rPr>
        <w:t>7.4 签订合同</w:t>
      </w:r>
      <w:bookmarkEnd w:id="105"/>
      <w:bookmarkEnd w:id="106"/>
    </w:p>
    <w:p>
      <w:pPr>
        <w:spacing w:line="360" w:lineRule="auto"/>
        <w:ind w:firstLine="420" w:firstLineChars="200"/>
        <w:rPr>
          <w:rFonts w:ascii="宋体" w:hAnsi="宋体" w:cs="宋体"/>
          <w:szCs w:val="21"/>
        </w:rPr>
      </w:pPr>
      <w:r>
        <w:rPr>
          <w:rFonts w:hint="eastAsia" w:ascii="宋体" w:hAnsi="宋体" w:cs="宋体"/>
          <w:szCs w:val="21"/>
        </w:rPr>
        <w:t>7.4.1招标人和中标人应当在投标有效期内以及中标通知书发出之日起30天内，根据招标文件和中标人的投标文件订立书面合同。中标人拒签合同的，招标人取消其中标资格，其投标保证金不予退还；给招标人造成的损失超过投标保证金数额的，中标人还应当对超过部分予以赔偿。对依法必须进行招标的项目的中标人，由有关行政监督部门责令改正。</w:t>
      </w:r>
    </w:p>
    <w:p>
      <w:pPr>
        <w:spacing w:line="360" w:lineRule="auto"/>
        <w:ind w:firstLine="420"/>
        <w:rPr>
          <w:rFonts w:ascii="宋体" w:hAnsi="宋体" w:cs="宋体"/>
          <w:strike/>
          <w:color w:val="000000"/>
          <w:szCs w:val="21"/>
        </w:rPr>
      </w:pPr>
      <w:r>
        <w:rPr>
          <w:rFonts w:hint="eastAsia" w:ascii="宋体" w:hAnsi="宋体" w:cs="宋体"/>
          <w:color w:val="000000"/>
          <w:szCs w:val="21"/>
        </w:rPr>
        <w:t>7.4.2排名第一的中标候选人（或者评标委员会依据招标人授权直接确定的中标人）放弃中标，或因不可抗力提出不能履行合同，或者被查实存在影响中标结果的违法行为等情形，不符合中标条件的，招标人可以按照评标委员会提出的中标候选人名单排序依次确定其它中标候选人。如果依次确定其他中标候选人与招标人预期差距较大，或者对招标人明显不利的，招标人可以重新招标。</w:t>
      </w:r>
    </w:p>
    <w:p>
      <w:pPr>
        <w:spacing w:line="360" w:lineRule="auto"/>
        <w:ind w:firstLine="420" w:firstLineChars="200"/>
        <w:rPr>
          <w:rFonts w:ascii="宋体" w:hAnsi="宋体" w:cs="宋体"/>
          <w:szCs w:val="21"/>
        </w:rPr>
      </w:pPr>
      <w:r>
        <w:rPr>
          <w:rFonts w:hint="eastAsia" w:ascii="宋体" w:hAnsi="宋体" w:cs="宋体"/>
          <w:szCs w:val="21"/>
        </w:rPr>
        <w:t>7.4.3发出中标通知书后，招标人无正当理由拒签合同的，由有关行政监督部门给予警告，责令改正。同时招标人向中标人退还投标保证金；给中标人造成损失的，还应当赔偿损失。</w:t>
      </w:r>
      <w:bookmarkStart w:id="107" w:name="_Toc389065189"/>
    </w:p>
    <w:bookmarkEnd w:id="107"/>
    <w:p>
      <w:pPr>
        <w:keepNext/>
        <w:keepLines/>
        <w:spacing w:before="60" w:after="60" w:line="360" w:lineRule="auto"/>
        <w:outlineLvl w:val="1"/>
        <w:rPr>
          <w:rFonts w:ascii="宋体" w:hAnsi="宋体" w:cs="宋体"/>
          <w:b/>
          <w:bCs/>
          <w:szCs w:val="21"/>
        </w:rPr>
      </w:pPr>
      <w:bookmarkStart w:id="108" w:name="_Toc535487127"/>
      <w:bookmarkStart w:id="109" w:name="_Toc389065192"/>
      <w:r>
        <w:rPr>
          <w:rFonts w:hint="eastAsia" w:ascii="宋体" w:hAnsi="宋体" w:cs="宋体"/>
          <w:b/>
          <w:bCs/>
          <w:szCs w:val="21"/>
        </w:rPr>
        <w:t>8 纪律和监督</w:t>
      </w:r>
      <w:bookmarkEnd w:id="108"/>
      <w:bookmarkEnd w:id="109"/>
    </w:p>
    <w:p>
      <w:pPr>
        <w:keepNext/>
        <w:keepLines/>
        <w:spacing w:line="360" w:lineRule="auto"/>
        <w:outlineLvl w:val="2"/>
        <w:rPr>
          <w:rFonts w:ascii="宋体" w:hAnsi="宋体" w:cs="宋体"/>
          <w:b/>
          <w:bCs/>
          <w:szCs w:val="21"/>
        </w:rPr>
      </w:pPr>
      <w:bookmarkStart w:id="110" w:name="_Toc533146417"/>
      <w:bookmarkStart w:id="111" w:name="_Toc535487128"/>
      <w:bookmarkStart w:id="112" w:name="_Toc389065193"/>
      <w:r>
        <w:rPr>
          <w:rFonts w:hint="eastAsia" w:ascii="宋体" w:hAnsi="宋体" w:cs="宋体"/>
          <w:b/>
          <w:bCs/>
          <w:szCs w:val="21"/>
        </w:rPr>
        <w:t>8.1 对招标人的纪律要求</w:t>
      </w:r>
      <w:bookmarkEnd w:id="110"/>
      <w:bookmarkEnd w:id="111"/>
    </w:p>
    <w:p>
      <w:pPr>
        <w:spacing w:line="360" w:lineRule="auto"/>
        <w:rPr>
          <w:rFonts w:ascii="宋体" w:hAnsi="宋体" w:cs="宋体"/>
          <w:kern w:val="0"/>
          <w:szCs w:val="21"/>
        </w:rPr>
      </w:pPr>
      <w:r>
        <w:rPr>
          <w:rFonts w:hint="eastAsia" w:ascii="宋体" w:hAnsi="宋体" w:cs="宋体"/>
          <w:szCs w:val="21"/>
        </w:rPr>
        <w:t xml:space="preserve">    招标人不得泄漏招标投标活动中应当保密的情况和资料，不得与投标人串通损害国家利益、社会公共利益或者他人合法权益。</w:t>
      </w:r>
    </w:p>
    <w:p>
      <w:pPr>
        <w:keepNext/>
        <w:keepLines/>
        <w:spacing w:line="360" w:lineRule="auto"/>
        <w:outlineLvl w:val="2"/>
        <w:rPr>
          <w:rFonts w:ascii="宋体" w:hAnsi="宋体" w:cs="宋体"/>
          <w:b/>
          <w:bCs/>
          <w:szCs w:val="21"/>
        </w:rPr>
      </w:pPr>
      <w:bookmarkStart w:id="113" w:name="_Toc533146418"/>
      <w:bookmarkStart w:id="114" w:name="_Toc535487129"/>
      <w:r>
        <w:rPr>
          <w:rFonts w:hint="eastAsia" w:ascii="宋体" w:hAnsi="宋体" w:cs="宋体"/>
          <w:b/>
          <w:bCs/>
          <w:szCs w:val="21"/>
        </w:rPr>
        <w:t>8.2 对投标人的纪律要求</w:t>
      </w:r>
      <w:bookmarkEnd w:id="113"/>
      <w:bookmarkEnd w:id="114"/>
    </w:p>
    <w:p>
      <w:pPr>
        <w:spacing w:line="360" w:lineRule="auto"/>
        <w:rPr>
          <w:rFonts w:ascii="宋体" w:hAnsi="宋体" w:cs="宋体"/>
          <w:szCs w:val="21"/>
        </w:rPr>
      </w:pPr>
      <w:r>
        <w:rPr>
          <w:rFonts w:hint="eastAsia" w:ascii="宋体" w:hAnsi="宋体" w:cs="宋体"/>
          <w:szCs w:val="21"/>
        </w:rPr>
        <w:t xml:space="preserve">    投标人不得相互串通投标或者与招标人串通投标，不得向招标人或者评标委员会成员行贿谋取中标，不得以他人名义投标或者以其他方式弄虚作假骗取中标；投标人不得以任何方式干扰、影响评标工作。</w:t>
      </w:r>
    </w:p>
    <w:p>
      <w:pPr>
        <w:keepNext/>
        <w:keepLines/>
        <w:spacing w:line="360" w:lineRule="auto"/>
        <w:outlineLvl w:val="2"/>
        <w:rPr>
          <w:rFonts w:ascii="宋体" w:hAnsi="宋体" w:cs="宋体"/>
          <w:b/>
          <w:bCs/>
          <w:szCs w:val="21"/>
        </w:rPr>
      </w:pPr>
      <w:bookmarkStart w:id="115" w:name="_Toc535487130"/>
      <w:bookmarkStart w:id="116" w:name="_Toc533146419"/>
      <w:r>
        <w:rPr>
          <w:rFonts w:hint="eastAsia" w:ascii="宋体" w:hAnsi="宋体" w:cs="宋体"/>
          <w:b/>
          <w:bCs/>
          <w:szCs w:val="21"/>
        </w:rPr>
        <w:t>8.3 对评标和定标委员会成员的纪律要求</w:t>
      </w:r>
      <w:bookmarkEnd w:id="115"/>
      <w:bookmarkEnd w:id="116"/>
    </w:p>
    <w:p>
      <w:pPr>
        <w:autoSpaceDE w:val="0"/>
        <w:autoSpaceDN w:val="0"/>
        <w:adjustRightInd w:val="0"/>
        <w:spacing w:line="360" w:lineRule="auto"/>
        <w:jc w:val="left"/>
        <w:rPr>
          <w:rFonts w:ascii="宋体" w:hAnsi="宋体" w:cs="宋体"/>
          <w:kern w:val="0"/>
          <w:szCs w:val="21"/>
        </w:rPr>
      </w:pPr>
      <w:r>
        <w:rPr>
          <w:rFonts w:hint="eastAsia" w:ascii="宋体" w:hAnsi="宋体" w:cs="宋体"/>
          <w:kern w:val="0"/>
          <w:szCs w:val="21"/>
        </w:rPr>
        <w:t xml:space="preserve">    评标和定标委员会成员不得收受他人的财物或者其他好处，不得向他人透露对投标文件的评审和比较、中标候选人的推荐情况以及评标和定标有关的其他情况。在评标活动中，评标和定标委员会成员应当客观、公正地履行职责，遵守职业道德，不得擅离职守，影响评标和定标程序正常进行，不得使用第三章“评标办法”中没有规定的评审因素和标准进行评标和定标。</w:t>
      </w:r>
    </w:p>
    <w:p>
      <w:pPr>
        <w:keepNext/>
        <w:keepLines/>
        <w:spacing w:line="360" w:lineRule="auto"/>
        <w:outlineLvl w:val="2"/>
        <w:rPr>
          <w:rFonts w:ascii="宋体" w:hAnsi="宋体" w:cs="宋体"/>
          <w:b/>
          <w:bCs/>
          <w:szCs w:val="21"/>
        </w:rPr>
      </w:pPr>
      <w:bookmarkStart w:id="117" w:name="_Toc533146420"/>
      <w:bookmarkStart w:id="118" w:name="_Toc535487131"/>
      <w:r>
        <w:rPr>
          <w:rFonts w:hint="eastAsia" w:ascii="宋体" w:hAnsi="宋体" w:cs="宋体"/>
          <w:b/>
          <w:bCs/>
          <w:szCs w:val="21"/>
        </w:rPr>
        <w:t>8.4 对与评标和定标活动有关的工作人员的纪律要求</w:t>
      </w:r>
      <w:bookmarkEnd w:id="117"/>
      <w:bookmarkEnd w:id="118"/>
    </w:p>
    <w:p>
      <w:pPr>
        <w:autoSpaceDE w:val="0"/>
        <w:autoSpaceDN w:val="0"/>
        <w:adjustRightInd w:val="0"/>
        <w:spacing w:line="360" w:lineRule="auto"/>
        <w:ind w:left="100" w:right="143" w:firstLine="420" w:firstLineChars="200"/>
        <w:rPr>
          <w:rFonts w:ascii="宋体" w:hAnsi="宋体" w:cs="宋体"/>
          <w:kern w:val="0"/>
          <w:szCs w:val="21"/>
        </w:rPr>
      </w:pPr>
      <w:r>
        <w:rPr>
          <w:rFonts w:hint="eastAsia" w:ascii="宋体" w:hAnsi="宋体" w:cs="宋体"/>
          <w:kern w:val="0"/>
          <w:szCs w:val="21"/>
        </w:rPr>
        <w:t>与评标和定标活动有关的工作人员不得收受他人的财物或者其他好处，不得向他人透露对投标文件的评审和比较、中标候选人的推荐情况以及评标和定标有关的其他情况。在评标标活动中，与评标活动有关的工作人员不得擅离职守，影响评标和定标程序正常进行。</w:t>
      </w:r>
    </w:p>
    <w:p>
      <w:pPr>
        <w:keepNext/>
        <w:keepLines/>
        <w:spacing w:line="360" w:lineRule="auto"/>
        <w:outlineLvl w:val="2"/>
        <w:rPr>
          <w:rFonts w:ascii="宋体" w:hAnsi="宋体" w:cs="宋体"/>
          <w:b/>
          <w:bCs/>
          <w:szCs w:val="21"/>
        </w:rPr>
      </w:pPr>
      <w:bookmarkStart w:id="119" w:name="_Toc535487132"/>
      <w:bookmarkStart w:id="120" w:name="_Toc533146421"/>
      <w:r>
        <w:rPr>
          <w:rFonts w:hint="eastAsia" w:ascii="宋体" w:hAnsi="宋体" w:cs="宋体"/>
          <w:b/>
          <w:bCs/>
          <w:szCs w:val="21"/>
        </w:rPr>
        <w:t>8.5 异议与投诉</w:t>
      </w:r>
      <w:bookmarkEnd w:id="119"/>
      <w:bookmarkEnd w:id="120"/>
    </w:p>
    <w:p>
      <w:pPr>
        <w:spacing w:line="360" w:lineRule="auto"/>
        <w:rPr>
          <w:rFonts w:ascii="宋体" w:hAnsi="宋体" w:cs="宋体"/>
          <w:szCs w:val="21"/>
        </w:rPr>
      </w:pPr>
      <w:r>
        <w:rPr>
          <w:rFonts w:hint="eastAsia" w:ascii="宋体" w:hAnsi="宋体" w:cs="宋体"/>
          <w:szCs w:val="21"/>
        </w:rPr>
        <w:t xml:space="preserve">    8.5.1异议</w:t>
      </w:r>
    </w:p>
    <w:p>
      <w:pPr>
        <w:spacing w:line="360" w:lineRule="auto"/>
        <w:rPr>
          <w:rFonts w:ascii="宋体" w:hAnsi="宋体" w:cs="宋体"/>
          <w:szCs w:val="21"/>
        </w:rPr>
      </w:pPr>
      <w:r>
        <w:rPr>
          <w:rFonts w:hint="eastAsia" w:ascii="宋体" w:hAnsi="宋体" w:cs="宋体"/>
          <w:szCs w:val="21"/>
        </w:rPr>
        <w:t xml:space="preserve">    投标人或者其他利害关系人对招标文件有异议的，应在投标人须知前附表规定的时间前提出。招标人应当自收到异议之日起3日内作出答复；作出答复前，应当暂停招标投标活动。</w:t>
      </w:r>
    </w:p>
    <w:p>
      <w:pPr>
        <w:spacing w:line="360" w:lineRule="auto"/>
        <w:rPr>
          <w:rFonts w:ascii="宋体" w:hAnsi="宋体" w:cs="宋体"/>
          <w:szCs w:val="21"/>
        </w:rPr>
      </w:pPr>
      <w:r>
        <w:rPr>
          <w:rFonts w:hint="eastAsia" w:ascii="宋体" w:hAnsi="宋体" w:cs="宋体"/>
          <w:szCs w:val="21"/>
        </w:rPr>
        <w:t xml:space="preserve">    投标人对开标有异议的，应当在开标现场提出，招标人应当当场作出答复，并制作记录。</w:t>
      </w:r>
    </w:p>
    <w:p>
      <w:pPr>
        <w:spacing w:line="360" w:lineRule="auto"/>
        <w:rPr>
          <w:rFonts w:ascii="宋体" w:hAnsi="宋体" w:cs="宋体"/>
          <w:szCs w:val="21"/>
        </w:rPr>
      </w:pPr>
      <w:r>
        <w:rPr>
          <w:rFonts w:hint="eastAsia" w:ascii="宋体" w:hAnsi="宋体" w:cs="宋体"/>
          <w:szCs w:val="21"/>
        </w:rPr>
        <w:t xml:space="preserve">    投标人或者其他利害关系人对依法必须进行招标的项目的评标结果有异议的，应当在中标候选人公示期间提出。</w:t>
      </w:r>
    </w:p>
    <w:p>
      <w:pPr>
        <w:spacing w:line="360" w:lineRule="auto"/>
        <w:ind w:firstLine="420" w:firstLineChars="200"/>
        <w:rPr>
          <w:rFonts w:ascii="宋体" w:hAnsi="宋体" w:cs="宋体"/>
          <w:szCs w:val="21"/>
        </w:rPr>
      </w:pPr>
      <w:r>
        <w:rPr>
          <w:rFonts w:hint="eastAsia" w:ascii="宋体" w:hAnsi="宋体" w:cs="宋体"/>
          <w:szCs w:val="21"/>
        </w:rPr>
        <w:t>8.5.2投诉</w:t>
      </w:r>
    </w:p>
    <w:p>
      <w:pPr>
        <w:spacing w:line="360" w:lineRule="auto"/>
        <w:rPr>
          <w:rFonts w:ascii="宋体" w:hAnsi="宋体" w:cs="宋体"/>
          <w:szCs w:val="21"/>
        </w:rPr>
      </w:pPr>
      <w:r>
        <w:rPr>
          <w:rFonts w:hint="eastAsia" w:ascii="宋体" w:hAnsi="宋体" w:cs="宋体"/>
          <w:szCs w:val="21"/>
        </w:rPr>
        <w:t xml:space="preserve">    投标人和其他利害关系人认为本次招标活动违反法律、法规和规章规定的，可以在知道或者应当知道之日起十日内向“投标人须知前附表”明确的招投标监督管理部门提出书面投诉。投诉应当有明确的请求和必要的证明材料。就第8.5.1项规定事项提出投诉的，应先向招标人提出异议。</w:t>
      </w:r>
    </w:p>
    <w:bookmarkEnd w:id="112"/>
    <w:p>
      <w:pPr>
        <w:keepNext/>
        <w:keepLines/>
        <w:spacing w:line="360" w:lineRule="auto"/>
        <w:outlineLvl w:val="2"/>
        <w:rPr>
          <w:rFonts w:ascii="宋体" w:hAnsi="宋体" w:cs="宋体"/>
          <w:b/>
          <w:bCs/>
          <w:szCs w:val="21"/>
        </w:rPr>
      </w:pPr>
      <w:bookmarkStart w:id="121" w:name="_Toc535487133"/>
      <w:r>
        <w:rPr>
          <w:rFonts w:hint="eastAsia" w:ascii="宋体" w:hAnsi="宋体" w:cs="宋体"/>
          <w:b/>
          <w:bCs/>
          <w:szCs w:val="21"/>
        </w:rPr>
        <w:t>9 解释权</w:t>
      </w:r>
      <w:bookmarkEnd w:id="121"/>
    </w:p>
    <w:p>
      <w:pPr>
        <w:spacing w:line="360" w:lineRule="auto"/>
        <w:ind w:firstLine="420" w:firstLineChars="200"/>
        <w:rPr>
          <w:rFonts w:ascii="宋体" w:hAnsi="宋体" w:cs="宋体"/>
          <w:szCs w:val="21"/>
        </w:rPr>
      </w:pPr>
      <w:r>
        <w:rPr>
          <w:rFonts w:hint="eastAsia" w:ascii="宋体" w:hAnsi="宋体" w:cs="宋体"/>
          <w:szCs w:val="21"/>
        </w:rPr>
        <w:t>构成本招标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投标邀请书）、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招标人负责解释。</w:t>
      </w:r>
      <w:bookmarkStart w:id="122" w:name="_Toc535487135"/>
      <w:bookmarkStart w:id="123" w:name="_Toc358476596"/>
    </w:p>
    <w:p>
      <w:pPr>
        <w:spacing w:line="400" w:lineRule="exact"/>
        <w:ind w:firstLine="420" w:firstLineChars="200"/>
        <w:rPr>
          <w:rFonts w:ascii="宋体" w:hAnsi="宋体" w:cs="宋体"/>
          <w:szCs w:val="21"/>
        </w:rPr>
      </w:pPr>
    </w:p>
    <w:p>
      <w:pPr>
        <w:spacing w:line="400" w:lineRule="exact"/>
        <w:ind w:firstLine="420" w:firstLineChars="200"/>
        <w:rPr>
          <w:rFonts w:ascii="宋体" w:hAnsi="宋体" w:cs="宋体"/>
          <w:szCs w:val="21"/>
        </w:rPr>
      </w:pPr>
    </w:p>
    <w:p>
      <w:pPr>
        <w:spacing w:line="400" w:lineRule="exact"/>
        <w:ind w:firstLine="643" w:firstLineChars="200"/>
        <w:jc w:val="center"/>
        <w:rPr>
          <w:rFonts w:ascii="宋体" w:hAnsi="宋体"/>
          <w:b/>
          <w:sz w:val="32"/>
          <w:szCs w:val="32"/>
        </w:rPr>
      </w:pPr>
    </w:p>
    <w:p>
      <w:pPr>
        <w:spacing w:line="400" w:lineRule="exact"/>
        <w:ind w:firstLine="643" w:firstLineChars="200"/>
        <w:jc w:val="center"/>
        <w:rPr>
          <w:rFonts w:ascii="宋体" w:hAnsi="宋体"/>
          <w:b/>
          <w:sz w:val="32"/>
          <w:szCs w:val="32"/>
        </w:rPr>
      </w:pPr>
    </w:p>
    <w:p>
      <w:pPr>
        <w:spacing w:line="400" w:lineRule="exact"/>
        <w:ind w:firstLine="643" w:firstLineChars="200"/>
        <w:jc w:val="center"/>
        <w:rPr>
          <w:rFonts w:ascii="宋体" w:hAnsi="宋体"/>
          <w:b/>
          <w:sz w:val="32"/>
          <w:szCs w:val="32"/>
        </w:rPr>
      </w:pPr>
    </w:p>
    <w:p>
      <w:pPr>
        <w:spacing w:line="400" w:lineRule="exact"/>
        <w:ind w:firstLine="643" w:firstLineChars="200"/>
        <w:jc w:val="center"/>
        <w:rPr>
          <w:rFonts w:ascii="宋体" w:hAnsi="宋体"/>
          <w:b/>
          <w:sz w:val="32"/>
          <w:szCs w:val="32"/>
        </w:rPr>
      </w:pPr>
    </w:p>
    <w:p>
      <w:pPr>
        <w:spacing w:line="400" w:lineRule="exact"/>
        <w:ind w:firstLine="643" w:firstLineChars="200"/>
        <w:jc w:val="center"/>
        <w:rPr>
          <w:rFonts w:ascii="宋体" w:hAnsi="宋体"/>
          <w:b/>
          <w:sz w:val="32"/>
          <w:szCs w:val="32"/>
        </w:rPr>
      </w:pPr>
    </w:p>
    <w:p>
      <w:pPr>
        <w:spacing w:line="400" w:lineRule="exact"/>
        <w:ind w:firstLine="643" w:firstLineChars="200"/>
        <w:jc w:val="center"/>
        <w:rPr>
          <w:rFonts w:ascii="宋体" w:hAnsi="宋体"/>
          <w:b/>
          <w:sz w:val="32"/>
          <w:szCs w:val="32"/>
        </w:rPr>
      </w:pPr>
    </w:p>
    <w:p>
      <w:pPr>
        <w:spacing w:line="400" w:lineRule="exact"/>
        <w:ind w:firstLine="643" w:firstLineChars="200"/>
        <w:jc w:val="center"/>
        <w:rPr>
          <w:rFonts w:ascii="宋体" w:hAnsi="宋体"/>
          <w:b/>
          <w:sz w:val="32"/>
          <w:szCs w:val="32"/>
        </w:rPr>
      </w:pPr>
    </w:p>
    <w:p>
      <w:pPr>
        <w:spacing w:line="400" w:lineRule="exact"/>
        <w:ind w:firstLine="643" w:firstLineChars="200"/>
        <w:jc w:val="center"/>
        <w:rPr>
          <w:rFonts w:ascii="宋体" w:hAnsi="宋体"/>
          <w:b/>
          <w:sz w:val="32"/>
          <w:szCs w:val="32"/>
        </w:rPr>
      </w:pPr>
    </w:p>
    <w:p>
      <w:pPr>
        <w:spacing w:line="400" w:lineRule="exact"/>
        <w:ind w:firstLine="643" w:firstLineChars="200"/>
        <w:jc w:val="center"/>
        <w:rPr>
          <w:rFonts w:ascii="宋体" w:hAnsi="宋体"/>
          <w:b/>
          <w:sz w:val="32"/>
          <w:szCs w:val="32"/>
        </w:rPr>
      </w:pPr>
    </w:p>
    <w:p>
      <w:pPr>
        <w:spacing w:line="400" w:lineRule="exact"/>
        <w:ind w:firstLine="643" w:firstLineChars="200"/>
        <w:jc w:val="center"/>
        <w:rPr>
          <w:rFonts w:ascii="宋体" w:hAnsi="宋体"/>
          <w:b/>
          <w:sz w:val="32"/>
          <w:szCs w:val="32"/>
        </w:rPr>
      </w:pPr>
    </w:p>
    <w:p>
      <w:pPr>
        <w:spacing w:line="400" w:lineRule="exact"/>
        <w:ind w:firstLine="643" w:firstLineChars="200"/>
        <w:jc w:val="center"/>
        <w:rPr>
          <w:rFonts w:ascii="宋体" w:hAnsi="宋体"/>
          <w:b/>
          <w:sz w:val="32"/>
          <w:szCs w:val="32"/>
        </w:rPr>
      </w:pPr>
    </w:p>
    <w:p>
      <w:pPr>
        <w:spacing w:line="400" w:lineRule="exact"/>
        <w:ind w:firstLine="643" w:firstLineChars="200"/>
        <w:jc w:val="center"/>
        <w:rPr>
          <w:rFonts w:ascii="宋体" w:hAnsi="宋体"/>
          <w:b/>
          <w:sz w:val="32"/>
          <w:szCs w:val="32"/>
        </w:rPr>
      </w:pPr>
    </w:p>
    <w:p>
      <w:pPr>
        <w:spacing w:line="400" w:lineRule="exact"/>
        <w:ind w:firstLine="643" w:firstLineChars="200"/>
        <w:jc w:val="center"/>
        <w:rPr>
          <w:rFonts w:ascii="宋体" w:hAnsi="宋体"/>
          <w:b/>
          <w:sz w:val="32"/>
          <w:szCs w:val="32"/>
        </w:rPr>
      </w:pPr>
    </w:p>
    <w:p>
      <w:pPr>
        <w:spacing w:line="400" w:lineRule="exact"/>
        <w:ind w:firstLine="643" w:firstLineChars="200"/>
        <w:jc w:val="center"/>
        <w:rPr>
          <w:rFonts w:ascii="宋体" w:hAnsi="宋体"/>
          <w:b/>
          <w:sz w:val="32"/>
          <w:szCs w:val="32"/>
        </w:rPr>
      </w:pPr>
    </w:p>
    <w:p>
      <w:pPr>
        <w:spacing w:line="400" w:lineRule="exact"/>
        <w:ind w:firstLine="643" w:firstLineChars="200"/>
        <w:jc w:val="center"/>
        <w:rPr>
          <w:rFonts w:ascii="宋体" w:hAnsi="宋体"/>
          <w:b/>
          <w:sz w:val="32"/>
          <w:szCs w:val="32"/>
        </w:rPr>
      </w:pPr>
    </w:p>
    <w:p>
      <w:pPr>
        <w:spacing w:line="400" w:lineRule="exact"/>
        <w:ind w:firstLine="643" w:firstLineChars="200"/>
        <w:jc w:val="center"/>
        <w:rPr>
          <w:rFonts w:ascii="宋体" w:hAnsi="宋体"/>
          <w:b/>
          <w:sz w:val="32"/>
          <w:szCs w:val="32"/>
        </w:rPr>
      </w:pPr>
    </w:p>
    <w:p>
      <w:pPr>
        <w:spacing w:line="400" w:lineRule="exact"/>
        <w:ind w:firstLine="643" w:firstLineChars="200"/>
        <w:jc w:val="center"/>
        <w:rPr>
          <w:rFonts w:ascii="宋体" w:hAnsi="宋体"/>
          <w:b/>
          <w:sz w:val="32"/>
          <w:szCs w:val="32"/>
        </w:rPr>
      </w:pPr>
    </w:p>
    <w:p>
      <w:pPr>
        <w:spacing w:line="400" w:lineRule="exact"/>
        <w:ind w:firstLine="643" w:firstLineChars="200"/>
        <w:jc w:val="center"/>
        <w:rPr>
          <w:rFonts w:ascii="宋体" w:hAnsi="宋体"/>
          <w:b/>
          <w:sz w:val="32"/>
          <w:szCs w:val="32"/>
        </w:rPr>
      </w:pPr>
    </w:p>
    <w:p>
      <w:pPr>
        <w:spacing w:line="400" w:lineRule="exact"/>
        <w:ind w:firstLine="643" w:firstLineChars="200"/>
        <w:jc w:val="center"/>
        <w:rPr>
          <w:rFonts w:ascii="宋体" w:hAnsi="宋体"/>
          <w:b/>
          <w:sz w:val="32"/>
          <w:szCs w:val="32"/>
        </w:rPr>
      </w:pPr>
    </w:p>
    <w:p>
      <w:pPr>
        <w:spacing w:line="400" w:lineRule="exact"/>
        <w:ind w:firstLine="643" w:firstLineChars="200"/>
        <w:jc w:val="center"/>
        <w:rPr>
          <w:rFonts w:ascii="宋体" w:hAnsi="宋体"/>
          <w:b/>
          <w:sz w:val="32"/>
          <w:szCs w:val="32"/>
        </w:rPr>
      </w:pPr>
      <w:r>
        <w:rPr>
          <w:rFonts w:hint="eastAsia" w:ascii="宋体" w:hAnsi="宋体"/>
          <w:b/>
          <w:sz w:val="32"/>
          <w:szCs w:val="32"/>
        </w:rPr>
        <w:t>第三章 评标办法（综合评估法）</w:t>
      </w:r>
      <w:bookmarkEnd w:id="122"/>
    </w:p>
    <w:p>
      <w:pPr>
        <w:adjustRightInd w:val="0"/>
        <w:snapToGrid w:val="0"/>
        <w:spacing w:line="400" w:lineRule="exact"/>
        <w:ind w:firstLine="420" w:firstLineChars="200"/>
        <w:rPr>
          <w:rFonts w:ascii="宋体" w:hAnsi="宋体"/>
          <w:szCs w:val="21"/>
        </w:rPr>
      </w:pPr>
      <w:bookmarkStart w:id="124" w:name="_Toc535487136"/>
      <w:r>
        <w:rPr>
          <w:rFonts w:ascii="宋体" w:hAnsi="宋体"/>
          <w:szCs w:val="21"/>
        </w:rPr>
        <w:t>本</w:t>
      </w:r>
      <w:r>
        <w:rPr>
          <w:rFonts w:hint="eastAsia" w:ascii="宋体" w:hAnsi="宋体"/>
          <w:szCs w:val="21"/>
        </w:rPr>
        <w:t>项目</w:t>
      </w:r>
      <w:r>
        <w:rPr>
          <w:rFonts w:ascii="宋体" w:hAnsi="宋体"/>
          <w:szCs w:val="21"/>
        </w:rPr>
        <w:t>资格审查采用合格制，投标人只有满足资格审查必要合格条件后，方可参与</w:t>
      </w:r>
      <w:r>
        <w:rPr>
          <w:rFonts w:hint="eastAsia" w:ascii="宋体" w:hAnsi="宋体"/>
          <w:szCs w:val="21"/>
        </w:rPr>
        <w:t>后续</w:t>
      </w:r>
      <w:r>
        <w:rPr>
          <w:rFonts w:ascii="宋体" w:hAnsi="宋体"/>
          <w:szCs w:val="21"/>
        </w:rPr>
        <w:t>评审。</w:t>
      </w:r>
      <w:r>
        <w:rPr>
          <w:rFonts w:hint="eastAsia" w:ascii="宋体" w:hAnsi="宋体"/>
          <w:szCs w:val="21"/>
        </w:rPr>
        <w:t>若投标人数量或通过资格审查投标人数量少于三个的，则招标失败，应依法重新组织招标。</w:t>
      </w:r>
    </w:p>
    <w:p>
      <w:pPr>
        <w:adjustRightInd w:val="0"/>
        <w:snapToGrid w:val="0"/>
        <w:spacing w:line="400" w:lineRule="exact"/>
        <w:jc w:val="center"/>
        <w:rPr>
          <w:rFonts w:ascii="宋体" w:hAnsi="宋体"/>
          <w:b/>
          <w:bCs/>
          <w:szCs w:val="32"/>
        </w:rPr>
      </w:pPr>
      <w:r>
        <w:rPr>
          <w:rFonts w:hint="eastAsia" w:ascii="宋体" w:hAnsi="宋体"/>
          <w:b/>
          <w:bCs/>
          <w:szCs w:val="32"/>
        </w:rPr>
        <w:t>评标办法前附表</w:t>
      </w:r>
      <w:bookmarkEnd w:id="124"/>
    </w:p>
    <w:tbl>
      <w:tblPr>
        <w:tblStyle w:val="5"/>
        <w:tblW w:w="10036" w:type="dxa"/>
        <w:tblInd w:w="-276" w:type="dxa"/>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
      <w:tblGrid>
        <w:gridCol w:w="1015"/>
        <w:gridCol w:w="92"/>
        <w:gridCol w:w="1439"/>
        <w:gridCol w:w="965"/>
        <w:gridCol w:w="72"/>
        <w:gridCol w:w="6453"/>
      </w:tblGrid>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Ex>
        <w:trPr>
          <w:trHeight w:val="479" w:hRule="atLeast"/>
        </w:trPr>
        <w:tc>
          <w:tcPr>
            <w:tcW w:w="10036" w:type="dxa"/>
            <w:gridSpan w:val="6"/>
            <w:tcBorders>
              <w:top w:val="outset" w:color="auto" w:sz="6" w:space="0"/>
              <w:left w:val="outset" w:color="auto" w:sz="6" w:space="0"/>
              <w:bottom w:val="outset" w:color="auto" w:sz="6" w:space="0"/>
              <w:right w:val="outset" w:color="auto" w:sz="6" w:space="0"/>
            </w:tcBorders>
            <w:vAlign w:val="center"/>
          </w:tcPr>
          <w:p>
            <w:pPr>
              <w:spacing w:line="400" w:lineRule="exact"/>
              <w:contextualSpacing/>
              <w:jc w:val="center"/>
              <w:rPr>
                <w:rFonts w:ascii="宋体" w:hAnsi="宋体"/>
                <w:szCs w:val="21"/>
              </w:rPr>
            </w:pPr>
            <w:r>
              <w:rPr>
                <w:rFonts w:ascii="宋体" w:hAnsi="宋体"/>
                <w:kern w:val="0"/>
                <w:szCs w:val="21"/>
              </w:rPr>
              <w:t>评标入围</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Ex>
        <w:trPr>
          <w:trHeight w:val="702" w:hRule="atLeast"/>
        </w:trPr>
        <w:tc>
          <w:tcPr>
            <w:tcW w:w="1015" w:type="dxa"/>
            <w:tcBorders>
              <w:top w:val="outset" w:color="auto" w:sz="6" w:space="0"/>
              <w:left w:val="outset" w:color="auto" w:sz="6" w:space="0"/>
              <w:bottom w:val="outset" w:color="auto" w:sz="6" w:space="0"/>
              <w:right w:val="single" w:color="auto" w:sz="4" w:space="0"/>
            </w:tcBorders>
            <w:vAlign w:val="center"/>
          </w:tcPr>
          <w:p>
            <w:pPr>
              <w:spacing w:line="400" w:lineRule="exact"/>
              <w:contextualSpacing/>
              <w:jc w:val="center"/>
              <w:rPr>
                <w:rFonts w:ascii="宋体" w:hAnsi="宋体"/>
                <w:b/>
                <w:szCs w:val="21"/>
              </w:rPr>
            </w:pPr>
            <w:r>
              <w:rPr>
                <w:rFonts w:hint="eastAsia" w:ascii="宋体" w:hAnsi="宋体"/>
                <w:b/>
                <w:szCs w:val="21"/>
              </w:rPr>
              <w:t>条款号</w:t>
            </w:r>
          </w:p>
        </w:tc>
        <w:tc>
          <w:tcPr>
            <w:tcW w:w="1531" w:type="dxa"/>
            <w:gridSpan w:val="2"/>
            <w:tcBorders>
              <w:top w:val="outset" w:color="auto" w:sz="6" w:space="0"/>
              <w:left w:val="single" w:color="auto" w:sz="4" w:space="0"/>
              <w:bottom w:val="outset" w:color="auto" w:sz="6" w:space="0"/>
              <w:right w:val="single" w:color="auto" w:sz="4" w:space="0"/>
            </w:tcBorders>
            <w:vAlign w:val="center"/>
          </w:tcPr>
          <w:p>
            <w:pPr>
              <w:spacing w:line="400" w:lineRule="exact"/>
              <w:contextualSpacing/>
              <w:jc w:val="center"/>
              <w:rPr>
                <w:rFonts w:ascii="宋体" w:hAnsi="宋体"/>
                <w:b/>
                <w:szCs w:val="21"/>
              </w:rPr>
            </w:pPr>
            <w:r>
              <w:rPr>
                <w:rFonts w:hint="eastAsia" w:ascii="宋体" w:hAnsi="宋体"/>
                <w:b/>
                <w:szCs w:val="21"/>
              </w:rPr>
              <w:t>评审因素</w:t>
            </w:r>
          </w:p>
        </w:tc>
        <w:tc>
          <w:tcPr>
            <w:tcW w:w="7490" w:type="dxa"/>
            <w:gridSpan w:val="3"/>
            <w:tcBorders>
              <w:top w:val="outset" w:color="auto" w:sz="6" w:space="0"/>
              <w:left w:val="single" w:color="auto" w:sz="4" w:space="0"/>
              <w:bottom w:val="outset" w:color="auto" w:sz="6" w:space="0"/>
              <w:right w:val="outset" w:color="auto" w:sz="6" w:space="0"/>
            </w:tcBorders>
            <w:vAlign w:val="center"/>
          </w:tcPr>
          <w:p>
            <w:pPr>
              <w:spacing w:line="400" w:lineRule="exact"/>
              <w:contextualSpacing/>
              <w:jc w:val="center"/>
              <w:rPr>
                <w:rFonts w:ascii="宋体" w:hAnsi="宋体"/>
                <w:b/>
                <w:szCs w:val="21"/>
              </w:rPr>
            </w:pPr>
            <w:r>
              <w:rPr>
                <w:rFonts w:hint="eastAsia" w:ascii="宋体" w:hAnsi="宋体"/>
                <w:b/>
                <w:szCs w:val="21"/>
              </w:rPr>
              <w:t>评审标准</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Ex>
        <w:trPr>
          <w:trHeight w:val="2810" w:hRule="atLeast"/>
        </w:trPr>
        <w:tc>
          <w:tcPr>
            <w:tcW w:w="1015" w:type="dxa"/>
            <w:tcBorders>
              <w:top w:val="outset" w:color="auto" w:sz="6" w:space="0"/>
              <w:left w:val="outset" w:color="auto" w:sz="6" w:space="0"/>
              <w:bottom w:val="outset" w:color="auto" w:sz="6" w:space="0"/>
              <w:right w:val="outset" w:color="auto" w:sz="6" w:space="0"/>
            </w:tcBorders>
            <w:vAlign w:val="center"/>
          </w:tcPr>
          <w:p>
            <w:pPr>
              <w:spacing w:line="400" w:lineRule="exact"/>
              <w:contextualSpacing/>
              <w:jc w:val="center"/>
              <w:rPr>
                <w:rFonts w:ascii="宋体" w:hAnsi="宋体"/>
                <w:szCs w:val="21"/>
              </w:rPr>
            </w:pPr>
            <w:r>
              <w:rPr>
                <w:rFonts w:hint="eastAsia" w:ascii="宋体" w:hAnsi="宋体"/>
                <w:szCs w:val="21"/>
              </w:rPr>
              <w:t>2.1.1</w:t>
            </w:r>
          </w:p>
        </w:tc>
        <w:tc>
          <w:tcPr>
            <w:tcW w:w="1531" w:type="dxa"/>
            <w:gridSpan w:val="2"/>
            <w:tcBorders>
              <w:top w:val="outset" w:color="auto" w:sz="6" w:space="0"/>
              <w:left w:val="outset" w:color="auto" w:sz="6" w:space="0"/>
              <w:bottom w:val="outset" w:color="auto" w:sz="6" w:space="0"/>
              <w:right w:val="outset" w:color="auto" w:sz="6" w:space="0"/>
            </w:tcBorders>
            <w:vAlign w:val="center"/>
          </w:tcPr>
          <w:p>
            <w:pPr>
              <w:autoSpaceDE w:val="0"/>
              <w:autoSpaceDN w:val="0"/>
              <w:adjustRightInd w:val="0"/>
              <w:spacing w:before="73" w:line="400" w:lineRule="exact"/>
              <w:ind w:right="-20"/>
              <w:contextualSpacing/>
              <w:jc w:val="center"/>
              <w:rPr>
                <w:rFonts w:ascii="宋体" w:hAnsi="宋体"/>
                <w:kern w:val="0"/>
                <w:szCs w:val="21"/>
              </w:rPr>
            </w:pPr>
            <w:r>
              <w:rPr>
                <w:rFonts w:hint="eastAsia" w:ascii="宋体" w:hAnsi="宋体"/>
                <w:kern w:val="0"/>
                <w:szCs w:val="21"/>
              </w:rPr>
              <w:t>评标入围条件</w:t>
            </w:r>
          </w:p>
        </w:tc>
        <w:tc>
          <w:tcPr>
            <w:tcW w:w="7490" w:type="dxa"/>
            <w:gridSpan w:val="3"/>
            <w:tcBorders>
              <w:top w:val="outset" w:color="auto" w:sz="6" w:space="0"/>
              <w:left w:val="outset" w:color="auto" w:sz="6" w:space="0"/>
              <w:bottom w:val="outset" w:color="auto" w:sz="6" w:space="0"/>
              <w:right w:val="outset" w:color="auto" w:sz="6" w:space="0"/>
            </w:tcBorders>
            <w:vAlign w:val="center"/>
          </w:tcPr>
          <w:p>
            <w:pPr>
              <w:spacing w:line="400" w:lineRule="exact"/>
              <w:contextualSpacing/>
              <w:rPr>
                <w:rFonts w:ascii="宋体" w:hAnsi="宋体"/>
                <w:szCs w:val="21"/>
              </w:rPr>
            </w:pPr>
            <w:r>
              <w:rPr>
                <w:rFonts w:hint="eastAsia" w:ascii="宋体" w:hAnsi="宋体"/>
                <w:szCs w:val="21"/>
              </w:rPr>
              <w:t>投标文件存在所列情况之一的，不再进行后续评标</w:t>
            </w:r>
          </w:p>
          <w:p>
            <w:pPr>
              <w:spacing w:line="400" w:lineRule="exact"/>
              <w:contextualSpacing/>
              <w:rPr>
                <w:rFonts w:ascii="宋体" w:hAnsi="宋体"/>
                <w:szCs w:val="21"/>
              </w:rPr>
            </w:pPr>
            <w:r>
              <w:rPr>
                <w:rFonts w:ascii="宋体" w:hAnsi="宋体" w:cs="宋体"/>
                <w:szCs w:val="21"/>
              </w:rPr>
              <w:fldChar w:fldCharType="begin"/>
            </w:r>
            <w:r>
              <w:rPr>
                <w:rFonts w:hint="eastAsia" w:ascii="宋体" w:hAnsi="宋体" w:cs="宋体"/>
                <w:szCs w:val="21"/>
              </w:rPr>
              <w:instrText xml:space="preserve">eq \o\ac(</w:instrText>
            </w:r>
            <w:r>
              <w:rPr>
                <w:rFonts w:hint="eastAsia" w:ascii="宋体" w:hAnsi="宋体" w:cs="宋体"/>
                <w:position w:val="-4"/>
                <w:sz w:val="31"/>
                <w:szCs w:val="21"/>
              </w:rPr>
              <w:instrText xml:space="preserve">□</w:instrText>
            </w:r>
            <w:r>
              <w:rPr>
                <w:rFonts w:hint="eastAsia" w:ascii="宋体" w:hAnsi="宋体" w:cs="宋体"/>
                <w:szCs w:val="21"/>
              </w:rPr>
              <w:instrText xml:space="preserve">,√)</w:instrText>
            </w:r>
            <w:r>
              <w:rPr>
                <w:rFonts w:ascii="宋体" w:hAnsi="宋体" w:cs="宋体"/>
                <w:szCs w:val="21"/>
              </w:rPr>
              <w:fldChar w:fldCharType="end"/>
            </w:r>
            <w:r>
              <w:rPr>
                <w:rFonts w:hint="eastAsia" w:ascii="宋体" w:hAnsi="宋体"/>
                <w:szCs w:val="21"/>
              </w:rPr>
              <w:t>至投标截止时间止，未足额递交投标保证金；</w:t>
            </w:r>
          </w:p>
          <w:p>
            <w:pPr>
              <w:spacing w:line="400" w:lineRule="exact"/>
              <w:contextualSpacing/>
              <w:rPr>
                <w:rFonts w:ascii="宋体" w:hAnsi="宋体"/>
                <w:szCs w:val="21"/>
              </w:rPr>
            </w:pPr>
            <w:r>
              <w:rPr>
                <w:rFonts w:ascii="宋体" w:hAnsi="宋体" w:cs="宋体"/>
                <w:szCs w:val="21"/>
              </w:rPr>
              <w:fldChar w:fldCharType="begin"/>
            </w:r>
            <w:r>
              <w:rPr>
                <w:rFonts w:hint="eastAsia" w:ascii="宋体" w:hAnsi="宋体" w:cs="宋体"/>
                <w:szCs w:val="21"/>
              </w:rPr>
              <w:instrText xml:space="preserve">eq \o\ac(</w:instrText>
            </w:r>
            <w:r>
              <w:rPr>
                <w:rFonts w:hint="eastAsia" w:ascii="宋体" w:hAnsi="宋体" w:cs="宋体"/>
                <w:position w:val="-4"/>
                <w:sz w:val="31"/>
                <w:szCs w:val="21"/>
              </w:rPr>
              <w:instrText xml:space="preserve">□</w:instrText>
            </w:r>
            <w:r>
              <w:rPr>
                <w:rFonts w:hint="eastAsia" w:ascii="宋体" w:hAnsi="宋体" w:cs="宋体"/>
                <w:szCs w:val="21"/>
              </w:rPr>
              <w:instrText xml:space="preserve">,√)</w:instrText>
            </w:r>
            <w:r>
              <w:rPr>
                <w:rFonts w:ascii="宋体" w:hAnsi="宋体" w:cs="宋体"/>
                <w:szCs w:val="21"/>
              </w:rPr>
              <w:fldChar w:fldCharType="end"/>
            </w:r>
            <w:r>
              <w:rPr>
                <w:rFonts w:hint="eastAsia" w:ascii="宋体" w:hAnsi="宋体"/>
                <w:szCs w:val="21"/>
              </w:rPr>
              <w:t>投标函中载明的招标项目完成期限超过招标文件规定的期限；</w:t>
            </w:r>
          </w:p>
          <w:p>
            <w:pPr>
              <w:spacing w:line="400" w:lineRule="exact"/>
              <w:contextualSpacing/>
              <w:rPr>
                <w:rFonts w:ascii="宋体" w:hAnsi="宋体"/>
                <w:szCs w:val="21"/>
              </w:rPr>
            </w:pPr>
            <w:r>
              <w:rPr>
                <w:rFonts w:ascii="宋体" w:hAnsi="宋体" w:cs="宋体"/>
                <w:szCs w:val="21"/>
              </w:rPr>
              <w:fldChar w:fldCharType="begin"/>
            </w:r>
            <w:r>
              <w:rPr>
                <w:rFonts w:hint="eastAsia" w:ascii="宋体" w:hAnsi="宋体" w:cs="宋体"/>
                <w:szCs w:val="21"/>
              </w:rPr>
              <w:instrText xml:space="preserve">eq \o\ac(</w:instrText>
            </w:r>
            <w:r>
              <w:rPr>
                <w:rFonts w:hint="eastAsia" w:ascii="宋体" w:hAnsi="宋体" w:cs="宋体"/>
                <w:position w:val="-4"/>
                <w:sz w:val="31"/>
                <w:szCs w:val="21"/>
              </w:rPr>
              <w:instrText xml:space="preserve">□</w:instrText>
            </w:r>
            <w:r>
              <w:rPr>
                <w:rFonts w:hint="eastAsia" w:ascii="宋体" w:hAnsi="宋体" w:cs="宋体"/>
                <w:szCs w:val="21"/>
              </w:rPr>
              <w:instrText xml:space="preserve">,√)</w:instrText>
            </w:r>
            <w:r>
              <w:rPr>
                <w:rFonts w:ascii="宋体" w:hAnsi="宋体" w:cs="宋体"/>
                <w:szCs w:val="21"/>
              </w:rPr>
              <w:fldChar w:fldCharType="end"/>
            </w:r>
            <w:r>
              <w:rPr>
                <w:rFonts w:hint="eastAsia" w:ascii="宋体" w:hAnsi="宋体"/>
                <w:szCs w:val="21"/>
              </w:rPr>
              <w:t>投标函中载明的投标质量标准未响应招标文件的实质性要求和条件；</w:t>
            </w:r>
          </w:p>
          <w:p>
            <w:pPr>
              <w:spacing w:line="400" w:lineRule="exact"/>
              <w:contextualSpacing/>
              <w:rPr>
                <w:rFonts w:ascii="宋体" w:hAnsi="宋体"/>
                <w:szCs w:val="21"/>
              </w:rPr>
            </w:pPr>
            <w:r>
              <w:rPr>
                <w:rFonts w:ascii="宋体" w:hAnsi="宋体" w:cs="宋体"/>
                <w:szCs w:val="21"/>
              </w:rPr>
              <w:fldChar w:fldCharType="begin"/>
            </w:r>
            <w:r>
              <w:rPr>
                <w:rFonts w:hint="eastAsia" w:ascii="宋体" w:hAnsi="宋体" w:cs="宋体"/>
                <w:szCs w:val="21"/>
              </w:rPr>
              <w:instrText xml:space="preserve">eq \o\ac(</w:instrText>
            </w:r>
            <w:r>
              <w:rPr>
                <w:rFonts w:hint="eastAsia" w:ascii="宋体" w:hAnsi="宋体" w:cs="宋体"/>
                <w:position w:val="-4"/>
                <w:sz w:val="31"/>
                <w:szCs w:val="21"/>
              </w:rPr>
              <w:instrText xml:space="preserve">□</w:instrText>
            </w:r>
            <w:r>
              <w:rPr>
                <w:rFonts w:hint="eastAsia" w:ascii="宋体" w:hAnsi="宋体" w:cs="宋体"/>
                <w:szCs w:val="21"/>
              </w:rPr>
              <w:instrText xml:space="preserve">,√)</w:instrText>
            </w:r>
            <w:r>
              <w:rPr>
                <w:rFonts w:ascii="宋体" w:hAnsi="宋体" w:cs="宋体"/>
                <w:szCs w:val="21"/>
              </w:rPr>
              <w:fldChar w:fldCharType="end"/>
            </w:r>
            <w:r>
              <w:rPr>
                <w:rFonts w:hint="eastAsia" w:ascii="宋体" w:hAnsi="宋体"/>
                <w:szCs w:val="21"/>
              </w:rPr>
              <w:t>投标函中载明的投标报价高于招标人期望值：</w:t>
            </w:r>
          </w:p>
          <w:p>
            <w:pPr>
              <w:spacing w:line="400" w:lineRule="exact"/>
              <w:contextualSpacing/>
              <w:rPr>
                <w:rFonts w:ascii="宋体" w:hAnsi="宋体"/>
                <w:szCs w:val="21"/>
              </w:rPr>
            </w:pPr>
            <w:r>
              <w:rPr>
                <w:rFonts w:hint="eastAsia" w:ascii="宋体" w:hAnsi="宋体"/>
                <w:szCs w:val="21"/>
              </w:rPr>
              <w:t>招标人期望值=招标控制价*</w:t>
            </w:r>
            <w:r>
              <w:rPr>
                <w:rFonts w:hint="eastAsia" w:ascii="宋体" w:hAnsi="宋体"/>
                <w:szCs w:val="21"/>
                <w:u w:val="single"/>
              </w:rPr>
              <w:t xml:space="preserve"> 100 </w:t>
            </w:r>
            <w:r>
              <w:rPr>
                <w:rFonts w:hint="eastAsia" w:ascii="宋体" w:hAnsi="宋体"/>
                <w:szCs w:val="21"/>
              </w:rPr>
              <w:t>%</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Ex>
        <w:trPr>
          <w:trHeight w:val="1124" w:hRule="atLeast"/>
        </w:trPr>
        <w:tc>
          <w:tcPr>
            <w:tcW w:w="1015" w:type="dxa"/>
            <w:tcBorders>
              <w:top w:val="outset" w:color="auto" w:sz="6" w:space="0"/>
              <w:left w:val="outset" w:color="auto" w:sz="6" w:space="0"/>
              <w:bottom w:val="outset" w:color="auto" w:sz="6" w:space="0"/>
              <w:right w:val="outset" w:color="auto" w:sz="6" w:space="0"/>
            </w:tcBorders>
            <w:vAlign w:val="center"/>
          </w:tcPr>
          <w:p>
            <w:pPr>
              <w:spacing w:line="400" w:lineRule="exact"/>
              <w:contextualSpacing/>
              <w:jc w:val="center"/>
              <w:rPr>
                <w:rFonts w:ascii="宋体" w:hAnsi="宋体"/>
                <w:szCs w:val="21"/>
              </w:rPr>
            </w:pPr>
            <w:r>
              <w:rPr>
                <w:rFonts w:hint="eastAsia" w:ascii="宋体" w:hAnsi="宋体"/>
                <w:szCs w:val="21"/>
              </w:rPr>
              <w:t>2.1.2</w:t>
            </w:r>
          </w:p>
        </w:tc>
        <w:tc>
          <w:tcPr>
            <w:tcW w:w="1531" w:type="dxa"/>
            <w:gridSpan w:val="2"/>
            <w:tcBorders>
              <w:top w:val="outset" w:color="auto" w:sz="6" w:space="0"/>
              <w:left w:val="outset" w:color="auto" w:sz="6" w:space="0"/>
              <w:bottom w:val="outset" w:color="auto" w:sz="6" w:space="0"/>
              <w:right w:val="outset" w:color="auto" w:sz="6" w:space="0"/>
            </w:tcBorders>
            <w:vAlign w:val="center"/>
          </w:tcPr>
          <w:p>
            <w:pPr>
              <w:autoSpaceDE w:val="0"/>
              <w:autoSpaceDN w:val="0"/>
              <w:adjustRightInd w:val="0"/>
              <w:spacing w:before="73" w:line="400" w:lineRule="exact"/>
              <w:ind w:right="-20"/>
              <w:contextualSpacing/>
              <w:jc w:val="left"/>
              <w:rPr>
                <w:rFonts w:ascii="宋体" w:hAnsi="宋体"/>
                <w:kern w:val="0"/>
                <w:szCs w:val="21"/>
              </w:rPr>
            </w:pPr>
            <w:r>
              <w:rPr>
                <w:rFonts w:hint="eastAsia" w:ascii="宋体" w:hAnsi="宋体"/>
                <w:kern w:val="0"/>
                <w:szCs w:val="21"/>
              </w:rPr>
              <w:t>评标入围</w:t>
            </w:r>
          </w:p>
          <w:p>
            <w:pPr>
              <w:autoSpaceDE w:val="0"/>
              <w:autoSpaceDN w:val="0"/>
              <w:adjustRightInd w:val="0"/>
              <w:spacing w:before="73" w:line="400" w:lineRule="exact"/>
              <w:ind w:right="-20"/>
              <w:contextualSpacing/>
              <w:jc w:val="left"/>
              <w:rPr>
                <w:rFonts w:ascii="宋体" w:hAnsi="宋体"/>
                <w:kern w:val="0"/>
                <w:szCs w:val="21"/>
              </w:rPr>
            </w:pPr>
            <w:r>
              <w:rPr>
                <w:rFonts w:hint="eastAsia" w:ascii="宋体" w:hAnsi="宋体"/>
                <w:kern w:val="0"/>
                <w:szCs w:val="21"/>
              </w:rPr>
              <w:t>方法和数量</w:t>
            </w:r>
          </w:p>
        </w:tc>
        <w:tc>
          <w:tcPr>
            <w:tcW w:w="7490" w:type="dxa"/>
            <w:gridSpan w:val="3"/>
            <w:tcBorders>
              <w:top w:val="outset" w:color="auto" w:sz="6" w:space="0"/>
              <w:left w:val="outset" w:color="auto" w:sz="6" w:space="0"/>
              <w:bottom w:val="outset" w:color="auto" w:sz="6" w:space="0"/>
              <w:right w:val="outset" w:color="auto" w:sz="6" w:space="0"/>
            </w:tcBorders>
            <w:vAlign w:val="center"/>
          </w:tcPr>
          <w:p>
            <w:pPr>
              <w:spacing w:line="400" w:lineRule="exact"/>
              <w:contextualSpacing/>
              <w:rPr>
                <w:rFonts w:ascii="宋体" w:hAnsi="宋体"/>
                <w:szCs w:val="21"/>
              </w:rPr>
            </w:pPr>
            <w:r>
              <w:rPr>
                <w:rFonts w:hint="eastAsia" w:ascii="宋体" w:hAnsi="宋体"/>
                <w:szCs w:val="21"/>
              </w:rPr>
              <w:t xml:space="preserve">评标入围方法：   </w:t>
            </w:r>
          </w:p>
          <w:p>
            <w:pPr>
              <w:spacing w:line="400" w:lineRule="exact"/>
              <w:contextualSpacing/>
              <w:rPr>
                <w:rFonts w:ascii="宋体" w:hAnsi="宋体"/>
                <w:szCs w:val="21"/>
              </w:rPr>
            </w:pPr>
            <w:r>
              <w:rPr>
                <w:rFonts w:ascii="宋体" w:hAnsi="宋体" w:cs="宋体"/>
                <w:szCs w:val="21"/>
              </w:rPr>
              <w:fldChar w:fldCharType="begin"/>
            </w:r>
            <w:r>
              <w:rPr>
                <w:rFonts w:hint="eastAsia" w:ascii="宋体" w:hAnsi="宋体" w:cs="宋体"/>
                <w:szCs w:val="21"/>
              </w:rPr>
              <w:instrText xml:space="preserve">eq \o\ac(</w:instrText>
            </w:r>
            <w:r>
              <w:rPr>
                <w:rFonts w:hint="eastAsia" w:ascii="宋体" w:hAnsi="宋体" w:cs="宋体"/>
                <w:position w:val="-4"/>
                <w:sz w:val="31"/>
                <w:szCs w:val="21"/>
              </w:rPr>
              <w:instrText xml:space="preserve">□</w:instrText>
            </w:r>
            <w:r>
              <w:rPr>
                <w:rFonts w:hint="eastAsia" w:ascii="宋体" w:hAnsi="宋体" w:cs="宋体"/>
                <w:szCs w:val="21"/>
              </w:rPr>
              <w:instrText xml:space="preserve">,√)</w:instrText>
            </w:r>
            <w:r>
              <w:rPr>
                <w:rFonts w:ascii="宋体" w:hAnsi="宋体" w:cs="宋体"/>
                <w:szCs w:val="21"/>
              </w:rPr>
              <w:fldChar w:fldCharType="end"/>
            </w:r>
            <w:r>
              <w:rPr>
                <w:rFonts w:hint="eastAsia" w:ascii="宋体" w:hAnsi="宋体"/>
                <w:szCs w:val="21"/>
              </w:rPr>
              <w:t xml:space="preserve">全部入围；   </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Ex>
        <w:trPr>
          <w:trHeight w:val="405" w:hRule="atLeast"/>
        </w:trPr>
        <w:tc>
          <w:tcPr>
            <w:tcW w:w="10036" w:type="dxa"/>
            <w:gridSpan w:val="6"/>
            <w:tcBorders>
              <w:top w:val="outset" w:color="auto" w:sz="6" w:space="0"/>
              <w:left w:val="outset" w:color="auto" w:sz="6" w:space="0"/>
              <w:bottom w:val="outset" w:color="auto" w:sz="6" w:space="0"/>
              <w:right w:val="outset" w:color="auto" w:sz="6" w:space="0"/>
            </w:tcBorders>
            <w:vAlign w:val="center"/>
          </w:tcPr>
          <w:p>
            <w:pPr>
              <w:spacing w:line="400" w:lineRule="exact"/>
              <w:contextualSpacing/>
              <w:jc w:val="center"/>
              <w:rPr>
                <w:rFonts w:ascii="宋体" w:hAnsi="宋体"/>
                <w:szCs w:val="21"/>
              </w:rPr>
            </w:pPr>
            <w:r>
              <w:rPr>
                <w:rFonts w:ascii="宋体" w:hAnsi="宋体"/>
                <w:szCs w:val="21"/>
              </w:rPr>
              <w:t>初步评审</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Ex>
        <w:trPr>
          <w:trHeight w:val="698" w:hRule="atLeast"/>
        </w:trPr>
        <w:tc>
          <w:tcPr>
            <w:tcW w:w="2546" w:type="dxa"/>
            <w:gridSpan w:val="3"/>
            <w:tcBorders>
              <w:top w:val="outset" w:color="auto" w:sz="6" w:space="0"/>
              <w:left w:val="outset" w:color="auto" w:sz="6" w:space="0"/>
              <w:bottom w:val="outset" w:color="auto" w:sz="6" w:space="0"/>
              <w:right w:val="outset" w:color="auto" w:sz="6" w:space="0"/>
            </w:tcBorders>
            <w:vAlign w:val="center"/>
          </w:tcPr>
          <w:p>
            <w:pPr>
              <w:spacing w:line="400" w:lineRule="exact"/>
              <w:contextualSpacing/>
              <w:jc w:val="center"/>
              <w:rPr>
                <w:rFonts w:ascii="宋体" w:hAnsi="宋体"/>
                <w:szCs w:val="21"/>
              </w:rPr>
            </w:pPr>
            <w:r>
              <w:rPr>
                <w:rFonts w:ascii="宋体" w:hAnsi="宋体"/>
                <w:szCs w:val="21"/>
              </w:rPr>
              <w:t>条款号</w:t>
            </w:r>
          </w:p>
        </w:tc>
        <w:tc>
          <w:tcPr>
            <w:tcW w:w="1037" w:type="dxa"/>
            <w:gridSpan w:val="2"/>
            <w:tcBorders>
              <w:top w:val="outset" w:color="auto" w:sz="6" w:space="0"/>
              <w:left w:val="outset" w:color="auto" w:sz="6" w:space="0"/>
              <w:bottom w:val="outset" w:color="auto" w:sz="6" w:space="0"/>
              <w:right w:val="outset" w:color="auto" w:sz="6" w:space="0"/>
            </w:tcBorders>
            <w:vAlign w:val="center"/>
          </w:tcPr>
          <w:p>
            <w:pPr>
              <w:spacing w:line="400" w:lineRule="exact"/>
              <w:contextualSpacing/>
              <w:jc w:val="center"/>
              <w:rPr>
                <w:rFonts w:ascii="宋体" w:hAnsi="宋体"/>
                <w:szCs w:val="21"/>
              </w:rPr>
            </w:pPr>
            <w:r>
              <w:rPr>
                <w:rFonts w:ascii="宋体" w:hAnsi="宋体"/>
                <w:szCs w:val="21"/>
              </w:rPr>
              <w:t>评审因素</w:t>
            </w:r>
          </w:p>
        </w:tc>
        <w:tc>
          <w:tcPr>
            <w:tcW w:w="6453" w:type="dxa"/>
            <w:tcBorders>
              <w:top w:val="outset" w:color="auto" w:sz="6" w:space="0"/>
              <w:left w:val="outset" w:color="auto" w:sz="6" w:space="0"/>
              <w:bottom w:val="outset" w:color="auto" w:sz="6" w:space="0"/>
              <w:right w:val="outset" w:color="auto" w:sz="6" w:space="0"/>
            </w:tcBorders>
            <w:vAlign w:val="center"/>
          </w:tcPr>
          <w:p>
            <w:pPr>
              <w:spacing w:line="400" w:lineRule="exact"/>
              <w:contextualSpacing/>
              <w:jc w:val="center"/>
              <w:rPr>
                <w:rFonts w:ascii="宋体" w:hAnsi="宋体"/>
                <w:szCs w:val="21"/>
              </w:rPr>
            </w:pPr>
            <w:r>
              <w:rPr>
                <w:rFonts w:ascii="宋体" w:hAnsi="宋体"/>
                <w:szCs w:val="21"/>
              </w:rPr>
              <w:t>评审标准</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Ex>
        <w:trPr>
          <w:trHeight w:val="836" w:hRule="atLeast"/>
        </w:trPr>
        <w:tc>
          <w:tcPr>
            <w:tcW w:w="1107" w:type="dxa"/>
            <w:gridSpan w:val="2"/>
            <w:vMerge w:val="restart"/>
            <w:tcBorders>
              <w:top w:val="outset" w:color="auto" w:sz="6" w:space="0"/>
              <w:left w:val="outset" w:color="auto" w:sz="6" w:space="0"/>
              <w:bottom w:val="outset" w:color="auto" w:sz="6" w:space="0"/>
              <w:right w:val="outset" w:color="auto" w:sz="6" w:space="0"/>
            </w:tcBorders>
            <w:vAlign w:val="center"/>
          </w:tcPr>
          <w:p>
            <w:pPr>
              <w:spacing w:line="400" w:lineRule="exact"/>
              <w:contextualSpacing/>
              <w:jc w:val="center"/>
              <w:rPr>
                <w:rFonts w:ascii="宋体" w:hAnsi="宋体"/>
                <w:szCs w:val="21"/>
              </w:rPr>
            </w:pPr>
            <w:r>
              <w:rPr>
                <w:rFonts w:ascii="宋体" w:hAnsi="宋体"/>
                <w:szCs w:val="21"/>
              </w:rPr>
              <w:t>2.</w:t>
            </w:r>
            <w:r>
              <w:rPr>
                <w:rFonts w:hint="eastAsia" w:ascii="宋体" w:hAnsi="宋体"/>
                <w:szCs w:val="21"/>
              </w:rPr>
              <w:t>2</w:t>
            </w:r>
            <w:r>
              <w:rPr>
                <w:rFonts w:ascii="宋体" w:hAnsi="宋体"/>
                <w:szCs w:val="21"/>
              </w:rPr>
              <w:t>.1</w:t>
            </w:r>
          </w:p>
        </w:tc>
        <w:tc>
          <w:tcPr>
            <w:tcW w:w="1439" w:type="dxa"/>
            <w:vMerge w:val="restart"/>
            <w:tcBorders>
              <w:top w:val="outset" w:color="auto" w:sz="6" w:space="0"/>
              <w:left w:val="outset" w:color="auto" w:sz="6" w:space="0"/>
              <w:bottom w:val="outset" w:color="auto" w:sz="6" w:space="0"/>
              <w:right w:val="outset" w:color="auto" w:sz="6" w:space="0"/>
            </w:tcBorders>
            <w:vAlign w:val="center"/>
          </w:tcPr>
          <w:p>
            <w:pPr>
              <w:spacing w:line="400" w:lineRule="exact"/>
              <w:contextualSpacing/>
              <w:jc w:val="center"/>
              <w:rPr>
                <w:rFonts w:ascii="宋体" w:hAnsi="宋体"/>
                <w:szCs w:val="21"/>
              </w:rPr>
            </w:pPr>
            <w:r>
              <w:rPr>
                <w:rFonts w:ascii="宋体" w:hAnsi="宋体"/>
                <w:szCs w:val="21"/>
              </w:rPr>
              <w:t>形式评审标准</w:t>
            </w:r>
          </w:p>
        </w:tc>
        <w:tc>
          <w:tcPr>
            <w:tcW w:w="1037" w:type="dxa"/>
            <w:gridSpan w:val="2"/>
            <w:tcBorders>
              <w:top w:val="outset" w:color="auto" w:sz="6" w:space="0"/>
              <w:left w:val="outset" w:color="auto" w:sz="6" w:space="0"/>
              <w:bottom w:val="outset" w:color="auto" w:sz="6" w:space="0"/>
              <w:right w:val="outset" w:color="auto" w:sz="6" w:space="0"/>
            </w:tcBorders>
            <w:vAlign w:val="center"/>
          </w:tcPr>
          <w:p>
            <w:pPr>
              <w:spacing w:line="400" w:lineRule="exact"/>
              <w:contextualSpacing/>
              <w:jc w:val="left"/>
              <w:rPr>
                <w:rFonts w:ascii="宋体" w:hAnsi="宋体"/>
                <w:szCs w:val="21"/>
              </w:rPr>
            </w:pPr>
            <w:r>
              <w:rPr>
                <w:rFonts w:ascii="宋体" w:hAnsi="宋体"/>
                <w:szCs w:val="21"/>
              </w:rPr>
              <w:t>投标人</w:t>
            </w:r>
          </w:p>
          <w:p>
            <w:pPr>
              <w:spacing w:line="400" w:lineRule="exact"/>
              <w:contextualSpacing/>
              <w:jc w:val="left"/>
              <w:rPr>
                <w:rFonts w:ascii="宋体" w:hAnsi="宋体"/>
                <w:szCs w:val="21"/>
              </w:rPr>
            </w:pPr>
            <w:r>
              <w:rPr>
                <w:rFonts w:ascii="宋体" w:hAnsi="宋体"/>
                <w:szCs w:val="21"/>
              </w:rPr>
              <w:t>名称</w:t>
            </w:r>
          </w:p>
        </w:tc>
        <w:tc>
          <w:tcPr>
            <w:tcW w:w="6453" w:type="dxa"/>
            <w:tcBorders>
              <w:top w:val="outset" w:color="auto" w:sz="6" w:space="0"/>
              <w:left w:val="outset" w:color="auto" w:sz="6" w:space="0"/>
              <w:bottom w:val="outset" w:color="auto" w:sz="6" w:space="0"/>
              <w:right w:val="outset" w:color="auto" w:sz="6" w:space="0"/>
            </w:tcBorders>
            <w:vAlign w:val="center"/>
          </w:tcPr>
          <w:p>
            <w:pPr>
              <w:spacing w:line="400" w:lineRule="exact"/>
              <w:contextualSpacing/>
              <w:jc w:val="left"/>
              <w:rPr>
                <w:rFonts w:ascii="宋体" w:hAnsi="宋体"/>
                <w:szCs w:val="21"/>
              </w:rPr>
            </w:pPr>
            <w:r>
              <w:rPr>
                <w:rFonts w:ascii="宋体" w:hAnsi="宋体"/>
                <w:szCs w:val="21"/>
              </w:rPr>
              <w:t>与营业执照一致；</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Ex>
        <w:trPr>
          <w:trHeight w:val="978" w:hRule="atLeast"/>
        </w:trPr>
        <w:tc>
          <w:tcPr>
            <w:tcW w:w="1107" w:type="dxa"/>
            <w:gridSpan w:val="2"/>
            <w:vMerge w:val="continue"/>
            <w:tcBorders>
              <w:top w:val="outset" w:color="auto" w:sz="6" w:space="0"/>
              <w:left w:val="outset" w:color="auto" w:sz="6" w:space="0"/>
              <w:bottom w:val="outset" w:color="auto" w:sz="6" w:space="0"/>
              <w:right w:val="outset" w:color="auto" w:sz="6" w:space="0"/>
            </w:tcBorders>
            <w:vAlign w:val="center"/>
          </w:tcPr>
          <w:p>
            <w:pPr>
              <w:spacing w:line="400" w:lineRule="exact"/>
              <w:contextualSpacing/>
              <w:jc w:val="center"/>
              <w:rPr>
                <w:rFonts w:ascii="宋体" w:hAnsi="宋体"/>
                <w:szCs w:val="21"/>
              </w:rPr>
            </w:pPr>
          </w:p>
        </w:tc>
        <w:tc>
          <w:tcPr>
            <w:tcW w:w="1439" w:type="dxa"/>
            <w:vMerge w:val="continue"/>
            <w:tcBorders>
              <w:top w:val="outset" w:color="auto" w:sz="6" w:space="0"/>
              <w:left w:val="outset" w:color="auto" w:sz="6" w:space="0"/>
              <w:bottom w:val="outset" w:color="auto" w:sz="6" w:space="0"/>
              <w:right w:val="outset" w:color="auto" w:sz="6" w:space="0"/>
            </w:tcBorders>
            <w:vAlign w:val="center"/>
          </w:tcPr>
          <w:p>
            <w:pPr>
              <w:spacing w:line="400" w:lineRule="exact"/>
              <w:contextualSpacing/>
              <w:jc w:val="center"/>
              <w:rPr>
                <w:rFonts w:ascii="宋体" w:hAnsi="宋体"/>
                <w:szCs w:val="21"/>
              </w:rPr>
            </w:pPr>
          </w:p>
        </w:tc>
        <w:tc>
          <w:tcPr>
            <w:tcW w:w="1037" w:type="dxa"/>
            <w:gridSpan w:val="2"/>
            <w:tcBorders>
              <w:top w:val="outset" w:color="auto" w:sz="6" w:space="0"/>
              <w:left w:val="outset" w:color="auto" w:sz="6" w:space="0"/>
              <w:bottom w:val="outset" w:color="auto" w:sz="6" w:space="0"/>
              <w:right w:val="outset" w:color="auto" w:sz="6" w:space="0"/>
            </w:tcBorders>
            <w:vAlign w:val="center"/>
          </w:tcPr>
          <w:p>
            <w:pPr>
              <w:spacing w:line="400" w:lineRule="exact"/>
              <w:contextualSpacing/>
              <w:jc w:val="left"/>
              <w:rPr>
                <w:rFonts w:ascii="宋体" w:hAnsi="宋体"/>
                <w:szCs w:val="21"/>
              </w:rPr>
            </w:pPr>
            <w:r>
              <w:rPr>
                <w:rFonts w:ascii="宋体" w:hAnsi="宋体"/>
                <w:szCs w:val="21"/>
              </w:rPr>
              <w:t>投标函</w:t>
            </w:r>
          </w:p>
          <w:p>
            <w:pPr>
              <w:spacing w:line="400" w:lineRule="exact"/>
              <w:contextualSpacing/>
              <w:jc w:val="left"/>
              <w:rPr>
                <w:rFonts w:ascii="宋体" w:hAnsi="宋体"/>
                <w:szCs w:val="21"/>
              </w:rPr>
            </w:pPr>
            <w:r>
              <w:rPr>
                <w:rFonts w:ascii="宋体" w:hAnsi="宋体"/>
                <w:szCs w:val="21"/>
              </w:rPr>
              <w:t>签字盖章</w:t>
            </w:r>
          </w:p>
        </w:tc>
        <w:tc>
          <w:tcPr>
            <w:tcW w:w="6453" w:type="dxa"/>
            <w:tcBorders>
              <w:top w:val="outset" w:color="auto" w:sz="6" w:space="0"/>
              <w:left w:val="outset" w:color="auto" w:sz="6" w:space="0"/>
              <w:bottom w:val="outset" w:color="auto" w:sz="6" w:space="0"/>
              <w:right w:val="outset" w:color="auto" w:sz="6" w:space="0"/>
            </w:tcBorders>
            <w:vAlign w:val="center"/>
          </w:tcPr>
          <w:p>
            <w:pPr>
              <w:spacing w:line="400" w:lineRule="exact"/>
              <w:contextualSpacing/>
              <w:jc w:val="left"/>
              <w:rPr>
                <w:rFonts w:ascii="宋体" w:hAnsi="宋体"/>
                <w:szCs w:val="21"/>
              </w:rPr>
            </w:pPr>
            <w:r>
              <w:rPr>
                <w:rFonts w:ascii="宋体" w:hAnsi="宋体"/>
                <w:szCs w:val="21"/>
              </w:rPr>
              <w:t>有法定代表人的签章并加盖法人印章</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Ex>
        <w:trPr>
          <w:trHeight w:val="696" w:hRule="atLeast"/>
        </w:trPr>
        <w:tc>
          <w:tcPr>
            <w:tcW w:w="1107" w:type="dxa"/>
            <w:gridSpan w:val="2"/>
            <w:vMerge w:val="continue"/>
            <w:tcBorders>
              <w:top w:val="outset" w:color="auto" w:sz="6" w:space="0"/>
              <w:left w:val="outset" w:color="auto" w:sz="6" w:space="0"/>
              <w:bottom w:val="outset" w:color="auto" w:sz="6" w:space="0"/>
              <w:right w:val="outset" w:color="auto" w:sz="6" w:space="0"/>
            </w:tcBorders>
            <w:vAlign w:val="center"/>
          </w:tcPr>
          <w:p>
            <w:pPr>
              <w:spacing w:line="400" w:lineRule="exact"/>
              <w:contextualSpacing/>
              <w:jc w:val="center"/>
              <w:rPr>
                <w:rFonts w:ascii="宋体" w:hAnsi="宋体"/>
                <w:szCs w:val="21"/>
              </w:rPr>
            </w:pPr>
          </w:p>
        </w:tc>
        <w:tc>
          <w:tcPr>
            <w:tcW w:w="1439" w:type="dxa"/>
            <w:vMerge w:val="continue"/>
            <w:tcBorders>
              <w:top w:val="outset" w:color="auto" w:sz="6" w:space="0"/>
              <w:left w:val="outset" w:color="auto" w:sz="6" w:space="0"/>
              <w:bottom w:val="outset" w:color="auto" w:sz="6" w:space="0"/>
              <w:right w:val="outset" w:color="auto" w:sz="6" w:space="0"/>
            </w:tcBorders>
            <w:vAlign w:val="center"/>
          </w:tcPr>
          <w:p>
            <w:pPr>
              <w:spacing w:line="400" w:lineRule="exact"/>
              <w:contextualSpacing/>
              <w:jc w:val="center"/>
              <w:rPr>
                <w:rFonts w:ascii="宋体" w:hAnsi="宋体"/>
                <w:szCs w:val="21"/>
              </w:rPr>
            </w:pPr>
          </w:p>
        </w:tc>
        <w:tc>
          <w:tcPr>
            <w:tcW w:w="1037" w:type="dxa"/>
            <w:gridSpan w:val="2"/>
            <w:tcBorders>
              <w:top w:val="outset" w:color="auto" w:sz="6" w:space="0"/>
              <w:left w:val="outset" w:color="auto" w:sz="6" w:space="0"/>
              <w:bottom w:val="outset" w:color="auto" w:sz="6" w:space="0"/>
              <w:right w:val="outset" w:color="auto" w:sz="6" w:space="0"/>
            </w:tcBorders>
            <w:vAlign w:val="center"/>
          </w:tcPr>
          <w:p>
            <w:pPr>
              <w:spacing w:line="400" w:lineRule="exact"/>
              <w:contextualSpacing/>
              <w:jc w:val="left"/>
              <w:rPr>
                <w:rFonts w:ascii="宋体" w:hAnsi="宋体"/>
                <w:szCs w:val="21"/>
              </w:rPr>
            </w:pPr>
            <w:r>
              <w:rPr>
                <w:rFonts w:ascii="宋体" w:hAnsi="宋体"/>
                <w:szCs w:val="21"/>
              </w:rPr>
              <w:t>报价唯一</w:t>
            </w:r>
          </w:p>
        </w:tc>
        <w:tc>
          <w:tcPr>
            <w:tcW w:w="6453" w:type="dxa"/>
            <w:tcBorders>
              <w:top w:val="outset" w:color="auto" w:sz="6" w:space="0"/>
              <w:left w:val="outset" w:color="auto" w:sz="6" w:space="0"/>
              <w:bottom w:val="outset" w:color="auto" w:sz="6" w:space="0"/>
              <w:right w:val="outset" w:color="auto" w:sz="6" w:space="0"/>
            </w:tcBorders>
            <w:vAlign w:val="center"/>
          </w:tcPr>
          <w:p>
            <w:pPr>
              <w:spacing w:line="400" w:lineRule="exact"/>
              <w:contextualSpacing/>
              <w:jc w:val="left"/>
              <w:rPr>
                <w:rFonts w:ascii="宋体" w:hAnsi="宋体"/>
                <w:szCs w:val="21"/>
              </w:rPr>
            </w:pPr>
            <w:r>
              <w:rPr>
                <w:rFonts w:ascii="宋体" w:hAnsi="宋体"/>
                <w:szCs w:val="21"/>
              </w:rPr>
              <w:t>只能有一个有效报价</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Ex>
        <w:trPr>
          <w:trHeight w:val="744" w:hRule="atLeast"/>
        </w:trPr>
        <w:tc>
          <w:tcPr>
            <w:tcW w:w="1107" w:type="dxa"/>
            <w:gridSpan w:val="2"/>
            <w:vMerge w:val="restart"/>
            <w:tcBorders>
              <w:top w:val="outset" w:color="auto" w:sz="6" w:space="0"/>
              <w:left w:val="outset" w:color="auto" w:sz="6" w:space="0"/>
              <w:right w:val="outset" w:color="auto" w:sz="6" w:space="0"/>
            </w:tcBorders>
            <w:vAlign w:val="center"/>
          </w:tcPr>
          <w:p>
            <w:pPr>
              <w:spacing w:line="400" w:lineRule="exact"/>
              <w:contextualSpacing/>
              <w:jc w:val="center"/>
              <w:rPr>
                <w:rFonts w:ascii="宋体" w:hAnsi="宋体"/>
                <w:szCs w:val="21"/>
              </w:rPr>
            </w:pPr>
            <w:r>
              <w:rPr>
                <w:rFonts w:ascii="宋体" w:hAnsi="宋体"/>
                <w:szCs w:val="21"/>
              </w:rPr>
              <w:t>2.</w:t>
            </w:r>
            <w:r>
              <w:rPr>
                <w:rFonts w:hint="eastAsia" w:ascii="宋体" w:hAnsi="宋体"/>
                <w:szCs w:val="21"/>
              </w:rPr>
              <w:t>2</w:t>
            </w:r>
            <w:r>
              <w:rPr>
                <w:rFonts w:ascii="宋体" w:hAnsi="宋体"/>
                <w:szCs w:val="21"/>
              </w:rPr>
              <w:t>.2</w:t>
            </w:r>
          </w:p>
        </w:tc>
        <w:tc>
          <w:tcPr>
            <w:tcW w:w="1439" w:type="dxa"/>
            <w:tcBorders>
              <w:top w:val="outset" w:color="auto" w:sz="6" w:space="0"/>
              <w:left w:val="outset" w:color="auto" w:sz="6" w:space="0"/>
              <w:right w:val="outset" w:color="auto" w:sz="6" w:space="0"/>
            </w:tcBorders>
            <w:vAlign w:val="center"/>
          </w:tcPr>
          <w:p>
            <w:pPr>
              <w:spacing w:line="400" w:lineRule="exact"/>
              <w:contextualSpacing/>
              <w:jc w:val="center"/>
              <w:rPr>
                <w:rFonts w:ascii="宋体" w:hAnsi="宋体"/>
                <w:szCs w:val="21"/>
              </w:rPr>
            </w:pPr>
            <w:r>
              <w:rPr>
                <w:rFonts w:ascii="宋体" w:hAnsi="宋体"/>
                <w:szCs w:val="21"/>
              </w:rPr>
              <w:t>资格评审标准</w:t>
            </w:r>
          </w:p>
        </w:tc>
        <w:tc>
          <w:tcPr>
            <w:tcW w:w="7490" w:type="dxa"/>
            <w:gridSpan w:val="3"/>
            <w:tcBorders>
              <w:top w:val="outset" w:color="auto" w:sz="6" w:space="0"/>
              <w:left w:val="outset" w:color="auto" w:sz="6" w:space="0"/>
              <w:bottom w:val="outset" w:color="auto" w:sz="6" w:space="0"/>
              <w:right w:val="outset" w:color="auto" w:sz="6" w:space="0"/>
            </w:tcBorders>
            <w:vAlign w:val="center"/>
          </w:tcPr>
          <w:p>
            <w:pPr>
              <w:widowControl/>
              <w:snapToGrid w:val="0"/>
              <w:spacing w:line="400" w:lineRule="exact"/>
              <w:jc w:val="left"/>
              <w:rPr>
                <w:rFonts w:ascii="宋体" w:hAnsi="宋体"/>
                <w:szCs w:val="21"/>
              </w:rPr>
            </w:pPr>
            <w:r>
              <w:rPr>
                <w:rFonts w:hint="eastAsia" w:ascii="宋体" w:hAnsi="宋体"/>
                <w:szCs w:val="21"/>
              </w:rPr>
              <w:t>（1）有独立订立合同的能力；核查内容：有效的企业法人营业执照。</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Ex>
        <w:trPr>
          <w:trHeight w:val="744" w:hRule="atLeast"/>
        </w:trPr>
        <w:tc>
          <w:tcPr>
            <w:tcW w:w="1107" w:type="dxa"/>
            <w:gridSpan w:val="2"/>
            <w:vMerge w:val="continue"/>
            <w:tcBorders>
              <w:left w:val="outset" w:color="auto" w:sz="6" w:space="0"/>
              <w:right w:val="outset" w:color="auto" w:sz="6" w:space="0"/>
            </w:tcBorders>
            <w:vAlign w:val="center"/>
          </w:tcPr>
          <w:p>
            <w:pPr>
              <w:spacing w:line="400" w:lineRule="exact"/>
              <w:contextualSpacing/>
              <w:jc w:val="center"/>
              <w:rPr>
                <w:rFonts w:ascii="宋体" w:hAnsi="宋体"/>
                <w:szCs w:val="21"/>
              </w:rPr>
            </w:pPr>
          </w:p>
        </w:tc>
        <w:tc>
          <w:tcPr>
            <w:tcW w:w="1439" w:type="dxa"/>
            <w:vMerge w:val="restart"/>
            <w:tcBorders>
              <w:left w:val="outset" w:color="auto" w:sz="6" w:space="0"/>
              <w:right w:val="outset" w:color="auto" w:sz="6" w:space="0"/>
            </w:tcBorders>
            <w:vAlign w:val="center"/>
          </w:tcPr>
          <w:p>
            <w:pPr>
              <w:spacing w:line="400" w:lineRule="exact"/>
              <w:contextualSpacing/>
              <w:rPr>
                <w:rFonts w:ascii="宋体" w:hAnsi="宋体"/>
                <w:szCs w:val="21"/>
              </w:rPr>
            </w:pPr>
          </w:p>
        </w:tc>
        <w:tc>
          <w:tcPr>
            <w:tcW w:w="7490" w:type="dxa"/>
            <w:gridSpan w:val="3"/>
            <w:tcBorders>
              <w:top w:val="outset" w:color="auto" w:sz="6" w:space="0"/>
              <w:left w:val="outset" w:color="auto" w:sz="6" w:space="0"/>
              <w:bottom w:val="outset" w:color="auto" w:sz="6" w:space="0"/>
              <w:right w:val="outset" w:color="auto" w:sz="6" w:space="0"/>
            </w:tcBorders>
            <w:vAlign w:val="center"/>
          </w:tcPr>
          <w:p>
            <w:pPr>
              <w:widowControl/>
              <w:snapToGrid w:val="0"/>
              <w:spacing w:line="400" w:lineRule="exact"/>
              <w:jc w:val="left"/>
              <w:rPr>
                <w:szCs w:val="21"/>
              </w:rPr>
            </w:pPr>
            <w:r>
              <w:rPr>
                <w:rFonts w:hint="eastAsia"/>
                <w:szCs w:val="21"/>
              </w:rPr>
              <w:t>（2）投标单位承担南通市园林绿化管理处5年及以上绿地管护任务，并且近五年内（2020—2024年）至少获得一次绿地管护优秀标段的称号。</w:t>
            </w:r>
          </w:p>
          <w:p>
            <w:pPr>
              <w:widowControl/>
              <w:snapToGrid w:val="0"/>
              <w:spacing w:line="400" w:lineRule="exact"/>
              <w:jc w:val="left"/>
              <w:rPr>
                <w:szCs w:val="21"/>
              </w:rPr>
            </w:pPr>
            <w:r>
              <w:rPr>
                <w:szCs w:val="21"/>
              </w:rPr>
              <w:t>核查内容：</w:t>
            </w:r>
            <w:r>
              <w:rPr>
                <w:rFonts w:hint="eastAsia"/>
                <w:szCs w:val="21"/>
              </w:rPr>
              <w:t>提供表彰文件等</w:t>
            </w:r>
            <w:r>
              <w:rPr>
                <w:szCs w:val="21"/>
              </w:rPr>
              <w:t>佐证资料</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Ex>
        <w:trPr>
          <w:trHeight w:val="6427" w:hRule="atLeast"/>
        </w:trPr>
        <w:tc>
          <w:tcPr>
            <w:tcW w:w="1107" w:type="dxa"/>
            <w:gridSpan w:val="2"/>
            <w:vMerge w:val="continue"/>
            <w:tcBorders>
              <w:left w:val="outset" w:color="auto" w:sz="6" w:space="0"/>
              <w:right w:val="outset" w:color="auto" w:sz="6" w:space="0"/>
            </w:tcBorders>
            <w:vAlign w:val="center"/>
          </w:tcPr>
          <w:p>
            <w:pPr>
              <w:spacing w:line="400" w:lineRule="exact"/>
              <w:contextualSpacing/>
              <w:jc w:val="center"/>
              <w:rPr>
                <w:rFonts w:ascii="宋体" w:hAnsi="宋体"/>
                <w:szCs w:val="21"/>
              </w:rPr>
            </w:pPr>
          </w:p>
        </w:tc>
        <w:tc>
          <w:tcPr>
            <w:tcW w:w="1439" w:type="dxa"/>
            <w:vMerge w:val="continue"/>
            <w:tcBorders>
              <w:left w:val="outset" w:color="auto" w:sz="6" w:space="0"/>
              <w:right w:val="outset" w:color="auto" w:sz="6" w:space="0"/>
            </w:tcBorders>
            <w:vAlign w:val="center"/>
          </w:tcPr>
          <w:p>
            <w:pPr>
              <w:spacing w:line="400" w:lineRule="exact"/>
              <w:contextualSpacing/>
              <w:jc w:val="center"/>
              <w:rPr>
                <w:rFonts w:ascii="宋体" w:hAnsi="宋体"/>
                <w:szCs w:val="21"/>
              </w:rPr>
            </w:pPr>
          </w:p>
        </w:tc>
        <w:tc>
          <w:tcPr>
            <w:tcW w:w="7490" w:type="dxa"/>
            <w:gridSpan w:val="3"/>
            <w:tcBorders>
              <w:top w:val="outset" w:color="auto" w:sz="6" w:space="0"/>
              <w:left w:val="outset" w:color="auto" w:sz="6" w:space="0"/>
              <w:right w:val="outset" w:color="auto" w:sz="6" w:space="0"/>
            </w:tcBorders>
            <w:vAlign w:val="center"/>
          </w:tcPr>
          <w:p>
            <w:pPr>
              <w:widowControl/>
              <w:snapToGrid w:val="0"/>
              <w:spacing w:line="360" w:lineRule="exact"/>
              <w:jc w:val="left"/>
              <w:rPr>
                <w:rFonts w:ascii="宋体" w:hAnsi="宋体"/>
                <w:color w:val="000000" w:themeColor="text1"/>
                <w:szCs w:val="21"/>
              </w:rPr>
            </w:pPr>
            <w:r>
              <w:rPr>
                <w:rFonts w:hint="eastAsia"/>
                <w:szCs w:val="21"/>
              </w:rPr>
              <w:t>（3）项目负责人、</w:t>
            </w:r>
            <w:r>
              <w:rPr>
                <w:rFonts w:hint="eastAsia"/>
                <w:color w:val="000000" w:themeColor="text1"/>
                <w:szCs w:val="21"/>
              </w:rPr>
              <w:t>现场负责人</w:t>
            </w:r>
            <w:r>
              <w:rPr>
                <w:color w:val="000000" w:themeColor="text1"/>
                <w:szCs w:val="21"/>
              </w:rPr>
              <w:t>各1名</w:t>
            </w:r>
            <w:r>
              <w:rPr>
                <w:rFonts w:hint="eastAsia"/>
                <w:color w:val="000000" w:themeColor="text1"/>
                <w:szCs w:val="21"/>
              </w:rPr>
              <w:t>，</w:t>
            </w:r>
            <w:r>
              <w:rPr>
                <w:rFonts w:hint="eastAsia" w:ascii="宋体" w:hAnsi="宋体"/>
                <w:color w:val="000000" w:themeColor="text1"/>
                <w:szCs w:val="21"/>
              </w:rPr>
              <w:t>技术工5</w:t>
            </w:r>
            <w:r>
              <w:rPr>
                <w:rFonts w:ascii="宋体" w:hAnsi="宋体"/>
                <w:color w:val="000000" w:themeColor="text1"/>
                <w:szCs w:val="21"/>
              </w:rPr>
              <w:t>名</w:t>
            </w:r>
            <w:r>
              <w:rPr>
                <w:rFonts w:hint="eastAsia" w:ascii="宋体" w:hAnsi="宋体"/>
                <w:color w:val="000000" w:themeColor="text1"/>
                <w:szCs w:val="21"/>
              </w:rPr>
              <w:t>，其中：</w:t>
            </w:r>
          </w:p>
          <w:p>
            <w:pPr>
              <w:widowControl/>
              <w:snapToGrid w:val="0"/>
              <w:spacing w:line="360" w:lineRule="exact"/>
              <w:jc w:val="left"/>
              <w:rPr>
                <w:rFonts w:ascii="宋体" w:hAnsi="宋体"/>
                <w:szCs w:val="21"/>
              </w:rPr>
            </w:pPr>
            <w:r>
              <w:rPr>
                <w:rFonts w:hint="eastAsia" w:ascii="宋体" w:hAnsi="宋体"/>
                <w:szCs w:val="21"/>
              </w:rPr>
              <w:t>①项目负责人具备园林绿化及相关专业的工程师及以上职称，现场负责人具备园林绿化及相关专业的助理工程师及以上职称（或高级工及以上资格）；</w:t>
            </w:r>
          </w:p>
          <w:p>
            <w:pPr>
              <w:widowControl/>
              <w:snapToGrid w:val="0"/>
              <w:spacing w:line="360" w:lineRule="exact"/>
              <w:jc w:val="left"/>
              <w:rPr>
                <w:rFonts w:ascii="宋体" w:hAnsi="宋体"/>
                <w:szCs w:val="21"/>
              </w:rPr>
            </w:pPr>
            <w:r>
              <w:rPr>
                <w:rFonts w:hint="eastAsia" w:ascii="宋体" w:hAnsi="宋体"/>
                <w:szCs w:val="21"/>
              </w:rPr>
              <w:t>②技术工具备园林绿化及相关专业的中级工及以上职业资格或绿化养护作业五年以上的从业经历。</w:t>
            </w:r>
          </w:p>
          <w:p>
            <w:pPr>
              <w:widowControl/>
              <w:snapToGrid w:val="0"/>
              <w:spacing w:line="360" w:lineRule="exact"/>
              <w:jc w:val="left"/>
              <w:rPr>
                <w:rFonts w:ascii="宋体" w:hAnsi="宋体"/>
                <w:szCs w:val="21"/>
              </w:rPr>
            </w:pPr>
            <w:r>
              <w:rPr>
                <w:rFonts w:hint="eastAsia" w:ascii="宋体" w:hAnsi="宋体"/>
                <w:szCs w:val="21"/>
              </w:rPr>
              <w:t>说明：</w:t>
            </w:r>
          </w:p>
          <w:p>
            <w:pPr>
              <w:widowControl/>
              <w:snapToGrid w:val="0"/>
              <w:spacing w:line="360" w:lineRule="exact"/>
              <w:jc w:val="left"/>
              <w:rPr>
                <w:rFonts w:ascii="宋体" w:hAnsi="宋体"/>
                <w:szCs w:val="21"/>
              </w:rPr>
            </w:pPr>
            <w:r>
              <w:rPr>
                <w:rFonts w:hint="eastAsia" w:ascii="宋体" w:hAnsi="宋体"/>
                <w:szCs w:val="21"/>
              </w:rPr>
              <w:t>①</w:t>
            </w:r>
            <w:r>
              <w:rPr>
                <w:rFonts w:hint="eastAsia" w:ascii="宋体" w:hAnsi="宋体"/>
                <w:b/>
                <w:color w:val="0000FF"/>
                <w:szCs w:val="21"/>
              </w:rPr>
              <w:t>上述人员不得相互兼任，承包期内年龄均60周岁内（即身份证出生日期在1967年10月31日以后），</w:t>
            </w:r>
            <w:r>
              <w:rPr>
                <w:rFonts w:hint="eastAsia" w:ascii="宋体" w:hAnsi="宋体"/>
                <w:szCs w:val="21"/>
              </w:rPr>
              <w:t>必须为投标企业正式员工，提供企业聘用合同和社保部门出具的</w:t>
            </w:r>
            <w:r>
              <w:rPr>
                <w:rFonts w:hint="eastAsia" w:ascii="宋体" w:hAnsi="宋体"/>
                <w:b/>
                <w:color w:val="0000FF"/>
                <w:szCs w:val="21"/>
              </w:rPr>
              <w:t>“2025年9月份的社保缴费记录”</w:t>
            </w:r>
            <w:r>
              <w:rPr>
                <w:rFonts w:hint="eastAsia" w:ascii="宋体" w:hAnsi="宋体"/>
                <w:color w:val="0000FF"/>
                <w:szCs w:val="21"/>
              </w:rPr>
              <w:t>（</w:t>
            </w:r>
            <w:r>
              <w:rPr>
                <w:rFonts w:hint="eastAsia" w:ascii="宋体" w:hAnsi="宋体"/>
                <w:szCs w:val="21"/>
              </w:rPr>
              <w:t>提供原件扫描件并标明缴费时间）。</w:t>
            </w:r>
          </w:p>
          <w:p>
            <w:pPr>
              <w:widowControl/>
              <w:snapToGrid w:val="0"/>
              <w:spacing w:line="360" w:lineRule="exact"/>
              <w:jc w:val="left"/>
              <w:rPr>
                <w:rFonts w:ascii="宋体" w:hAnsi="宋体"/>
                <w:szCs w:val="21"/>
              </w:rPr>
            </w:pPr>
            <w:r>
              <w:rPr>
                <w:rFonts w:hint="eastAsia" w:ascii="宋体" w:hAnsi="宋体"/>
                <w:szCs w:val="21"/>
              </w:rPr>
              <w:t>②项目负责人最多可以有一个在管绿化养护项目，但不得为在管项目的现场负责人。项目现场负责人无在管绿化养护项目。两者均无在建项目。两者一年（从开标之日往前推）内均未发生过变更。</w:t>
            </w:r>
          </w:p>
          <w:p>
            <w:pPr>
              <w:widowControl/>
              <w:snapToGrid w:val="0"/>
              <w:spacing w:line="360" w:lineRule="exact"/>
              <w:jc w:val="left"/>
              <w:rPr>
                <w:rFonts w:ascii="宋体" w:hAnsi="宋体"/>
                <w:szCs w:val="21"/>
              </w:rPr>
            </w:pPr>
            <w:r>
              <w:rPr>
                <w:rFonts w:hint="eastAsia" w:ascii="宋体" w:hAnsi="宋体"/>
                <w:szCs w:val="21"/>
              </w:rPr>
              <w:t>③项目负责人、现场负责人的职称证书不能体现园林绿化专业的，可提供园林绿化专业毕业证书。</w:t>
            </w:r>
          </w:p>
          <w:p>
            <w:pPr>
              <w:widowControl/>
              <w:snapToGrid w:val="0"/>
              <w:spacing w:line="360" w:lineRule="exact"/>
              <w:jc w:val="left"/>
              <w:rPr>
                <w:rFonts w:ascii="宋体" w:hAnsi="宋体"/>
                <w:szCs w:val="21"/>
              </w:rPr>
            </w:pPr>
            <w:r>
              <w:rPr>
                <w:rFonts w:hint="eastAsia" w:ascii="宋体" w:hAnsi="宋体"/>
                <w:szCs w:val="21"/>
              </w:rPr>
              <w:t>④园林绿化及相关专业：包括园林（含园林规划设计、园林植物、风景园林、园林绿化等）、园艺、城市规划、景观、植物（含植保、森保等）、风景旅游、环境艺术等专业。</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Ex>
        <w:trPr>
          <w:trHeight w:val="553" w:hRule="atLeast"/>
        </w:trPr>
        <w:tc>
          <w:tcPr>
            <w:tcW w:w="1107" w:type="dxa"/>
            <w:gridSpan w:val="2"/>
            <w:vMerge w:val="continue"/>
            <w:tcBorders>
              <w:left w:val="outset" w:color="auto" w:sz="6" w:space="0"/>
              <w:right w:val="outset" w:color="auto" w:sz="6" w:space="0"/>
            </w:tcBorders>
            <w:vAlign w:val="center"/>
          </w:tcPr>
          <w:p>
            <w:pPr>
              <w:spacing w:line="400" w:lineRule="exact"/>
              <w:contextualSpacing/>
              <w:jc w:val="center"/>
              <w:rPr>
                <w:rFonts w:ascii="宋体" w:hAnsi="宋体"/>
                <w:szCs w:val="21"/>
              </w:rPr>
            </w:pPr>
          </w:p>
        </w:tc>
        <w:tc>
          <w:tcPr>
            <w:tcW w:w="1439" w:type="dxa"/>
            <w:vMerge w:val="continue"/>
            <w:tcBorders>
              <w:left w:val="outset" w:color="auto" w:sz="6" w:space="0"/>
              <w:right w:val="outset" w:color="auto" w:sz="6" w:space="0"/>
            </w:tcBorders>
            <w:vAlign w:val="center"/>
          </w:tcPr>
          <w:p>
            <w:pPr>
              <w:spacing w:line="400" w:lineRule="exact"/>
              <w:contextualSpacing/>
              <w:jc w:val="center"/>
              <w:rPr>
                <w:rFonts w:ascii="宋体" w:hAnsi="宋体"/>
                <w:szCs w:val="21"/>
              </w:rPr>
            </w:pPr>
          </w:p>
        </w:tc>
        <w:tc>
          <w:tcPr>
            <w:tcW w:w="7490" w:type="dxa"/>
            <w:gridSpan w:val="3"/>
            <w:tcBorders>
              <w:top w:val="outset" w:color="auto" w:sz="6" w:space="0"/>
              <w:left w:val="outset" w:color="auto" w:sz="6" w:space="0"/>
              <w:bottom w:val="outset" w:color="auto" w:sz="6" w:space="0"/>
              <w:right w:val="outset" w:color="auto" w:sz="6" w:space="0"/>
            </w:tcBorders>
            <w:vAlign w:val="center"/>
          </w:tcPr>
          <w:p>
            <w:pPr>
              <w:snapToGrid w:val="0"/>
              <w:spacing w:line="400" w:lineRule="exact"/>
              <w:contextualSpacing/>
              <w:rPr>
                <w:rFonts w:ascii="宋体" w:hAnsi="宋体"/>
                <w:szCs w:val="21"/>
              </w:rPr>
            </w:pPr>
            <w:r>
              <w:rPr>
                <w:rFonts w:hint="eastAsia" w:ascii="宋体" w:hAnsi="宋体"/>
                <w:szCs w:val="21"/>
              </w:rPr>
              <w:t>诚信承诺书（格式见招标文件第五章）</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Ex>
        <w:trPr>
          <w:trHeight w:val="750" w:hRule="atLeast"/>
        </w:trPr>
        <w:tc>
          <w:tcPr>
            <w:tcW w:w="1107" w:type="dxa"/>
            <w:gridSpan w:val="2"/>
            <w:vMerge w:val="continue"/>
            <w:tcBorders>
              <w:left w:val="outset" w:color="auto" w:sz="6" w:space="0"/>
              <w:bottom w:val="outset" w:color="auto" w:sz="6" w:space="0"/>
              <w:right w:val="outset" w:color="auto" w:sz="6" w:space="0"/>
            </w:tcBorders>
            <w:vAlign w:val="center"/>
          </w:tcPr>
          <w:p>
            <w:pPr>
              <w:spacing w:line="400" w:lineRule="exact"/>
              <w:contextualSpacing/>
              <w:jc w:val="center"/>
              <w:rPr>
                <w:rFonts w:ascii="宋体" w:hAnsi="宋体"/>
                <w:szCs w:val="21"/>
              </w:rPr>
            </w:pPr>
          </w:p>
        </w:tc>
        <w:tc>
          <w:tcPr>
            <w:tcW w:w="1439" w:type="dxa"/>
            <w:vMerge w:val="continue"/>
            <w:tcBorders>
              <w:left w:val="outset" w:color="auto" w:sz="6" w:space="0"/>
              <w:bottom w:val="outset" w:color="auto" w:sz="6" w:space="0"/>
              <w:right w:val="outset" w:color="auto" w:sz="6" w:space="0"/>
            </w:tcBorders>
            <w:vAlign w:val="center"/>
          </w:tcPr>
          <w:p>
            <w:pPr>
              <w:spacing w:line="400" w:lineRule="exact"/>
              <w:contextualSpacing/>
              <w:jc w:val="center"/>
              <w:rPr>
                <w:rFonts w:ascii="宋体" w:hAnsi="宋体"/>
                <w:szCs w:val="21"/>
              </w:rPr>
            </w:pPr>
          </w:p>
        </w:tc>
        <w:tc>
          <w:tcPr>
            <w:tcW w:w="965" w:type="dxa"/>
            <w:tcBorders>
              <w:top w:val="outset" w:color="auto" w:sz="6" w:space="0"/>
              <w:left w:val="outset" w:color="auto" w:sz="6" w:space="0"/>
              <w:bottom w:val="outset" w:color="auto" w:sz="6" w:space="0"/>
              <w:right w:val="outset" w:color="auto" w:sz="6" w:space="0"/>
            </w:tcBorders>
            <w:vAlign w:val="center"/>
          </w:tcPr>
          <w:p>
            <w:pPr>
              <w:spacing w:line="400" w:lineRule="exact"/>
              <w:contextualSpacing/>
              <w:jc w:val="left"/>
              <w:rPr>
                <w:rFonts w:ascii="宋体" w:hAnsi="宋体"/>
                <w:szCs w:val="21"/>
              </w:rPr>
            </w:pPr>
            <w:r>
              <w:rPr>
                <w:rFonts w:ascii="宋体" w:hAnsi="宋体"/>
                <w:szCs w:val="21"/>
              </w:rPr>
              <w:t>其他要求</w:t>
            </w:r>
          </w:p>
        </w:tc>
        <w:tc>
          <w:tcPr>
            <w:tcW w:w="6525" w:type="dxa"/>
            <w:gridSpan w:val="2"/>
            <w:tcBorders>
              <w:top w:val="outset" w:color="auto" w:sz="6" w:space="0"/>
              <w:left w:val="outset" w:color="auto" w:sz="6" w:space="0"/>
              <w:bottom w:val="outset" w:color="auto" w:sz="6" w:space="0"/>
              <w:right w:val="outset" w:color="auto" w:sz="6" w:space="0"/>
            </w:tcBorders>
            <w:vAlign w:val="center"/>
          </w:tcPr>
          <w:p>
            <w:pPr>
              <w:spacing w:line="400" w:lineRule="exact"/>
              <w:contextualSpacing/>
              <w:jc w:val="left"/>
              <w:rPr>
                <w:rFonts w:ascii="宋体" w:hAnsi="宋体"/>
                <w:szCs w:val="21"/>
              </w:rPr>
            </w:pPr>
            <w:r>
              <w:rPr>
                <w:rFonts w:hint="eastAsia" w:ascii="宋体" w:hAnsi="宋体"/>
                <w:szCs w:val="21"/>
              </w:rPr>
              <w:t>符合第二章“投标人须知”第 1.4.1 项规定的其他要求</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Ex>
        <w:trPr>
          <w:trHeight w:val="631" w:hRule="atLeast"/>
        </w:trPr>
        <w:tc>
          <w:tcPr>
            <w:tcW w:w="1107" w:type="dxa"/>
            <w:gridSpan w:val="2"/>
            <w:vMerge w:val="restart"/>
            <w:tcBorders>
              <w:top w:val="outset" w:color="auto" w:sz="6" w:space="0"/>
              <w:left w:val="outset" w:color="auto" w:sz="6" w:space="0"/>
              <w:right w:val="outset" w:color="auto" w:sz="6" w:space="0"/>
            </w:tcBorders>
            <w:vAlign w:val="center"/>
          </w:tcPr>
          <w:p>
            <w:pPr>
              <w:spacing w:line="400" w:lineRule="exact"/>
              <w:contextualSpacing/>
              <w:jc w:val="center"/>
              <w:rPr>
                <w:rFonts w:ascii="宋体" w:hAnsi="宋体"/>
                <w:szCs w:val="21"/>
              </w:rPr>
            </w:pPr>
            <w:r>
              <w:rPr>
                <w:rFonts w:ascii="宋体" w:hAnsi="宋体"/>
                <w:szCs w:val="21"/>
              </w:rPr>
              <w:t>2.</w:t>
            </w:r>
            <w:r>
              <w:rPr>
                <w:rFonts w:hint="eastAsia" w:ascii="宋体" w:hAnsi="宋体"/>
                <w:szCs w:val="21"/>
              </w:rPr>
              <w:t>2</w:t>
            </w:r>
            <w:r>
              <w:rPr>
                <w:rFonts w:ascii="宋体" w:hAnsi="宋体"/>
                <w:szCs w:val="21"/>
              </w:rPr>
              <w:t>.3</w:t>
            </w:r>
          </w:p>
        </w:tc>
        <w:tc>
          <w:tcPr>
            <w:tcW w:w="1439" w:type="dxa"/>
            <w:vMerge w:val="restart"/>
            <w:tcBorders>
              <w:top w:val="outset" w:color="auto" w:sz="6" w:space="0"/>
              <w:left w:val="outset" w:color="auto" w:sz="6" w:space="0"/>
              <w:right w:val="outset" w:color="auto" w:sz="6" w:space="0"/>
            </w:tcBorders>
            <w:vAlign w:val="center"/>
          </w:tcPr>
          <w:p>
            <w:pPr>
              <w:spacing w:line="400" w:lineRule="exact"/>
              <w:contextualSpacing/>
              <w:jc w:val="center"/>
              <w:rPr>
                <w:rFonts w:ascii="宋体" w:hAnsi="宋体"/>
                <w:szCs w:val="21"/>
              </w:rPr>
            </w:pPr>
            <w:r>
              <w:rPr>
                <w:rFonts w:ascii="宋体" w:hAnsi="宋体"/>
                <w:szCs w:val="21"/>
              </w:rPr>
              <w:t>响应性评审标准</w:t>
            </w:r>
          </w:p>
        </w:tc>
        <w:tc>
          <w:tcPr>
            <w:tcW w:w="965" w:type="dxa"/>
            <w:tcBorders>
              <w:top w:val="outset" w:color="auto" w:sz="6" w:space="0"/>
              <w:left w:val="outset" w:color="auto" w:sz="6" w:space="0"/>
              <w:bottom w:val="outset" w:color="auto" w:sz="6" w:space="0"/>
              <w:right w:val="outset" w:color="auto" w:sz="6" w:space="0"/>
            </w:tcBorders>
            <w:vAlign w:val="center"/>
          </w:tcPr>
          <w:p>
            <w:pPr>
              <w:spacing w:line="400" w:lineRule="exact"/>
              <w:contextualSpacing/>
              <w:jc w:val="left"/>
              <w:rPr>
                <w:rFonts w:ascii="宋体" w:hAnsi="宋体"/>
                <w:szCs w:val="21"/>
              </w:rPr>
            </w:pPr>
            <w:r>
              <w:rPr>
                <w:rFonts w:ascii="宋体" w:hAnsi="宋体"/>
                <w:szCs w:val="21"/>
              </w:rPr>
              <w:t>投标内容</w:t>
            </w:r>
          </w:p>
        </w:tc>
        <w:tc>
          <w:tcPr>
            <w:tcW w:w="6525" w:type="dxa"/>
            <w:gridSpan w:val="2"/>
            <w:tcBorders>
              <w:top w:val="outset" w:color="auto" w:sz="6" w:space="0"/>
              <w:left w:val="outset" w:color="auto" w:sz="6" w:space="0"/>
              <w:bottom w:val="outset" w:color="auto" w:sz="6" w:space="0"/>
              <w:right w:val="outset" w:color="auto" w:sz="6" w:space="0"/>
            </w:tcBorders>
            <w:vAlign w:val="center"/>
          </w:tcPr>
          <w:p>
            <w:pPr>
              <w:spacing w:line="400" w:lineRule="exact"/>
              <w:contextualSpacing/>
              <w:jc w:val="left"/>
              <w:rPr>
                <w:rFonts w:ascii="宋体" w:hAnsi="宋体"/>
                <w:szCs w:val="21"/>
              </w:rPr>
            </w:pPr>
            <w:r>
              <w:rPr>
                <w:rFonts w:ascii="宋体" w:hAnsi="宋体"/>
                <w:szCs w:val="21"/>
              </w:rPr>
              <w:t>符合第二章“投标人须知”第1.3.1项规定</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Ex>
        <w:trPr>
          <w:trHeight w:val="827" w:hRule="atLeast"/>
        </w:trPr>
        <w:tc>
          <w:tcPr>
            <w:tcW w:w="1107" w:type="dxa"/>
            <w:gridSpan w:val="2"/>
            <w:vMerge w:val="continue"/>
            <w:tcBorders>
              <w:left w:val="outset" w:color="auto" w:sz="6" w:space="0"/>
              <w:right w:val="outset" w:color="auto" w:sz="6" w:space="0"/>
            </w:tcBorders>
            <w:vAlign w:val="center"/>
          </w:tcPr>
          <w:p>
            <w:pPr>
              <w:spacing w:line="400" w:lineRule="exact"/>
              <w:contextualSpacing/>
              <w:jc w:val="left"/>
              <w:rPr>
                <w:rFonts w:ascii="宋体" w:hAnsi="宋体"/>
                <w:szCs w:val="21"/>
              </w:rPr>
            </w:pPr>
          </w:p>
        </w:tc>
        <w:tc>
          <w:tcPr>
            <w:tcW w:w="1439" w:type="dxa"/>
            <w:vMerge w:val="continue"/>
            <w:tcBorders>
              <w:left w:val="outset" w:color="auto" w:sz="6" w:space="0"/>
              <w:right w:val="outset" w:color="auto" w:sz="6" w:space="0"/>
            </w:tcBorders>
            <w:vAlign w:val="center"/>
          </w:tcPr>
          <w:p>
            <w:pPr>
              <w:spacing w:line="400" w:lineRule="exact"/>
              <w:contextualSpacing/>
              <w:jc w:val="left"/>
              <w:rPr>
                <w:rFonts w:ascii="宋体" w:hAnsi="宋体"/>
                <w:szCs w:val="21"/>
              </w:rPr>
            </w:pPr>
          </w:p>
        </w:tc>
        <w:tc>
          <w:tcPr>
            <w:tcW w:w="965" w:type="dxa"/>
            <w:tcBorders>
              <w:top w:val="outset" w:color="auto" w:sz="6" w:space="0"/>
              <w:left w:val="outset" w:color="auto" w:sz="6" w:space="0"/>
              <w:bottom w:val="outset" w:color="auto" w:sz="6" w:space="0"/>
              <w:right w:val="outset" w:color="auto" w:sz="6" w:space="0"/>
            </w:tcBorders>
            <w:vAlign w:val="center"/>
          </w:tcPr>
          <w:p>
            <w:pPr>
              <w:spacing w:line="400" w:lineRule="exact"/>
              <w:contextualSpacing/>
              <w:jc w:val="left"/>
              <w:rPr>
                <w:rFonts w:ascii="宋体" w:hAnsi="宋体"/>
                <w:szCs w:val="21"/>
              </w:rPr>
            </w:pPr>
            <w:r>
              <w:rPr>
                <w:rFonts w:hint="eastAsia" w:ascii="宋体" w:hAnsi="宋体"/>
                <w:szCs w:val="21"/>
              </w:rPr>
              <w:t>承包期限</w:t>
            </w:r>
          </w:p>
        </w:tc>
        <w:tc>
          <w:tcPr>
            <w:tcW w:w="6525" w:type="dxa"/>
            <w:gridSpan w:val="2"/>
            <w:tcBorders>
              <w:top w:val="outset" w:color="auto" w:sz="6" w:space="0"/>
              <w:left w:val="outset" w:color="auto" w:sz="6" w:space="0"/>
              <w:bottom w:val="outset" w:color="auto" w:sz="6" w:space="0"/>
              <w:right w:val="outset" w:color="auto" w:sz="6" w:space="0"/>
            </w:tcBorders>
            <w:vAlign w:val="center"/>
          </w:tcPr>
          <w:p>
            <w:pPr>
              <w:spacing w:line="400" w:lineRule="exact"/>
              <w:contextualSpacing/>
              <w:jc w:val="left"/>
              <w:rPr>
                <w:rFonts w:ascii="宋体" w:hAnsi="宋体"/>
                <w:szCs w:val="21"/>
              </w:rPr>
            </w:pPr>
            <w:r>
              <w:rPr>
                <w:rFonts w:ascii="宋体" w:hAnsi="宋体"/>
                <w:szCs w:val="21"/>
              </w:rPr>
              <w:t>投标函中载明的</w:t>
            </w:r>
            <w:r>
              <w:rPr>
                <w:rFonts w:hint="eastAsia" w:ascii="宋体" w:hAnsi="宋体"/>
                <w:szCs w:val="21"/>
              </w:rPr>
              <w:t>承包</w:t>
            </w:r>
            <w:r>
              <w:rPr>
                <w:rFonts w:ascii="宋体" w:hAnsi="宋体"/>
                <w:szCs w:val="21"/>
              </w:rPr>
              <w:t>期符合</w:t>
            </w:r>
          </w:p>
          <w:p>
            <w:pPr>
              <w:spacing w:line="400" w:lineRule="exact"/>
              <w:contextualSpacing/>
              <w:jc w:val="left"/>
              <w:rPr>
                <w:rFonts w:ascii="宋体" w:hAnsi="宋体"/>
                <w:szCs w:val="21"/>
              </w:rPr>
            </w:pPr>
            <w:r>
              <w:rPr>
                <w:rFonts w:ascii="宋体" w:hAnsi="宋体"/>
                <w:szCs w:val="21"/>
              </w:rPr>
              <w:t>第二章“投标人须知”第1.3.2项规定</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Ex>
        <w:trPr>
          <w:trHeight w:val="720" w:hRule="atLeast"/>
        </w:trPr>
        <w:tc>
          <w:tcPr>
            <w:tcW w:w="1107" w:type="dxa"/>
            <w:gridSpan w:val="2"/>
            <w:vMerge w:val="continue"/>
            <w:tcBorders>
              <w:left w:val="outset" w:color="auto" w:sz="6" w:space="0"/>
              <w:right w:val="outset" w:color="auto" w:sz="6" w:space="0"/>
            </w:tcBorders>
            <w:vAlign w:val="center"/>
          </w:tcPr>
          <w:p>
            <w:pPr>
              <w:spacing w:line="400" w:lineRule="exact"/>
              <w:contextualSpacing/>
              <w:jc w:val="left"/>
              <w:rPr>
                <w:rFonts w:ascii="宋体" w:hAnsi="宋体"/>
                <w:szCs w:val="21"/>
              </w:rPr>
            </w:pPr>
          </w:p>
        </w:tc>
        <w:tc>
          <w:tcPr>
            <w:tcW w:w="1439" w:type="dxa"/>
            <w:vMerge w:val="continue"/>
            <w:tcBorders>
              <w:left w:val="outset" w:color="auto" w:sz="6" w:space="0"/>
              <w:right w:val="outset" w:color="auto" w:sz="6" w:space="0"/>
            </w:tcBorders>
            <w:vAlign w:val="center"/>
          </w:tcPr>
          <w:p>
            <w:pPr>
              <w:spacing w:line="400" w:lineRule="exact"/>
              <w:contextualSpacing/>
              <w:jc w:val="left"/>
              <w:rPr>
                <w:rFonts w:ascii="宋体" w:hAnsi="宋体"/>
                <w:szCs w:val="21"/>
              </w:rPr>
            </w:pPr>
          </w:p>
        </w:tc>
        <w:tc>
          <w:tcPr>
            <w:tcW w:w="965" w:type="dxa"/>
            <w:tcBorders>
              <w:top w:val="outset" w:color="auto" w:sz="6" w:space="0"/>
              <w:left w:val="outset" w:color="auto" w:sz="6" w:space="0"/>
              <w:bottom w:val="outset" w:color="auto" w:sz="6" w:space="0"/>
              <w:right w:val="outset" w:color="auto" w:sz="6" w:space="0"/>
            </w:tcBorders>
            <w:vAlign w:val="center"/>
          </w:tcPr>
          <w:p>
            <w:pPr>
              <w:spacing w:line="400" w:lineRule="exact"/>
              <w:contextualSpacing/>
              <w:jc w:val="left"/>
              <w:rPr>
                <w:rFonts w:ascii="宋体" w:hAnsi="宋体"/>
                <w:szCs w:val="21"/>
              </w:rPr>
            </w:pPr>
            <w:r>
              <w:rPr>
                <w:rFonts w:hint="eastAsia" w:ascii="宋体" w:hAnsi="宋体"/>
                <w:szCs w:val="21"/>
              </w:rPr>
              <w:t>管护</w:t>
            </w:r>
            <w:r>
              <w:rPr>
                <w:rFonts w:ascii="宋体" w:hAnsi="宋体"/>
                <w:szCs w:val="21"/>
              </w:rPr>
              <w:t>质量</w:t>
            </w:r>
          </w:p>
        </w:tc>
        <w:tc>
          <w:tcPr>
            <w:tcW w:w="6525" w:type="dxa"/>
            <w:gridSpan w:val="2"/>
            <w:tcBorders>
              <w:top w:val="outset" w:color="auto" w:sz="6" w:space="0"/>
              <w:left w:val="outset" w:color="auto" w:sz="6" w:space="0"/>
              <w:bottom w:val="outset" w:color="auto" w:sz="6" w:space="0"/>
              <w:right w:val="outset" w:color="auto" w:sz="6" w:space="0"/>
            </w:tcBorders>
            <w:vAlign w:val="center"/>
          </w:tcPr>
          <w:p>
            <w:pPr>
              <w:spacing w:line="400" w:lineRule="exact"/>
              <w:contextualSpacing/>
              <w:jc w:val="left"/>
              <w:rPr>
                <w:rFonts w:ascii="宋体" w:hAnsi="宋体"/>
                <w:szCs w:val="21"/>
              </w:rPr>
            </w:pPr>
            <w:r>
              <w:rPr>
                <w:rFonts w:ascii="宋体" w:hAnsi="宋体"/>
                <w:szCs w:val="21"/>
              </w:rPr>
              <w:t>投标函中载明的质量符合第二章“投标人须知”第1.3.3项规定</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Ex>
        <w:trPr>
          <w:trHeight w:val="956" w:hRule="atLeast"/>
        </w:trPr>
        <w:tc>
          <w:tcPr>
            <w:tcW w:w="1107" w:type="dxa"/>
            <w:gridSpan w:val="2"/>
            <w:vMerge w:val="continue"/>
            <w:tcBorders>
              <w:left w:val="outset" w:color="auto" w:sz="6" w:space="0"/>
              <w:right w:val="outset" w:color="auto" w:sz="6" w:space="0"/>
            </w:tcBorders>
            <w:vAlign w:val="center"/>
          </w:tcPr>
          <w:p>
            <w:pPr>
              <w:spacing w:line="400" w:lineRule="exact"/>
              <w:contextualSpacing/>
              <w:jc w:val="left"/>
              <w:rPr>
                <w:rFonts w:ascii="宋体" w:hAnsi="宋体"/>
                <w:szCs w:val="21"/>
              </w:rPr>
            </w:pPr>
          </w:p>
        </w:tc>
        <w:tc>
          <w:tcPr>
            <w:tcW w:w="1439" w:type="dxa"/>
            <w:vMerge w:val="continue"/>
            <w:tcBorders>
              <w:left w:val="outset" w:color="auto" w:sz="6" w:space="0"/>
              <w:right w:val="outset" w:color="auto" w:sz="6" w:space="0"/>
            </w:tcBorders>
            <w:vAlign w:val="center"/>
          </w:tcPr>
          <w:p>
            <w:pPr>
              <w:spacing w:line="400" w:lineRule="exact"/>
              <w:contextualSpacing/>
              <w:jc w:val="left"/>
              <w:rPr>
                <w:rFonts w:ascii="宋体" w:hAnsi="宋体"/>
                <w:szCs w:val="21"/>
              </w:rPr>
            </w:pPr>
          </w:p>
        </w:tc>
        <w:tc>
          <w:tcPr>
            <w:tcW w:w="965" w:type="dxa"/>
            <w:tcBorders>
              <w:top w:val="outset" w:color="auto" w:sz="6" w:space="0"/>
              <w:left w:val="outset" w:color="auto" w:sz="6" w:space="0"/>
              <w:bottom w:val="outset" w:color="auto" w:sz="6" w:space="0"/>
              <w:right w:val="outset" w:color="auto" w:sz="6" w:space="0"/>
            </w:tcBorders>
            <w:vAlign w:val="center"/>
          </w:tcPr>
          <w:p>
            <w:pPr>
              <w:spacing w:line="400" w:lineRule="exact"/>
              <w:contextualSpacing/>
              <w:jc w:val="left"/>
              <w:rPr>
                <w:rFonts w:ascii="宋体" w:hAnsi="宋体"/>
                <w:szCs w:val="21"/>
              </w:rPr>
            </w:pPr>
            <w:r>
              <w:rPr>
                <w:rFonts w:ascii="宋体" w:hAnsi="宋体"/>
                <w:szCs w:val="21"/>
              </w:rPr>
              <w:t>投标有效期</w:t>
            </w:r>
          </w:p>
        </w:tc>
        <w:tc>
          <w:tcPr>
            <w:tcW w:w="6525" w:type="dxa"/>
            <w:gridSpan w:val="2"/>
            <w:tcBorders>
              <w:top w:val="outset" w:color="auto" w:sz="6" w:space="0"/>
              <w:left w:val="outset" w:color="auto" w:sz="6" w:space="0"/>
              <w:bottom w:val="outset" w:color="auto" w:sz="6" w:space="0"/>
              <w:right w:val="outset" w:color="auto" w:sz="6" w:space="0"/>
            </w:tcBorders>
            <w:vAlign w:val="center"/>
          </w:tcPr>
          <w:p>
            <w:pPr>
              <w:spacing w:line="400" w:lineRule="exact"/>
              <w:contextualSpacing/>
              <w:jc w:val="left"/>
              <w:rPr>
                <w:rFonts w:ascii="宋体" w:hAnsi="宋体"/>
                <w:szCs w:val="21"/>
              </w:rPr>
            </w:pPr>
            <w:r>
              <w:rPr>
                <w:rFonts w:ascii="宋体" w:hAnsi="宋体"/>
                <w:szCs w:val="21"/>
              </w:rPr>
              <w:t>投标函附录中承诺的投标有效期符合第二章“投标人须知”第3.3.1项规定</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Ex>
        <w:trPr>
          <w:trHeight w:val="695" w:hRule="atLeast"/>
        </w:trPr>
        <w:tc>
          <w:tcPr>
            <w:tcW w:w="1107" w:type="dxa"/>
            <w:gridSpan w:val="2"/>
            <w:vMerge w:val="continue"/>
            <w:tcBorders>
              <w:left w:val="outset" w:color="auto" w:sz="6" w:space="0"/>
              <w:right w:val="outset" w:color="auto" w:sz="6" w:space="0"/>
            </w:tcBorders>
            <w:vAlign w:val="center"/>
          </w:tcPr>
          <w:p>
            <w:pPr>
              <w:spacing w:line="400" w:lineRule="exact"/>
              <w:contextualSpacing/>
              <w:jc w:val="left"/>
              <w:rPr>
                <w:rFonts w:ascii="宋体" w:hAnsi="宋体"/>
                <w:szCs w:val="21"/>
              </w:rPr>
            </w:pPr>
          </w:p>
        </w:tc>
        <w:tc>
          <w:tcPr>
            <w:tcW w:w="1439" w:type="dxa"/>
            <w:vMerge w:val="continue"/>
            <w:tcBorders>
              <w:left w:val="outset" w:color="auto" w:sz="6" w:space="0"/>
              <w:right w:val="outset" w:color="auto" w:sz="6" w:space="0"/>
            </w:tcBorders>
            <w:vAlign w:val="center"/>
          </w:tcPr>
          <w:p>
            <w:pPr>
              <w:spacing w:line="400" w:lineRule="exact"/>
              <w:contextualSpacing/>
              <w:jc w:val="left"/>
              <w:rPr>
                <w:rFonts w:ascii="宋体" w:hAnsi="宋体"/>
                <w:szCs w:val="21"/>
              </w:rPr>
            </w:pPr>
          </w:p>
        </w:tc>
        <w:tc>
          <w:tcPr>
            <w:tcW w:w="965" w:type="dxa"/>
            <w:tcBorders>
              <w:top w:val="outset" w:color="auto" w:sz="6" w:space="0"/>
              <w:left w:val="outset" w:color="auto" w:sz="6" w:space="0"/>
              <w:bottom w:val="outset" w:color="auto" w:sz="6" w:space="0"/>
              <w:right w:val="outset" w:color="auto" w:sz="6" w:space="0"/>
            </w:tcBorders>
            <w:vAlign w:val="center"/>
          </w:tcPr>
          <w:p>
            <w:pPr>
              <w:spacing w:line="400" w:lineRule="exact"/>
              <w:contextualSpacing/>
              <w:jc w:val="left"/>
              <w:rPr>
                <w:rFonts w:ascii="宋体" w:hAnsi="宋体"/>
                <w:szCs w:val="21"/>
              </w:rPr>
            </w:pPr>
            <w:r>
              <w:rPr>
                <w:rFonts w:ascii="宋体" w:hAnsi="宋体"/>
                <w:szCs w:val="21"/>
              </w:rPr>
              <w:t>投标保证金</w:t>
            </w:r>
          </w:p>
        </w:tc>
        <w:tc>
          <w:tcPr>
            <w:tcW w:w="6525" w:type="dxa"/>
            <w:gridSpan w:val="2"/>
            <w:tcBorders>
              <w:top w:val="outset" w:color="auto" w:sz="6" w:space="0"/>
              <w:left w:val="outset" w:color="auto" w:sz="6" w:space="0"/>
              <w:bottom w:val="outset" w:color="auto" w:sz="6" w:space="0"/>
              <w:right w:val="outset" w:color="auto" w:sz="6" w:space="0"/>
            </w:tcBorders>
            <w:vAlign w:val="center"/>
          </w:tcPr>
          <w:p>
            <w:pPr>
              <w:spacing w:line="400" w:lineRule="exact"/>
              <w:contextualSpacing/>
              <w:jc w:val="left"/>
              <w:rPr>
                <w:rFonts w:ascii="宋体" w:hAnsi="宋体"/>
                <w:szCs w:val="21"/>
              </w:rPr>
            </w:pPr>
            <w:r>
              <w:rPr>
                <w:rFonts w:ascii="宋体" w:hAnsi="宋体"/>
                <w:szCs w:val="21"/>
              </w:rPr>
              <w:t>符合第二章“投标人须知”第3.4.1项规定；</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Ex>
        <w:trPr>
          <w:trHeight w:val="1433" w:hRule="atLeast"/>
        </w:trPr>
        <w:tc>
          <w:tcPr>
            <w:tcW w:w="1107" w:type="dxa"/>
            <w:gridSpan w:val="2"/>
            <w:tcBorders>
              <w:left w:val="outset" w:color="auto" w:sz="6" w:space="0"/>
              <w:right w:val="outset" w:color="auto" w:sz="6" w:space="0"/>
            </w:tcBorders>
            <w:vAlign w:val="center"/>
          </w:tcPr>
          <w:p>
            <w:pPr>
              <w:spacing w:line="400" w:lineRule="exact"/>
              <w:contextualSpacing/>
              <w:jc w:val="left"/>
              <w:rPr>
                <w:rFonts w:ascii="宋体" w:hAnsi="宋体"/>
                <w:szCs w:val="21"/>
              </w:rPr>
            </w:pPr>
          </w:p>
        </w:tc>
        <w:tc>
          <w:tcPr>
            <w:tcW w:w="1439" w:type="dxa"/>
            <w:tcBorders>
              <w:left w:val="outset" w:color="auto" w:sz="6" w:space="0"/>
              <w:right w:val="outset" w:color="auto" w:sz="6" w:space="0"/>
            </w:tcBorders>
            <w:vAlign w:val="center"/>
          </w:tcPr>
          <w:p>
            <w:pPr>
              <w:spacing w:line="400" w:lineRule="exact"/>
              <w:contextualSpacing/>
              <w:jc w:val="left"/>
              <w:rPr>
                <w:rFonts w:ascii="宋体" w:hAnsi="宋体"/>
                <w:szCs w:val="21"/>
              </w:rPr>
            </w:pPr>
          </w:p>
        </w:tc>
        <w:tc>
          <w:tcPr>
            <w:tcW w:w="965" w:type="dxa"/>
            <w:tcBorders>
              <w:top w:val="outset" w:color="auto" w:sz="6" w:space="0"/>
              <w:left w:val="outset" w:color="auto" w:sz="6" w:space="0"/>
              <w:bottom w:val="outset" w:color="auto" w:sz="6" w:space="0"/>
              <w:right w:val="outset" w:color="auto" w:sz="6" w:space="0"/>
            </w:tcBorders>
            <w:vAlign w:val="center"/>
          </w:tcPr>
          <w:p>
            <w:pPr>
              <w:spacing w:line="400" w:lineRule="exact"/>
              <w:contextualSpacing/>
              <w:jc w:val="left"/>
              <w:rPr>
                <w:rFonts w:ascii="宋体" w:hAnsi="宋体"/>
                <w:szCs w:val="21"/>
              </w:rPr>
            </w:pPr>
            <w:r>
              <w:rPr>
                <w:rFonts w:ascii="宋体" w:hAnsi="宋体"/>
                <w:szCs w:val="21"/>
              </w:rPr>
              <w:t>已标价工程量清单</w:t>
            </w:r>
          </w:p>
        </w:tc>
        <w:tc>
          <w:tcPr>
            <w:tcW w:w="6525" w:type="dxa"/>
            <w:gridSpan w:val="2"/>
            <w:tcBorders>
              <w:top w:val="outset" w:color="auto" w:sz="6" w:space="0"/>
              <w:left w:val="outset" w:color="auto" w:sz="6" w:space="0"/>
              <w:bottom w:val="outset" w:color="auto" w:sz="6" w:space="0"/>
              <w:right w:val="outset" w:color="auto" w:sz="6" w:space="0"/>
            </w:tcBorders>
            <w:vAlign w:val="center"/>
          </w:tcPr>
          <w:p>
            <w:pPr>
              <w:spacing w:line="400" w:lineRule="exact"/>
              <w:contextualSpacing/>
              <w:jc w:val="left"/>
              <w:rPr>
                <w:rFonts w:ascii="宋体" w:hAnsi="宋体"/>
                <w:szCs w:val="21"/>
              </w:rPr>
            </w:pPr>
            <w:r>
              <w:rPr>
                <w:rFonts w:ascii="宋体" w:hAnsi="宋体"/>
                <w:szCs w:val="21"/>
              </w:rPr>
              <w:t>符合第二章“投标人须知”第3.2.2项规定 ①投标报价不低于工程成</w:t>
            </w:r>
            <w:r>
              <w:rPr>
                <w:rFonts w:ascii="宋体" w:hAnsi="宋体"/>
                <w:color w:val="000000"/>
                <w:szCs w:val="21"/>
              </w:rPr>
              <w:t>本并且</w:t>
            </w:r>
            <w:r>
              <w:rPr>
                <w:rFonts w:ascii="宋体" w:hAnsi="宋体"/>
                <w:szCs w:val="21"/>
              </w:rPr>
              <w:t>不高于招标文件设定的招标控制价或者招标人设置的投标限价的；</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Ex>
        <w:trPr>
          <w:trHeight w:val="689" w:hRule="atLeast"/>
        </w:trPr>
        <w:tc>
          <w:tcPr>
            <w:tcW w:w="1107" w:type="dxa"/>
            <w:gridSpan w:val="2"/>
            <w:tcBorders>
              <w:left w:val="outset" w:color="auto" w:sz="6" w:space="0"/>
              <w:right w:val="outset" w:color="auto" w:sz="6" w:space="0"/>
            </w:tcBorders>
            <w:vAlign w:val="center"/>
          </w:tcPr>
          <w:p>
            <w:pPr>
              <w:spacing w:line="400" w:lineRule="exact"/>
              <w:contextualSpacing/>
              <w:jc w:val="left"/>
              <w:rPr>
                <w:rFonts w:ascii="宋体" w:hAnsi="宋体"/>
                <w:szCs w:val="21"/>
              </w:rPr>
            </w:pPr>
          </w:p>
        </w:tc>
        <w:tc>
          <w:tcPr>
            <w:tcW w:w="1439" w:type="dxa"/>
            <w:tcBorders>
              <w:left w:val="outset" w:color="auto" w:sz="6" w:space="0"/>
              <w:right w:val="outset" w:color="auto" w:sz="6" w:space="0"/>
            </w:tcBorders>
            <w:vAlign w:val="center"/>
          </w:tcPr>
          <w:p>
            <w:pPr>
              <w:spacing w:line="400" w:lineRule="exact"/>
              <w:contextualSpacing/>
              <w:jc w:val="left"/>
              <w:rPr>
                <w:rFonts w:ascii="宋体" w:hAnsi="宋体"/>
                <w:szCs w:val="21"/>
              </w:rPr>
            </w:pPr>
          </w:p>
        </w:tc>
        <w:tc>
          <w:tcPr>
            <w:tcW w:w="965" w:type="dxa"/>
            <w:tcBorders>
              <w:top w:val="outset" w:color="auto" w:sz="6" w:space="0"/>
              <w:left w:val="outset" w:color="auto" w:sz="6" w:space="0"/>
              <w:bottom w:val="outset" w:color="auto" w:sz="6" w:space="0"/>
              <w:right w:val="outset" w:color="auto" w:sz="6" w:space="0"/>
            </w:tcBorders>
            <w:vAlign w:val="center"/>
          </w:tcPr>
          <w:p>
            <w:pPr>
              <w:spacing w:line="400" w:lineRule="exact"/>
              <w:contextualSpacing/>
              <w:jc w:val="left"/>
              <w:rPr>
                <w:rFonts w:ascii="宋体" w:hAnsi="宋体"/>
                <w:szCs w:val="21"/>
              </w:rPr>
            </w:pPr>
            <w:r>
              <w:rPr>
                <w:rFonts w:ascii="宋体" w:hAnsi="宋体"/>
                <w:szCs w:val="21"/>
              </w:rPr>
              <w:t>其</w:t>
            </w:r>
            <w:r>
              <w:rPr>
                <w:rFonts w:hint="eastAsia" w:ascii="宋体" w:hAnsi="宋体"/>
                <w:szCs w:val="21"/>
              </w:rPr>
              <w:t>它</w:t>
            </w:r>
            <w:r>
              <w:rPr>
                <w:rFonts w:ascii="宋体" w:hAnsi="宋体"/>
                <w:szCs w:val="21"/>
              </w:rPr>
              <w:t>要求：</w:t>
            </w:r>
          </w:p>
        </w:tc>
        <w:tc>
          <w:tcPr>
            <w:tcW w:w="6525" w:type="dxa"/>
            <w:gridSpan w:val="2"/>
            <w:tcBorders>
              <w:top w:val="outset" w:color="auto" w:sz="6" w:space="0"/>
              <w:left w:val="outset" w:color="auto" w:sz="6" w:space="0"/>
              <w:bottom w:val="outset" w:color="auto" w:sz="6" w:space="0"/>
              <w:right w:val="outset" w:color="auto" w:sz="6" w:space="0"/>
            </w:tcBorders>
            <w:vAlign w:val="center"/>
          </w:tcPr>
          <w:p>
            <w:pPr>
              <w:spacing w:line="400" w:lineRule="exact"/>
              <w:contextualSpacing/>
              <w:jc w:val="left"/>
              <w:rPr>
                <w:rFonts w:ascii="宋体" w:hAnsi="宋体"/>
                <w:szCs w:val="21"/>
              </w:rPr>
            </w:pPr>
            <w:r>
              <w:rPr>
                <w:rFonts w:hint="eastAsia" w:ascii="宋体" w:hAnsi="宋体"/>
                <w:szCs w:val="21"/>
              </w:rPr>
              <w:t>无评标办法第（3.3.6）条所列情形</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Ex>
        <w:trPr>
          <w:trHeight w:val="473" w:hRule="atLeast"/>
        </w:trPr>
        <w:tc>
          <w:tcPr>
            <w:tcW w:w="10036" w:type="dxa"/>
            <w:gridSpan w:val="6"/>
            <w:tcBorders>
              <w:top w:val="outset" w:color="auto" w:sz="6" w:space="0"/>
              <w:left w:val="outset" w:color="auto" w:sz="6" w:space="0"/>
              <w:bottom w:val="outset" w:color="auto" w:sz="6" w:space="0"/>
              <w:right w:val="outset" w:color="auto" w:sz="6" w:space="0"/>
            </w:tcBorders>
            <w:vAlign w:val="center"/>
          </w:tcPr>
          <w:p>
            <w:pPr>
              <w:spacing w:line="400" w:lineRule="exact"/>
              <w:contextualSpacing/>
              <w:jc w:val="center"/>
              <w:rPr>
                <w:rFonts w:ascii="宋体" w:hAnsi="宋体"/>
                <w:szCs w:val="21"/>
              </w:rPr>
            </w:pPr>
            <w:r>
              <w:rPr>
                <w:rFonts w:hint="eastAsia" w:ascii="宋体" w:hAnsi="宋体"/>
                <w:szCs w:val="21"/>
              </w:rPr>
              <w:t>详细评审</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Ex>
        <w:trPr>
          <w:trHeight w:val="423" w:hRule="atLeast"/>
        </w:trPr>
        <w:tc>
          <w:tcPr>
            <w:tcW w:w="2546" w:type="dxa"/>
            <w:gridSpan w:val="3"/>
            <w:tcBorders>
              <w:top w:val="outset" w:color="auto" w:sz="6" w:space="0"/>
              <w:left w:val="outset" w:color="auto" w:sz="6" w:space="0"/>
              <w:bottom w:val="outset" w:color="auto" w:sz="6" w:space="0"/>
              <w:right w:val="outset" w:color="auto" w:sz="6" w:space="0"/>
            </w:tcBorders>
            <w:vAlign w:val="center"/>
          </w:tcPr>
          <w:p>
            <w:pPr>
              <w:spacing w:line="400" w:lineRule="exact"/>
              <w:contextualSpacing/>
              <w:jc w:val="center"/>
              <w:rPr>
                <w:rFonts w:ascii="宋体" w:hAnsi="宋体"/>
                <w:szCs w:val="21"/>
              </w:rPr>
            </w:pPr>
            <w:r>
              <w:rPr>
                <w:rFonts w:ascii="宋体" w:hAnsi="宋体"/>
                <w:szCs w:val="21"/>
              </w:rPr>
              <w:t>条款号</w:t>
            </w:r>
          </w:p>
        </w:tc>
        <w:tc>
          <w:tcPr>
            <w:tcW w:w="7490" w:type="dxa"/>
            <w:gridSpan w:val="3"/>
            <w:tcBorders>
              <w:top w:val="outset" w:color="auto" w:sz="6" w:space="0"/>
              <w:left w:val="outset" w:color="auto" w:sz="6" w:space="0"/>
              <w:bottom w:val="outset" w:color="auto" w:sz="6" w:space="0"/>
              <w:right w:val="outset" w:color="auto" w:sz="6" w:space="0"/>
            </w:tcBorders>
            <w:vAlign w:val="center"/>
          </w:tcPr>
          <w:p>
            <w:pPr>
              <w:spacing w:line="400" w:lineRule="exact"/>
              <w:contextualSpacing/>
              <w:jc w:val="center"/>
              <w:rPr>
                <w:rFonts w:ascii="宋体" w:hAnsi="宋体"/>
                <w:szCs w:val="21"/>
              </w:rPr>
            </w:pPr>
            <w:r>
              <w:rPr>
                <w:rFonts w:ascii="宋体" w:hAnsi="宋体"/>
                <w:szCs w:val="21"/>
              </w:rPr>
              <w:t>条款内容</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Ex>
        <w:trPr>
          <w:trHeight w:val="467" w:hRule="atLeast"/>
        </w:trPr>
        <w:tc>
          <w:tcPr>
            <w:tcW w:w="1107" w:type="dxa"/>
            <w:gridSpan w:val="2"/>
            <w:tcBorders>
              <w:top w:val="outset" w:color="auto" w:sz="6" w:space="0"/>
              <w:left w:val="outset" w:color="auto" w:sz="6" w:space="0"/>
              <w:bottom w:val="outset" w:color="auto" w:sz="6" w:space="0"/>
              <w:right w:val="outset" w:color="auto" w:sz="6" w:space="0"/>
            </w:tcBorders>
            <w:vAlign w:val="center"/>
          </w:tcPr>
          <w:p>
            <w:pPr>
              <w:spacing w:line="400" w:lineRule="exact"/>
              <w:contextualSpacing/>
              <w:jc w:val="center"/>
              <w:rPr>
                <w:rFonts w:ascii="宋体" w:hAnsi="宋体"/>
                <w:b/>
                <w:szCs w:val="21"/>
              </w:rPr>
            </w:pPr>
            <w:r>
              <w:rPr>
                <w:rFonts w:hint="eastAsia" w:ascii="宋体" w:hAnsi="宋体"/>
                <w:b/>
                <w:szCs w:val="21"/>
              </w:rPr>
              <w:t>2.3.1</w:t>
            </w:r>
          </w:p>
        </w:tc>
        <w:tc>
          <w:tcPr>
            <w:tcW w:w="1439" w:type="dxa"/>
            <w:tcBorders>
              <w:top w:val="outset" w:color="auto" w:sz="6" w:space="0"/>
              <w:left w:val="outset" w:color="auto" w:sz="6" w:space="0"/>
              <w:bottom w:val="outset" w:color="auto" w:sz="6" w:space="0"/>
              <w:right w:val="outset" w:color="auto" w:sz="6" w:space="0"/>
            </w:tcBorders>
            <w:vAlign w:val="center"/>
          </w:tcPr>
          <w:p>
            <w:pPr>
              <w:spacing w:line="400" w:lineRule="exact"/>
              <w:contextualSpacing/>
              <w:jc w:val="center"/>
              <w:rPr>
                <w:rFonts w:ascii="宋体" w:hAnsi="宋体"/>
                <w:b/>
                <w:szCs w:val="21"/>
              </w:rPr>
            </w:pPr>
            <w:r>
              <w:rPr>
                <w:rFonts w:hint="eastAsia" w:ascii="宋体" w:hAnsi="宋体"/>
                <w:b/>
                <w:szCs w:val="21"/>
              </w:rPr>
              <w:t>评标办法</w:t>
            </w:r>
          </w:p>
        </w:tc>
        <w:tc>
          <w:tcPr>
            <w:tcW w:w="7490" w:type="dxa"/>
            <w:gridSpan w:val="3"/>
            <w:tcBorders>
              <w:top w:val="outset" w:color="auto" w:sz="6" w:space="0"/>
              <w:left w:val="outset" w:color="auto" w:sz="6" w:space="0"/>
              <w:bottom w:val="outset" w:color="auto" w:sz="6" w:space="0"/>
              <w:right w:val="outset" w:color="auto" w:sz="6" w:space="0"/>
            </w:tcBorders>
            <w:vAlign w:val="center"/>
          </w:tcPr>
          <w:p>
            <w:pPr>
              <w:spacing w:line="400" w:lineRule="exact"/>
              <w:contextualSpacing/>
              <w:rPr>
                <w:rFonts w:ascii="宋体" w:hAnsi="宋体"/>
                <w:b/>
                <w:color w:val="FF0000"/>
                <w:szCs w:val="21"/>
              </w:rPr>
            </w:pPr>
            <w:r>
              <w:rPr>
                <w:rFonts w:hint="eastAsia" w:ascii="宋体" w:hAnsi="宋体"/>
                <w:b/>
                <w:color w:val="000000" w:themeColor="text1"/>
                <w:szCs w:val="21"/>
              </w:rPr>
              <w:t>综合评估法，</w:t>
            </w:r>
            <w:r>
              <w:rPr>
                <w:rFonts w:hint="eastAsia" w:ascii="宋体" w:hAnsi="宋体"/>
                <w:color w:val="000000" w:themeColor="text1"/>
                <w:szCs w:val="21"/>
              </w:rPr>
              <w:t>100分=商务技术标12分+价格标88分</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Ex>
        <w:trPr>
          <w:trHeight w:val="1125" w:hRule="atLeast"/>
        </w:trPr>
        <w:tc>
          <w:tcPr>
            <w:tcW w:w="1107" w:type="dxa"/>
            <w:gridSpan w:val="2"/>
            <w:vMerge w:val="restart"/>
            <w:tcBorders>
              <w:top w:val="outset" w:color="auto" w:sz="6" w:space="0"/>
              <w:left w:val="outset" w:color="auto" w:sz="6" w:space="0"/>
              <w:right w:val="outset" w:color="auto" w:sz="6" w:space="0"/>
            </w:tcBorders>
            <w:vAlign w:val="center"/>
          </w:tcPr>
          <w:p>
            <w:pPr>
              <w:spacing w:line="400" w:lineRule="exact"/>
              <w:contextualSpacing/>
              <w:jc w:val="center"/>
              <w:rPr>
                <w:rFonts w:ascii="宋体" w:hAnsi="宋体"/>
                <w:b/>
                <w:szCs w:val="21"/>
              </w:rPr>
            </w:pPr>
            <w:r>
              <w:rPr>
                <w:rFonts w:hint="eastAsia" w:ascii="宋体" w:hAnsi="宋体"/>
                <w:b/>
                <w:szCs w:val="21"/>
              </w:rPr>
              <w:t>2.3.2</w:t>
            </w:r>
          </w:p>
        </w:tc>
        <w:tc>
          <w:tcPr>
            <w:tcW w:w="1439" w:type="dxa"/>
            <w:vMerge w:val="restart"/>
            <w:tcBorders>
              <w:top w:val="outset" w:color="auto" w:sz="6" w:space="0"/>
              <w:left w:val="outset" w:color="auto" w:sz="6" w:space="0"/>
              <w:right w:val="outset" w:color="auto" w:sz="6" w:space="0"/>
            </w:tcBorders>
            <w:vAlign w:val="center"/>
          </w:tcPr>
          <w:p>
            <w:pPr>
              <w:spacing w:line="400" w:lineRule="exact"/>
              <w:contextualSpacing/>
              <w:jc w:val="center"/>
              <w:rPr>
                <w:rFonts w:ascii="宋体" w:hAnsi="宋体"/>
                <w:szCs w:val="21"/>
              </w:rPr>
            </w:pPr>
            <w:r>
              <w:rPr>
                <w:rFonts w:hint="eastAsia" w:ascii="宋体" w:hAnsi="宋体"/>
                <w:szCs w:val="21"/>
              </w:rPr>
              <w:t>商务技术标</w:t>
            </w:r>
          </w:p>
          <w:p>
            <w:pPr>
              <w:spacing w:line="400" w:lineRule="exact"/>
              <w:contextualSpacing/>
              <w:jc w:val="center"/>
              <w:rPr>
                <w:rFonts w:ascii="宋体" w:hAnsi="宋体"/>
                <w:szCs w:val="21"/>
              </w:rPr>
            </w:pPr>
            <w:r>
              <w:rPr>
                <w:rFonts w:hint="eastAsia" w:ascii="宋体" w:hAnsi="宋体"/>
                <w:szCs w:val="21"/>
              </w:rPr>
              <w:t>评审</w:t>
            </w:r>
          </w:p>
          <w:p>
            <w:pPr>
              <w:spacing w:line="400" w:lineRule="exact"/>
              <w:contextualSpacing/>
              <w:jc w:val="center"/>
              <w:rPr>
                <w:rFonts w:ascii="宋体" w:hAnsi="宋体"/>
                <w:b/>
                <w:szCs w:val="21"/>
              </w:rPr>
            </w:pPr>
            <w:r>
              <w:rPr>
                <w:rFonts w:hint="eastAsia" w:ascii="宋体" w:hAnsi="宋体"/>
                <w:szCs w:val="21"/>
              </w:rPr>
              <w:t>（12分）</w:t>
            </w:r>
          </w:p>
        </w:tc>
        <w:tc>
          <w:tcPr>
            <w:tcW w:w="7490" w:type="dxa"/>
            <w:gridSpan w:val="3"/>
            <w:tcBorders>
              <w:top w:val="outset" w:color="auto" w:sz="6" w:space="0"/>
              <w:left w:val="outset" w:color="auto" w:sz="6" w:space="0"/>
              <w:bottom w:val="outset" w:color="auto" w:sz="6" w:space="0"/>
              <w:right w:val="outset" w:color="auto" w:sz="6" w:space="0"/>
            </w:tcBorders>
            <w:vAlign w:val="center"/>
          </w:tcPr>
          <w:p>
            <w:pPr>
              <w:widowControl/>
              <w:spacing w:line="400" w:lineRule="exact"/>
              <w:contextualSpacing/>
              <w:jc w:val="left"/>
              <w:rPr>
                <w:rFonts w:ascii="宋体" w:hAnsi="宋体" w:cs="宋体"/>
                <w:b/>
                <w:color w:val="0000FF"/>
                <w:szCs w:val="21"/>
              </w:rPr>
            </w:pPr>
            <w:r>
              <w:rPr>
                <w:rFonts w:hint="eastAsia" w:ascii="宋体" w:hAnsi="宋体" w:cs="宋体"/>
                <w:b/>
                <w:color w:val="0000FF"/>
                <w:szCs w:val="21"/>
              </w:rPr>
              <w:t>1.项目负责人或现场负责人近五年内（2020-2024年）业绩2分</w:t>
            </w:r>
          </w:p>
          <w:p>
            <w:pPr>
              <w:pStyle w:val="2"/>
              <w:ind w:left="63" w:right="63"/>
              <w:jc w:val="left"/>
              <w:rPr>
                <w:color w:val="FF0000"/>
              </w:rPr>
            </w:pPr>
            <w:r>
              <w:rPr>
                <w:rFonts w:hint="eastAsia"/>
                <w:color w:val="0000FF"/>
              </w:rPr>
              <w:t>近五年内被南通市园林绿化管理处评为“绿化管护优秀项目负责人（现场负责人）”的，每有1次得0.5分，不超过2分。</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Ex>
        <w:trPr>
          <w:trHeight w:val="6994" w:hRule="atLeast"/>
        </w:trPr>
        <w:tc>
          <w:tcPr>
            <w:tcW w:w="1107" w:type="dxa"/>
            <w:gridSpan w:val="2"/>
            <w:vMerge w:val="continue"/>
            <w:tcBorders>
              <w:top w:val="outset" w:color="auto" w:sz="6" w:space="0"/>
              <w:left w:val="outset" w:color="auto" w:sz="6" w:space="0"/>
              <w:right w:val="outset" w:color="auto" w:sz="6" w:space="0"/>
            </w:tcBorders>
            <w:vAlign w:val="center"/>
          </w:tcPr>
          <w:p>
            <w:pPr>
              <w:spacing w:line="400" w:lineRule="exact"/>
              <w:contextualSpacing/>
              <w:jc w:val="center"/>
              <w:rPr>
                <w:rFonts w:ascii="宋体" w:hAnsi="宋体"/>
                <w:b/>
                <w:szCs w:val="21"/>
              </w:rPr>
            </w:pPr>
          </w:p>
        </w:tc>
        <w:tc>
          <w:tcPr>
            <w:tcW w:w="1439" w:type="dxa"/>
            <w:vMerge w:val="continue"/>
            <w:tcBorders>
              <w:top w:val="outset" w:color="auto" w:sz="6" w:space="0"/>
              <w:left w:val="outset" w:color="auto" w:sz="6" w:space="0"/>
              <w:right w:val="outset" w:color="auto" w:sz="6" w:space="0"/>
            </w:tcBorders>
            <w:vAlign w:val="center"/>
          </w:tcPr>
          <w:p>
            <w:pPr>
              <w:spacing w:line="400" w:lineRule="exact"/>
              <w:contextualSpacing/>
              <w:jc w:val="center"/>
              <w:rPr>
                <w:rFonts w:ascii="宋体" w:hAnsi="宋体"/>
                <w:szCs w:val="21"/>
              </w:rPr>
            </w:pPr>
          </w:p>
        </w:tc>
        <w:tc>
          <w:tcPr>
            <w:tcW w:w="7490" w:type="dxa"/>
            <w:gridSpan w:val="3"/>
            <w:tcBorders>
              <w:top w:val="outset" w:color="auto" w:sz="6" w:space="0"/>
              <w:left w:val="outset" w:color="auto" w:sz="6" w:space="0"/>
              <w:bottom w:val="outset" w:color="auto" w:sz="6" w:space="0"/>
              <w:right w:val="outset" w:color="auto" w:sz="6" w:space="0"/>
            </w:tcBorders>
            <w:vAlign w:val="center"/>
          </w:tcPr>
          <w:p>
            <w:pPr>
              <w:widowControl/>
              <w:spacing w:line="400" w:lineRule="exact"/>
              <w:contextualSpacing/>
              <w:jc w:val="left"/>
              <w:rPr>
                <w:rFonts w:ascii="宋体" w:hAnsi="宋体"/>
                <w:b/>
                <w:color w:val="000000" w:themeColor="text1"/>
                <w:szCs w:val="21"/>
              </w:rPr>
            </w:pPr>
            <w:r>
              <w:rPr>
                <w:rFonts w:hint="eastAsia" w:ascii="宋体" w:hAnsi="宋体" w:cs="宋体"/>
                <w:b/>
                <w:color w:val="000000" w:themeColor="text1"/>
                <w:szCs w:val="21"/>
              </w:rPr>
              <w:t>2</w:t>
            </w:r>
            <w:r>
              <w:rPr>
                <w:rFonts w:hint="eastAsia" w:ascii="宋体" w:hAnsi="宋体"/>
                <w:b/>
                <w:color w:val="000000" w:themeColor="text1"/>
                <w:szCs w:val="21"/>
              </w:rPr>
              <w:t>.管护方案（暗标）8分</w:t>
            </w:r>
            <w:r>
              <w:rPr>
                <w:rFonts w:hint="eastAsia" w:ascii="宋体" w:hAnsi="宋体"/>
                <w:color w:val="000000" w:themeColor="text1"/>
                <w:szCs w:val="21"/>
              </w:rPr>
              <w:t>（简明扼要，不得超过10页纸。</w:t>
            </w:r>
            <w:r>
              <w:rPr>
                <w:rFonts w:hint="eastAsia" w:ascii="宋体" w:hAnsi="宋体" w:cs="宋体"/>
                <w:color w:val="000000" w:themeColor="text1"/>
                <w:kern w:val="0"/>
                <w:szCs w:val="21"/>
              </w:rPr>
              <w:t>如超过或针对性差、不切实际的，得分为一般或差</w:t>
            </w:r>
            <w:r>
              <w:rPr>
                <w:rFonts w:hint="eastAsia" w:ascii="宋体" w:hAnsi="宋体"/>
                <w:b/>
                <w:color w:val="000000" w:themeColor="text1"/>
                <w:szCs w:val="21"/>
              </w:rPr>
              <w:t>）</w:t>
            </w:r>
          </w:p>
          <w:p>
            <w:pPr>
              <w:widowControl/>
              <w:spacing w:line="400" w:lineRule="exact"/>
              <w:contextualSpacing/>
              <w:jc w:val="left"/>
              <w:rPr>
                <w:rFonts w:ascii="宋体" w:hAnsi="宋体"/>
                <w:b/>
                <w:color w:val="000000" w:themeColor="text1"/>
                <w:szCs w:val="21"/>
              </w:rPr>
            </w:pPr>
            <w:r>
              <w:rPr>
                <w:rFonts w:hint="eastAsia" w:ascii="宋体" w:hAnsi="宋体" w:cs="宋体"/>
                <w:bCs/>
                <w:color w:val="000000" w:themeColor="text1"/>
                <w:kern w:val="0"/>
                <w:szCs w:val="21"/>
              </w:rPr>
              <w:t>所有评委评分中去掉一个最高和最低评分后的平均值为最终得分。</w:t>
            </w:r>
          </w:p>
          <w:p>
            <w:pPr>
              <w:widowControl/>
              <w:spacing w:line="400" w:lineRule="exact"/>
              <w:jc w:val="left"/>
              <w:rPr>
                <w:rFonts w:ascii="宋体" w:hAnsi="宋体" w:cs="宋体"/>
                <w:color w:val="000000" w:themeColor="text1"/>
                <w:szCs w:val="21"/>
              </w:rPr>
            </w:pPr>
            <w:r>
              <w:rPr>
                <w:rFonts w:hint="eastAsia" w:ascii="宋体" w:hAnsi="宋体" w:cs="宋体"/>
                <w:color w:val="000000" w:themeColor="text1"/>
                <w:szCs w:val="21"/>
              </w:rPr>
              <w:t>管护方案：针对行政中心附属绿地的特殊性，编制有针对性的养护作业方案。至少包含但不仅限于：有完善的组织管理体系；有针对政府大院附属绿地养护质量和作业时间特殊要求的工作措施；有科学合理的质量、安全、文明管护方案；有养护过程关键性环节、重点难点分析、解决方法。</w:t>
            </w:r>
          </w:p>
          <w:p>
            <w:pPr>
              <w:widowControl/>
              <w:spacing w:line="400" w:lineRule="exact"/>
              <w:jc w:val="left"/>
              <w:rPr>
                <w:rFonts w:ascii="宋体" w:hAnsi="宋体" w:cs="宋体"/>
                <w:b/>
                <w:color w:val="FF0000"/>
                <w:kern w:val="0"/>
                <w:szCs w:val="21"/>
              </w:rPr>
            </w:pPr>
            <w:r>
              <w:rPr>
                <w:rFonts w:hint="eastAsia" w:ascii="宋体" w:hAnsi="宋体" w:cs="宋体"/>
                <w:color w:val="000000" w:themeColor="text1"/>
                <w:kern w:val="0"/>
                <w:szCs w:val="21"/>
              </w:rPr>
              <w:t>①</w:t>
            </w:r>
            <w:r>
              <w:rPr>
                <w:rFonts w:hint="eastAsia" w:ascii="宋体" w:hAnsi="宋体" w:cs="宋体"/>
                <w:color w:val="000000" w:themeColor="text1"/>
                <w:szCs w:val="21"/>
              </w:rPr>
              <w:t>有完善的组织管理体系</w:t>
            </w:r>
            <w:r>
              <w:rPr>
                <w:rFonts w:hint="eastAsia" w:ascii="宋体" w:hAnsi="宋体" w:cs="宋体"/>
                <w:color w:val="000000" w:themeColor="text1"/>
                <w:kern w:val="0"/>
                <w:szCs w:val="21"/>
              </w:rPr>
              <w:t xml:space="preserve">2分。  </w:t>
            </w:r>
          </w:p>
          <w:p>
            <w:pPr>
              <w:widowControl/>
              <w:spacing w:line="400" w:lineRule="exact"/>
              <w:jc w:val="left"/>
              <w:rPr>
                <w:rFonts w:ascii="宋体" w:hAnsi="宋体" w:cs="宋体"/>
                <w:color w:val="000000" w:themeColor="text1"/>
                <w:kern w:val="0"/>
                <w:szCs w:val="21"/>
              </w:rPr>
            </w:pPr>
            <w:r>
              <w:rPr>
                <w:rFonts w:hint="eastAsia" w:ascii="宋体" w:hAnsi="宋体" w:cs="宋体"/>
                <w:color w:val="000000" w:themeColor="text1"/>
                <w:kern w:val="0"/>
                <w:szCs w:val="21"/>
              </w:rPr>
              <w:t>组织管理体系齐全，岗位职责明确到各工种、各季节、各成员。好的得1.6-2.0分；较好的得1.1-1.5分；一般的得0.6-1.0分；没有或差的得0.0-0.5分。</w:t>
            </w:r>
          </w:p>
          <w:p>
            <w:pPr>
              <w:widowControl/>
              <w:spacing w:line="400" w:lineRule="exact"/>
              <w:jc w:val="left"/>
              <w:rPr>
                <w:b/>
                <w:color w:val="FF0000"/>
                <w:szCs w:val="21"/>
              </w:rPr>
            </w:pPr>
            <w:r>
              <w:rPr>
                <w:rFonts w:hint="eastAsia" w:ascii="宋体" w:hAnsi="宋体" w:cs="宋体"/>
                <w:color w:val="000000" w:themeColor="text1"/>
                <w:kern w:val="0"/>
                <w:szCs w:val="21"/>
              </w:rPr>
              <w:t>②</w:t>
            </w:r>
            <w:r>
              <w:rPr>
                <w:rFonts w:hint="eastAsia" w:ascii="宋体" w:hAnsi="宋体" w:cs="宋体"/>
                <w:color w:val="000000" w:themeColor="text1"/>
                <w:szCs w:val="21"/>
              </w:rPr>
              <w:t>针对政府大院附属绿地的特殊性，制定包括养护质量、作业时间安排、安全文明措施等个性化的</w:t>
            </w:r>
            <w:r>
              <w:rPr>
                <w:rFonts w:hint="eastAsia" w:ascii="宋体" w:hAnsi="宋体" w:cs="宋体"/>
                <w:color w:val="000000" w:themeColor="text1"/>
                <w:kern w:val="0"/>
                <w:szCs w:val="21"/>
              </w:rPr>
              <w:t xml:space="preserve">管养方案3分。 </w:t>
            </w:r>
            <w:r>
              <w:rPr>
                <w:rFonts w:hint="eastAsia" w:ascii="宋体" w:hAnsi="宋体" w:cs="宋体"/>
                <w:b/>
                <w:color w:val="FF0000"/>
                <w:kern w:val="0"/>
                <w:szCs w:val="21"/>
              </w:rPr>
              <w:t xml:space="preserve">  </w:t>
            </w:r>
          </w:p>
          <w:p>
            <w:pPr>
              <w:widowControl/>
              <w:spacing w:line="400" w:lineRule="exact"/>
              <w:jc w:val="left"/>
              <w:rPr>
                <w:rFonts w:ascii="宋体" w:hAnsi="宋体" w:cs="宋体"/>
                <w:color w:val="000000" w:themeColor="text1"/>
                <w:kern w:val="0"/>
                <w:szCs w:val="21"/>
              </w:rPr>
            </w:pPr>
            <w:r>
              <w:rPr>
                <w:rFonts w:hint="eastAsia" w:ascii="宋体" w:hAnsi="宋体" w:cs="宋体"/>
                <w:color w:val="000000" w:themeColor="text1"/>
                <w:kern w:val="0"/>
                <w:szCs w:val="21"/>
              </w:rPr>
              <w:t>方案科学合理，</w:t>
            </w:r>
            <w:r>
              <w:rPr>
                <w:rFonts w:hint="eastAsia"/>
                <w:color w:val="000000" w:themeColor="text1"/>
                <w:szCs w:val="21"/>
              </w:rPr>
              <w:t>针对性及</w:t>
            </w:r>
            <w:r>
              <w:rPr>
                <w:rFonts w:hint="eastAsia" w:ascii="宋体" w:hAnsi="宋体" w:cs="宋体"/>
                <w:color w:val="000000" w:themeColor="text1"/>
                <w:kern w:val="0"/>
                <w:szCs w:val="21"/>
              </w:rPr>
              <w:t>操作性强。好的得2.6-3.0分；较好的得2.1-2.5分；一般的得1.1-2.0分；没有或差的得0.0-1.0分。</w:t>
            </w:r>
          </w:p>
          <w:p>
            <w:pPr>
              <w:widowControl/>
              <w:spacing w:line="400" w:lineRule="exact"/>
              <w:jc w:val="left"/>
              <w:rPr>
                <w:rFonts w:ascii="宋体" w:hAnsi="宋体" w:cs="宋体"/>
                <w:color w:val="000000" w:themeColor="text1"/>
                <w:kern w:val="0"/>
                <w:szCs w:val="21"/>
              </w:rPr>
            </w:pPr>
            <w:r>
              <w:rPr>
                <w:rFonts w:hint="eastAsia" w:ascii="宋体" w:hAnsi="宋体" w:cs="宋体"/>
                <w:color w:val="000000" w:themeColor="text1"/>
                <w:kern w:val="0"/>
                <w:szCs w:val="21"/>
              </w:rPr>
              <w:t>③</w:t>
            </w:r>
            <w:r>
              <w:rPr>
                <w:rFonts w:hint="eastAsia" w:ascii="宋体" w:hAnsi="宋体" w:cs="宋体"/>
                <w:color w:val="000000" w:themeColor="text1"/>
                <w:szCs w:val="21"/>
              </w:rPr>
              <w:t xml:space="preserve">养护过程中关键性环节、重点难点分析、解决方法3分。 </w:t>
            </w:r>
          </w:p>
          <w:p>
            <w:pPr>
              <w:widowControl/>
              <w:spacing w:line="400" w:lineRule="exact"/>
              <w:contextualSpacing/>
              <w:jc w:val="left"/>
              <w:rPr>
                <w:rFonts w:ascii="宋体" w:hAnsi="宋体" w:cs="宋体"/>
                <w:color w:val="000000" w:themeColor="text1"/>
                <w:kern w:val="0"/>
                <w:szCs w:val="21"/>
              </w:rPr>
            </w:pPr>
            <w:r>
              <w:rPr>
                <w:rFonts w:hint="eastAsia" w:ascii="宋体" w:hAnsi="宋体" w:cs="宋体"/>
                <w:color w:val="000000" w:themeColor="text1"/>
                <w:szCs w:val="21"/>
              </w:rPr>
              <w:t>关键性环节及重点难点分析</w:t>
            </w:r>
            <w:r>
              <w:rPr>
                <w:rFonts w:hint="eastAsia" w:ascii="宋体" w:hAnsi="宋体" w:cs="宋体"/>
                <w:color w:val="000000" w:themeColor="text1"/>
                <w:kern w:val="0"/>
                <w:szCs w:val="21"/>
              </w:rPr>
              <w:t>切合实际，</w:t>
            </w:r>
            <w:r>
              <w:rPr>
                <w:rFonts w:hint="eastAsia" w:ascii="宋体" w:hAnsi="宋体" w:cs="宋体"/>
                <w:color w:val="000000" w:themeColor="text1"/>
                <w:szCs w:val="21"/>
              </w:rPr>
              <w:t>解决方法</w:t>
            </w:r>
            <w:r>
              <w:rPr>
                <w:rFonts w:hint="eastAsia" w:ascii="宋体" w:hAnsi="宋体" w:cs="宋体"/>
                <w:color w:val="000000" w:themeColor="text1"/>
                <w:kern w:val="0"/>
                <w:szCs w:val="21"/>
              </w:rPr>
              <w:t>操作性强。好的得2.6-3.0分；较好的得2.1-2.5分；一般的得1.1-2.0分；没有或差的得0.0-1.0分。</w:t>
            </w:r>
          </w:p>
          <w:p>
            <w:pPr>
              <w:spacing w:line="400" w:lineRule="exact"/>
              <w:rPr>
                <w:rFonts w:ascii="宋体" w:hAnsi="宋体" w:cs="宋体"/>
                <w:color w:val="000000" w:themeColor="text1"/>
                <w:szCs w:val="21"/>
              </w:rPr>
            </w:pPr>
            <w:r>
              <w:rPr>
                <w:rFonts w:hint="eastAsia" w:ascii="宋体" w:hAnsi="宋体" w:cs="宋体"/>
                <w:b/>
                <w:color w:val="000000" w:themeColor="text1"/>
                <w:szCs w:val="21"/>
              </w:rPr>
              <w:t>上述管护方案为暗标，编制时不可以有封面，具体格式和要求如下：</w:t>
            </w:r>
          </w:p>
          <w:p>
            <w:pPr>
              <w:spacing w:line="400" w:lineRule="exact"/>
              <w:rPr>
                <w:rFonts w:ascii="宋体" w:hAnsi="宋体" w:cs="宋体"/>
                <w:color w:val="000000" w:themeColor="text1"/>
                <w:szCs w:val="21"/>
              </w:rPr>
            </w:pPr>
            <w:r>
              <w:rPr>
                <w:rFonts w:hint="eastAsia" w:ascii="宋体" w:hAnsi="宋体" w:cs="宋体"/>
                <w:color w:val="000000" w:themeColor="text1"/>
                <w:szCs w:val="21"/>
              </w:rPr>
              <w:t>①正文（含标题）不得出现可识别投标人身份的任何字符和徽标（包括文字、符号、图案、边框、表格、标识、标志、人员姓名、企业名称、以往工程名称、投标人独有企业标准或编号等）</w:t>
            </w:r>
          </w:p>
          <w:p>
            <w:pPr>
              <w:widowControl/>
              <w:spacing w:line="400" w:lineRule="exact"/>
              <w:contextualSpacing/>
              <w:jc w:val="left"/>
              <w:rPr>
                <w:rFonts w:ascii="宋体" w:hAnsi="宋体" w:cs="宋体"/>
                <w:b/>
                <w:color w:val="0000FF"/>
                <w:szCs w:val="21"/>
              </w:rPr>
            </w:pPr>
            <w:r>
              <w:rPr>
                <w:rFonts w:hint="eastAsia" w:ascii="宋体" w:hAnsi="宋体" w:cs="宋体"/>
                <w:color w:val="000000" w:themeColor="text1"/>
                <w:szCs w:val="21"/>
              </w:rPr>
              <w:t>②排版要求：A4页面；必须使用WORD文件形式；正文（含标题）仿宋四号字体；行距固定值28磅；页边距（上2.5厘米，其余为2.0厘米）；不得有任何加粗、斜体、下划线、边框、表格、底纹、阴影、重复序号等标记；不允许出现页眉，页脚只准出现页码；必须编页码，采用阿拉伯数字格式，设在页脚对中位置，页码应当连续，不得分章或节单独编码；不得出现图片，不得出现表格，不得出现边框。（如纸质标书，必须使用A4白色复印纸70g；单面打印，不可双面打印；黑白打印，不可彩色打印；必须左侧装订）</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Ex>
        <w:trPr>
          <w:trHeight w:val="1874" w:hRule="atLeast"/>
        </w:trPr>
        <w:tc>
          <w:tcPr>
            <w:tcW w:w="1107" w:type="dxa"/>
            <w:gridSpan w:val="2"/>
            <w:vMerge w:val="continue"/>
            <w:tcBorders>
              <w:left w:val="outset" w:color="auto" w:sz="6" w:space="0"/>
              <w:bottom w:val="outset" w:color="auto" w:sz="6" w:space="0"/>
              <w:right w:val="outset" w:color="auto" w:sz="6" w:space="0"/>
            </w:tcBorders>
            <w:vAlign w:val="center"/>
          </w:tcPr>
          <w:p>
            <w:pPr>
              <w:spacing w:line="400" w:lineRule="exact"/>
              <w:contextualSpacing/>
              <w:jc w:val="center"/>
              <w:rPr>
                <w:rFonts w:ascii="宋体" w:hAnsi="宋体"/>
                <w:szCs w:val="21"/>
              </w:rPr>
            </w:pPr>
          </w:p>
        </w:tc>
        <w:tc>
          <w:tcPr>
            <w:tcW w:w="1439" w:type="dxa"/>
            <w:vMerge w:val="continue"/>
            <w:tcBorders>
              <w:left w:val="outset" w:color="auto" w:sz="6" w:space="0"/>
              <w:bottom w:val="outset" w:color="auto" w:sz="6" w:space="0"/>
              <w:right w:val="outset" w:color="auto" w:sz="6" w:space="0"/>
            </w:tcBorders>
            <w:vAlign w:val="center"/>
          </w:tcPr>
          <w:p>
            <w:pPr>
              <w:spacing w:line="400" w:lineRule="exact"/>
              <w:contextualSpacing/>
              <w:jc w:val="center"/>
              <w:rPr>
                <w:rFonts w:ascii="宋体" w:hAnsi="宋体"/>
                <w:szCs w:val="21"/>
              </w:rPr>
            </w:pPr>
          </w:p>
        </w:tc>
        <w:tc>
          <w:tcPr>
            <w:tcW w:w="7490" w:type="dxa"/>
            <w:gridSpan w:val="3"/>
            <w:tcBorders>
              <w:top w:val="outset" w:color="auto" w:sz="6" w:space="0"/>
              <w:left w:val="outset" w:color="auto" w:sz="6" w:space="0"/>
              <w:bottom w:val="outset" w:color="auto" w:sz="6" w:space="0"/>
              <w:right w:val="outset" w:color="auto" w:sz="6" w:space="0"/>
            </w:tcBorders>
            <w:vAlign w:val="center"/>
          </w:tcPr>
          <w:p>
            <w:pPr>
              <w:pStyle w:val="2"/>
              <w:spacing w:line="400" w:lineRule="exact"/>
              <w:ind w:left="0" w:leftChars="0" w:right="63"/>
              <w:jc w:val="left"/>
              <w:rPr>
                <w:rFonts w:ascii="宋体" w:hAnsi="宋体"/>
                <w:b/>
                <w:color w:val="000000" w:themeColor="text1"/>
                <w:szCs w:val="21"/>
              </w:rPr>
            </w:pPr>
            <w:r>
              <w:rPr>
                <w:rFonts w:hint="eastAsia" w:ascii="宋体" w:hAnsi="宋体" w:cs="宋体"/>
                <w:color w:val="000000" w:themeColor="text1"/>
                <w:szCs w:val="21"/>
              </w:rPr>
              <w:t>3.</w:t>
            </w:r>
            <w:r>
              <w:rPr>
                <w:rFonts w:hint="eastAsia" w:ascii="宋体" w:hAnsi="宋体"/>
                <w:b/>
                <w:color w:val="000000" w:themeColor="text1"/>
                <w:szCs w:val="21"/>
              </w:rPr>
              <w:t xml:space="preserve"> 项目负责人或现场负责人现场答辩（2分）</w:t>
            </w:r>
          </w:p>
          <w:p>
            <w:pPr>
              <w:widowControl/>
              <w:spacing w:line="400" w:lineRule="exact"/>
              <w:jc w:val="left"/>
              <w:rPr>
                <w:rFonts w:ascii="宋体" w:hAnsi="宋体" w:cs="宋体"/>
                <w:bCs/>
                <w:color w:val="000000" w:themeColor="text1"/>
                <w:kern w:val="0"/>
                <w:szCs w:val="21"/>
              </w:rPr>
            </w:pPr>
            <w:r>
              <w:rPr>
                <w:rFonts w:hint="eastAsia" w:ascii="宋体" w:hAnsi="宋体"/>
                <w:color w:val="000000" w:themeColor="text1"/>
                <w:szCs w:val="21"/>
              </w:rPr>
              <w:t>由评标委员会根据行政中心附属绿地的特殊性现场出题，项目负责人或现场负责人现场书面答辩（项目负责人必须认真踏勘</w:t>
            </w:r>
            <w:r>
              <w:rPr>
                <w:rFonts w:hint="eastAsia" w:ascii="宋体" w:hAnsi="宋体" w:cs="宋体"/>
                <w:bCs/>
                <w:color w:val="000000" w:themeColor="text1"/>
                <w:kern w:val="0"/>
                <w:szCs w:val="21"/>
              </w:rPr>
              <w:t>现场）。所有评委评分中去掉一个最高和最低评分后的平均值为最终得分。</w:t>
            </w:r>
          </w:p>
          <w:p>
            <w:pPr>
              <w:widowControl/>
              <w:spacing w:line="400" w:lineRule="exact"/>
              <w:jc w:val="left"/>
              <w:rPr>
                <w:rFonts w:ascii="宋体" w:hAnsi="宋体" w:cs="宋体"/>
                <w:bCs/>
                <w:color w:val="000000" w:themeColor="text1"/>
                <w:kern w:val="0"/>
                <w:szCs w:val="21"/>
              </w:rPr>
            </w:pPr>
            <w:r>
              <w:rPr>
                <w:rFonts w:hint="eastAsia" w:ascii="宋体" w:hAnsi="宋体" w:cs="宋体"/>
                <w:bCs/>
                <w:color w:val="000000" w:themeColor="text1"/>
                <w:kern w:val="0"/>
                <w:szCs w:val="21"/>
              </w:rPr>
              <w:t>好的得1.6-2.0分，较好的得1.1-1.5分，一般的得0.6-1.0分，没有或差的得0.0-0.5分。</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Ex>
        <w:trPr>
          <w:trHeight w:val="1671" w:hRule="atLeast"/>
        </w:trPr>
        <w:tc>
          <w:tcPr>
            <w:tcW w:w="1107" w:type="dxa"/>
            <w:gridSpan w:val="2"/>
            <w:vMerge w:val="restart"/>
            <w:tcBorders>
              <w:top w:val="outset" w:color="auto" w:sz="6" w:space="0"/>
              <w:left w:val="outset" w:color="auto" w:sz="6" w:space="0"/>
              <w:right w:val="outset" w:color="auto" w:sz="6" w:space="0"/>
            </w:tcBorders>
            <w:vAlign w:val="center"/>
          </w:tcPr>
          <w:p>
            <w:pPr>
              <w:spacing w:line="400" w:lineRule="exact"/>
              <w:contextualSpacing/>
              <w:rPr>
                <w:rFonts w:ascii="宋体" w:hAnsi="宋体"/>
                <w:szCs w:val="21"/>
              </w:rPr>
            </w:pPr>
            <w:r>
              <w:rPr>
                <w:rFonts w:hint="eastAsia" w:ascii="宋体" w:hAnsi="宋体"/>
                <w:szCs w:val="21"/>
              </w:rPr>
              <w:t>2.3.3</w:t>
            </w:r>
          </w:p>
        </w:tc>
        <w:tc>
          <w:tcPr>
            <w:tcW w:w="1439" w:type="dxa"/>
            <w:vMerge w:val="restart"/>
            <w:tcBorders>
              <w:top w:val="outset" w:color="auto" w:sz="6" w:space="0"/>
              <w:left w:val="outset" w:color="auto" w:sz="6" w:space="0"/>
              <w:right w:val="outset" w:color="auto" w:sz="6" w:space="0"/>
            </w:tcBorders>
            <w:vAlign w:val="center"/>
          </w:tcPr>
          <w:p>
            <w:pPr>
              <w:spacing w:line="400" w:lineRule="exact"/>
              <w:contextualSpacing/>
              <w:rPr>
                <w:rFonts w:ascii="宋体" w:hAnsi="宋体"/>
                <w:szCs w:val="21"/>
              </w:rPr>
            </w:pPr>
            <w:r>
              <w:rPr>
                <w:rFonts w:hint="eastAsia" w:ascii="宋体" w:hAnsi="宋体"/>
                <w:szCs w:val="21"/>
              </w:rPr>
              <w:t>价格标评审</w:t>
            </w:r>
          </w:p>
          <w:p>
            <w:pPr>
              <w:pStyle w:val="2"/>
              <w:ind w:left="63" w:right="63"/>
            </w:pPr>
            <w:r>
              <w:rPr>
                <w:rFonts w:hint="eastAsia"/>
              </w:rPr>
              <w:t>（88分）</w:t>
            </w:r>
          </w:p>
        </w:tc>
        <w:tc>
          <w:tcPr>
            <w:tcW w:w="7490" w:type="dxa"/>
            <w:gridSpan w:val="3"/>
            <w:tcBorders>
              <w:top w:val="outset" w:color="auto" w:sz="6" w:space="0"/>
              <w:left w:val="outset" w:color="auto" w:sz="6" w:space="0"/>
              <w:bottom w:val="outset" w:color="auto" w:sz="6" w:space="0"/>
              <w:right w:val="outset" w:color="auto" w:sz="6" w:space="0"/>
            </w:tcBorders>
            <w:vAlign w:val="center"/>
          </w:tcPr>
          <w:p>
            <w:pPr>
              <w:widowControl/>
              <w:spacing w:line="400" w:lineRule="exact"/>
              <w:contextualSpacing/>
              <w:jc w:val="left"/>
              <w:rPr>
                <w:rFonts w:ascii="宋体" w:hAnsi="宋体"/>
                <w:b/>
                <w:color w:val="000000" w:themeColor="text1"/>
                <w:szCs w:val="21"/>
              </w:rPr>
            </w:pPr>
            <w:r>
              <w:rPr>
                <w:rFonts w:hint="eastAsia" w:ascii="宋体" w:hAnsi="宋体"/>
                <w:b/>
                <w:color w:val="000000" w:themeColor="text1"/>
                <w:szCs w:val="21"/>
              </w:rPr>
              <w:t xml:space="preserve">3.投标报价88分      </w:t>
            </w:r>
          </w:p>
          <w:p>
            <w:pPr>
              <w:spacing w:line="400" w:lineRule="exact"/>
              <w:ind w:firstLine="285" w:firstLineChars="135"/>
              <w:contextualSpacing/>
              <w:rPr>
                <w:rFonts w:ascii="宋体" w:hAnsi="宋体"/>
                <w:szCs w:val="21"/>
              </w:rPr>
            </w:pPr>
            <w:r>
              <w:rPr>
                <w:rFonts w:hint="eastAsia" w:ascii="宋体" w:hAnsi="宋体"/>
                <w:b/>
                <w:color w:val="000000" w:themeColor="text1"/>
                <w:szCs w:val="21"/>
              </w:rPr>
              <w:t>投标报价等于评标基准价的得88分</w:t>
            </w:r>
            <w:r>
              <w:rPr>
                <w:rFonts w:hint="eastAsia" w:ascii="宋体" w:hAnsi="宋体"/>
                <w:color w:val="000000" w:themeColor="text1"/>
                <w:szCs w:val="21"/>
              </w:rPr>
              <w:t>，投标报</w:t>
            </w:r>
            <w:r>
              <w:rPr>
                <w:rFonts w:hint="eastAsia" w:ascii="宋体" w:hAnsi="宋体"/>
                <w:szCs w:val="21"/>
              </w:rPr>
              <w:t>价相对评标基准价每低1%扣</w:t>
            </w:r>
            <w:r>
              <w:rPr>
                <w:rFonts w:hint="eastAsia" w:ascii="宋体" w:hAnsi="宋体"/>
                <w:szCs w:val="21"/>
                <w:u w:val="single"/>
              </w:rPr>
              <w:t xml:space="preserve">0.6 </w:t>
            </w:r>
            <w:r>
              <w:rPr>
                <w:rFonts w:hint="eastAsia" w:ascii="宋体" w:hAnsi="宋体"/>
                <w:szCs w:val="21"/>
              </w:rPr>
              <w:t>分 ，每高1%扣</w:t>
            </w:r>
            <w:r>
              <w:rPr>
                <w:rFonts w:hint="eastAsia" w:ascii="宋体" w:hAnsi="宋体"/>
                <w:szCs w:val="21"/>
                <w:u w:val="single"/>
              </w:rPr>
              <w:t xml:space="preserve"> 0.9 </w:t>
            </w:r>
            <w:r>
              <w:rPr>
                <w:rFonts w:hint="eastAsia" w:ascii="宋体" w:hAnsi="宋体"/>
                <w:szCs w:val="21"/>
              </w:rPr>
              <w:t>分；偏离不足1%的，按照插入法计算得分，评分计算过程中的偏离率和分值计算结果均保留两位小数，第三位四舍五入。</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Ex>
        <w:trPr>
          <w:trHeight w:val="1649" w:hRule="atLeast"/>
        </w:trPr>
        <w:tc>
          <w:tcPr>
            <w:tcW w:w="1107" w:type="dxa"/>
            <w:gridSpan w:val="2"/>
            <w:vMerge w:val="continue"/>
            <w:tcBorders>
              <w:left w:val="outset" w:color="auto" w:sz="6" w:space="0"/>
              <w:bottom w:val="outset" w:color="auto" w:sz="6" w:space="0"/>
              <w:right w:val="outset" w:color="auto" w:sz="6" w:space="0"/>
            </w:tcBorders>
            <w:vAlign w:val="center"/>
          </w:tcPr>
          <w:p>
            <w:pPr>
              <w:spacing w:line="400" w:lineRule="exact"/>
              <w:contextualSpacing/>
              <w:rPr>
                <w:rFonts w:ascii="宋体" w:hAnsi="宋体"/>
                <w:szCs w:val="21"/>
              </w:rPr>
            </w:pPr>
          </w:p>
        </w:tc>
        <w:tc>
          <w:tcPr>
            <w:tcW w:w="1439" w:type="dxa"/>
            <w:vMerge w:val="continue"/>
            <w:tcBorders>
              <w:left w:val="outset" w:color="auto" w:sz="6" w:space="0"/>
              <w:bottom w:val="outset" w:color="auto" w:sz="6" w:space="0"/>
              <w:right w:val="outset" w:color="auto" w:sz="6" w:space="0"/>
            </w:tcBorders>
            <w:vAlign w:val="center"/>
          </w:tcPr>
          <w:p>
            <w:pPr>
              <w:spacing w:line="400" w:lineRule="exact"/>
              <w:contextualSpacing/>
              <w:rPr>
                <w:rFonts w:ascii="宋体" w:hAnsi="宋体"/>
                <w:szCs w:val="21"/>
              </w:rPr>
            </w:pPr>
          </w:p>
        </w:tc>
        <w:tc>
          <w:tcPr>
            <w:tcW w:w="7490" w:type="dxa"/>
            <w:gridSpan w:val="3"/>
            <w:tcBorders>
              <w:top w:val="outset" w:color="auto" w:sz="6" w:space="0"/>
              <w:left w:val="outset" w:color="auto" w:sz="6" w:space="0"/>
              <w:bottom w:val="outset" w:color="auto" w:sz="6" w:space="0"/>
              <w:right w:val="outset" w:color="auto" w:sz="6" w:space="0"/>
            </w:tcBorders>
            <w:vAlign w:val="center"/>
          </w:tcPr>
          <w:p>
            <w:pPr>
              <w:autoSpaceDE w:val="0"/>
              <w:autoSpaceDN w:val="0"/>
              <w:adjustRightInd w:val="0"/>
              <w:spacing w:before="73" w:line="400" w:lineRule="exact"/>
              <w:contextualSpacing/>
              <w:jc w:val="left"/>
              <w:rPr>
                <w:rFonts w:ascii="宋体" w:hAnsi="宋体"/>
                <w:kern w:val="0"/>
                <w:szCs w:val="21"/>
              </w:rPr>
            </w:pPr>
            <w:r>
              <w:rPr>
                <w:rFonts w:hint="eastAsia" w:ascii="宋体" w:hAnsi="宋体"/>
                <w:kern w:val="0"/>
                <w:szCs w:val="21"/>
              </w:rPr>
              <w:t>1.评标基准值计算方法的确定</w:t>
            </w:r>
          </w:p>
          <w:p>
            <w:pPr>
              <w:autoSpaceDE w:val="0"/>
              <w:autoSpaceDN w:val="0"/>
              <w:adjustRightInd w:val="0"/>
              <w:spacing w:before="73" w:line="400" w:lineRule="exact"/>
              <w:ind w:firstLine="210" w:firstLineChars="100"/>
              <w:contextualSpacing/>
              <w:jc w:val="left"/>
              <w:rPr>
                <w:rFonts w:ascii="宋体" w:hAnsi="宋体" w:cs="宋体"/>
                <w:szCs w:val="21"/>
              </w:rPr>
            </w:pPr>
            <w:r>
              <w:rPr>
                <w:rFonts w:ascii="宋体" w:hAnsi="宋体" w:cs="宋体"/>
                <w:szCs w:val="21"/>
              </w:rPr>
              <w:fldChar w:fldCharType="begin"/>
            </w:r>
            <w:r>
              <w:rPr>
                <w:rFonts w:ascii="宋体" w:hAnsi="宋体" w:cs="宋体"/>
                <w:szCs w:val="21"/>
              </w:rPr>
              <w:instrText xml:space="preserve"> eq \o \ac(</w:instrText>
            </w:r>
            <w:r>
              <w:rPr>
                <w:rFonts w:hint="eastAsia" w:ascii="宋体" w:hAnsi="宋体" w:cs="宋体"/>
                <w:position w:val="-4"/>
                <w:sz w:val="31"/>
                <w:szCs w:val="21"/>
              </w:rPr>
              <w:instrText xml:space="preserve">□</w:instrText>
            </w:r>
            <w:r>
              <w:rPr>
                <w:rFonts w:hint="eastAsia" w:ascii="宋体" w:hAnsi="宋体" w:cs="宋体"/>
                <w:szCs w:val="21"/>
              </w:rPr>
              <w:instrText xml:space="preserve">)</w:instrText>
            </w:r>
            <w:r>
              <w:rPr>
                <w:rFonts w:ascii="宋体" w:hAnsi="宋体" w:cs="宋体"/>
                <w:szCs w:val="21"/>
              </w:rPr>
              <w:fldChar w:fldCharType="end"/>
            </w:r>
            <w:r>
              <w:rPr>
                <w:rFonts w:hint="eastAsia" w:ascii="宋体" w:hAnsi="宋体" w:cs="宋体"/>
                <w:szCs w:val="21"/>
              </w:rPr>
              <w:t>本项目开标时</w:t>
            </w:r>
            <w:r>
              <w:rPr>
                <w:rFonts w:hint="eastAsia" w:ascii="宋体" w:hAnsi="宋体" w:cs="新宋体"/>
                <w:szCs w:val="21"/>
              </w:rPr>
              <w:t>由招标人代表</w:t>
            </w:r>
            <w:r>
              <w:rPr>
                <w:rFonts w:hint="eastAsia" w:ascii="宋体" w:hAnsi="宋体" w:cs="宋体"/>
                <w:szCs w:val="21"/>
              </w:rPr>
              <w:t>从以下方法中随机抽取确定：</w:t>
            </w:r>
          </w:p>
          <w:p>
            <w:pPr>
              <w:autoSpaceDE w:val="0"/>
              <w:autoSpaceDN w:val="0"/>
              <w:adjustRightInd w:val="0"/>
              <w:spacing w:before="73" w:line="400" w:lineRule="exact"/>
              <w:ind w:firstLine="707" w:firstLineChars="337"/>
              <w:contextualSpacing/>
              <w:jc w:val="left"/>
              <w:rPr>
                <w:rFonts w:ascii="宋体" w:hAnsi="宋体"/>
                <w:kern w:val="0"/>
                <w:szCs w:val="21"/>
              </w:rPr>
            </w:pPr>
            <w:r>
              <w:rPr>
                <w:rFonts w:ascii="宋体" w:hAnsi="宋体" w:cs="宋体"/>
                <w:szCs w:val="21"/>
              </w:rPr>
              <w:fldChar w:fldCharType="begin"/>
            </w:r>
            <w:r>
              <w:rPr>
                <w:rFonts w:ascii="宋体" w:hAnsi="宋体" w:cs="宋体"/>
                <w:szCs w:val="21"/>
              </w:rPr>
              <w:instrText xml:space="preserve"> eq \o \ac(</w:instrText>
            </w:r>
            <w:r>
              <w:rPr>
                <w:rFonts w:hint="eastAsia" w:ascii="宋体" w:hAnsi="宋体" w:cs="宋体"/>
                <w:position w:val="-4"/>
                <w:sz w:val="31"/>
                <w:szCs w:val="21"/>
              </w:rPr>
              <w:instrText xml:space="preserve">□</w:instrText>
            </w:r>
            <w:r>
              <w:rPr>
                <w:rFonts w:hint="eastAsia" w:ascii="宋体" w:hAnsi="宋体" w:cs="宋体"/>
                <w:szCs w:val="21"/>
              </w:rPr>
              <w:instrText xml:space="preserve">,√)</w:instrText>
            </w:r>
            <w:r>
              <w:rPr>
                <w:rFonts w:ascii="宋体" w:hAnsi="宋体" w:cs="宋体"/>
                <w:szCs w:val="21"/>
              </w:rPr>
              <w:fldChar w:fldCharType="end"/>
            </w:r>
            <w:r>
              <w:rPr>
                <w:rFonts w:hint="eastAsia" w:ascii="宋体" w:hAnsi="宋体"/>
                <w:kern w:val="0"/>
                <w:szCs w:val="21"/>
              </w:rPr>
              <w:t>方法一；</w:t>
            </w:r>
            <w:r>
              <w:rPr>
                <w:rFonts w:ascii="宋体" w:hAnsi="宋体" w:cs="宋体"/>
                <w:szCs w:val="21"/>
              </w:rPr>
              <w:fldChar w:fldCharType="begin"/>
            </w:r>
            <w:r>
              <w:rPr>
                <w:rFonts w:ascii="宋体" w:hAnsi="宋体" w:cs="宋体"/>
                <w:szCs w:val="21"/>
              </w:rPr>
              <w:instrText xml:space="preserve"> eq \o \ac(</w:instrText>
            </w:r>
            <w:r>
              <w:rPr>
                <w:rFonts w:hint="eastAsia" w:ascii="宋体" w:hAnsi="宋体" w:cs="宋体"/>
                <w:position w:val="-4"/>
                <w:sz w:val="31"/>
                <w:szCs w:val="21"/>
              </w:rPr>
              <w:instrText xml:space="preserve">□</w:instrText>
            </w:r>
            <w:r>
              <w:rPr>
                <w:rFonts w:hint="eastAsia" w:ascii="宋体" w:hAnsi="宋体" w:cs="宋体"/>
                <w:szCs w:val="21"/>
              </w:rPr>
              <w:instrText xml:space="preserve">,√)</w:instrText>
            </w:r>
            <w:r>
              <w:rPr>
                <w:rFonts w:ascii="宋体" w:hAnsi="宋体" w:cs="宋体"/>
                <w:szCs w:val="21"/>
              </w:rPr>
              <w:fldChar w:fldCharType="end"/>
            </w:r>
            <w:r>
              <w:rPr>
                <w:rFonts w:hint="eastAsia" w:ascii="宋体" w:hAnsi="宋体"/>
                <w:kern w:val="0"/>
                <w:szCs w:val="21"/>
              </w:rPr>
              <w:t xml:space="preserve">方法二；  </w:t>
            </w:r>
          </w:p>
          <w:p>
            <w:pPr>
              <w:autoSpaceDE w:val="0"/>
              <w:autoSpaceDN w:val="0"/>
              <w:adjustRightInd w:val="0"/>
              <w:spacing w:before="73" w:line="400" w:lineRule="exact"/>
              <w:contextualSpacing/>
              <w:jc w:val="left"/>
              <w:rPr>
                <w:rFonts w:ascii="宋体" w:hAnsi="宋体"/>
                <w:kern w:val="0"/>
                <w:szCs w:val="21"/>
              </w:rPr>
            </w:pPr>
            <w:r>
              <w:rPr>
                <w:rFonts w:hint="eastAsia" w:ascii="宋体" w:hAnsi="宋体"/>
                <w:kern w:val="0"/>
                <w:szCs w:val="21"/>
              </w:rPr>
              <w:t>2.评标基准值计算具体细则见本章附件B，参数设置如下：</w:t>
            </w:r>
          </w:p>
          <w:p>
            <w:pPr>
              <w:autoSpaceDE w:val="0"/>
              <w:autoSpaceDN w:val="0"/>
              <w:adjustRightInd w:val="0"/>
              <w:spacing w:before="73" w:line="400" w:lineRule="exact"/>
              <w:ind w:firstLine="210" w:firstLineChars="100"/>
              <w:contextualSpacing/>
              <w:jc w:val="left"/>
              <w:rPr>
                <w:rFonts w:ascii="宋体" w:hAnsi="宋体"/>
                <w:kern w:val="0"/>
                <w:szCs w:val="21"/>
              </w:rPr>
            </w:pPr>
            <w:r>
              <w:rPr>
                <w:rFonts w:hint="eastAsia" w:ascii="宋体" w:hAnsi="宋体"/>
                <w:kern w:val="0"/>
                <w:szCs w:val="21"/>
              </w:rPr>
              <w:t>方法一：K值取值范围：</w:t>
            </w:r>
            <w:r>
              <w:rPr>
                <w:rFonts w:ascii="宋体" w:hAnsi="宋体"/>
                <w:kern w:val="0"/>
                <w:szCs w:val="21"/>
                <w:u w:val="single"/>
              </w:rPr>
              <w:t>95%、96%、97%、98%</w:t>
            </w:r>
            <w:r>
              <w:rPr>
                <w:rFonts w:hint="eastAsia" w:ascii="宋体" w:hAnsi="宋体"/>
                <w:kern w:val="0"/>
                <w:szCs w:val="21"/>
              </w:rPr>
              <w:t>，开标时</w:t>
            </w:r>
            <w:r>
              <w:rPr>
                <w:rFonts w:hint="eastAsia" w:ascii="宋体" w:hAnsi="宋体" w:cs="新宋体"/>
                <w:szCs w:val="21"/>
              </w:rPr>
              <w:t>由招标人代表</w:t>
            </w:r>
            <w:r>
              <w:rPr>
                <w:rFonts w:hint="eastAsia" w:ascii="宋体" w:hAnsi="宋体"/>
                <w:kern w:val="0"/>
                <w:szCs w:val="21"/>
              </w:rPr>
              <w:t>随机抽取确定；</w:t>
            </w:r>
          </w:p>
          <w:p>
            <w:pPr>
              <w:autoSpaceDE w:val="0"/>
              <w:autoSpaceDN w:val="0"/>
              <w:adjustRightInd w:val="0"/>
              <w:spacing w:before="73" w:line="400" w:lineRule="exact"/>
              <w:ind w:firstLine="210" w:firstLineChars="100"/>
              <w:contextualSpacing/>
              <w:jc w:val="left"/>
              <w:rPr>
                <w:rFonts w:ascii="宋体" w:hAnsi="宋体"/>
                <w:kern w:val="0"/>
                <w:szCs w:val="21"/>
              </w:rPr>
            </w:pPr>
            <w:r>
              <w:rPr>
                <w:rFonts w:hint="eastAsia" w:ascii="宋体" w:hAnsi="宋体"/>
                <w:kern w:val="0"/>
                <w:szCs w:val="21"/>
              </w:rPr>
              <w:t>方法二：K1值取值范围：</w:t>
            </w:r>
            <w:r>
              <w:rPr>
                <w:rFonts w:ascii="宋体" w:hAnsi="宋体"/>
                <w:kern w:val="0"/>
                <w:szCs w:val="21"/>
                <w:u w:val="single"/>
              </w:rPr>
              <w:t>95%、96%、97%、98%</w:t>
            </w:r>
            <w:r>
              <w:rPr>
                <w:rFonts w:hint="eastAsia" w:ascii="宋体" w:hAnsi="宋体"/>
                <w:kern w:val="0"/>
                <w:szCs w:val="21"/>
              </w:rPr>
              <w:t>，开标时</w:t>
            </w:r>
            <w:r>
              <w:rPr>
                <w:rFonts w:hint="eastAsia" w:ascii="宋体" w:hAnsi="宋体" w:cs="新宋体"/>
                <w:szCs w:val="21"/>
              </w:rPr>
              <w:t>由招标人代表</w:t>
            </w:r>
            <w:r>
              <w:rPr>
                <w:rFonts w:hint="eastAsia" w:ascii="宋体" w:hAnsi="宋体"/>
                <w:kern w:val="0"/>
                <w:szCs w:val="21"/>
              </w:rPr>
              <w:t>随机抽取确定；</w:t>
            </w:r>
          </w:p>
          <w:p>
            <w:pPr>
              <w:autoSpaceDE w:val="0"/>
              <w:autoSpaceDN w:val="0"/>
              <w:adjustRightInd w:val="0"/>
              <w:spacing w:before="73" w:line="400" w:lineRule="exact"/>
              <w:ind w:firstLine="210" w:firstLineChars="100"/>
              <w:contextualSpacing/>
              <w:jc w:val="left"/>
              <w:rPr>
                <w:rFonts w:ascii="宋体" w:hAnsi="宋体"/>
                <w:kern w:val="0"/>
                <w:szCs w:val="21"/>
                <w:u w:val="single"/>
              </w:rPr>
            </w:pPr>
            <w:r>
              <w:rPr>
                <w:rFonts w:hint="eastAsia" w:ascii="宋体" w:hAnsi="宋体"/>
                <w:kern w:val="0"/>
                <w:szCs w:val="21"/>
              </w:rPr>
              <w:t>Q1值取值范围：</w:t>
            </w:r>
            <w:r>
              <w:rPr>
                <w:rFonts w:ascii="宋体" w:hAnsi="宋体"/>
                <w:kern w:val="0"/>
                <w:szCs w:val="21"/>
                <w:u w:val="single"/>
              </w:rPr>
              <w:t>65%、70%、75%、80%、85%</w:t>
            </w:r>
            <w:r>
              <w:rPr>
                <w:rFonts w:hint="eastAsia" w:ascii="宋体" w:hAnsi="宋体"/>
                <w:kern w:val="0"/>
                <w:szCs w:val="21"/>
              </w:rPr>
              <w:t>，开标时</w:t>
            </w:r>
            <w:r>
              <w:rPr>
                <w:rFonts w:hint="eastAsia" w:ascii="宋体" w:hAnsi="宋体" w:cs="新宋体"/>
                <w:szCs w:val="21"/>
              </w:rPr>
              <w:t>由招标人代表</w:t>
            </w:r>
            <w:r>
              <w:rPr>
                <w:rFonts w:hint="eastAsia" w:ascii="宋体" w:hAnsi="宋体"/>
                <w:kern w:val="0"/>
                <w:szCs w:val="21"/>
              </w:rPr>
              <w:t>随机抽取确定；K2取值为：</w:t>
            </w:r>
            <w:r>
              <w:rPr>
                <w:rFonts w:ascii="宋体" w:hAnsi="宋体"/>
                <w:kern w:val="0"/>
                <w:szCs w:val="21"/>
                <w:u w:val="single"/>
              </w:rPr>
              <w:t>90%</w:t>
            </w:r>
            <w:r>
              <w:rPr>
                <w:rFonts w:hint="eastAsia" w:ascii="宋体" w:hAnsi="宋体"/>
                <w:kern w:val="0"/>
                <w:szCs w:val="21"/>
                <w:u w:val="single"/>
              </w:rPr>
              <w:t>；</w:t>
            </w:r>
          </w:p>
          <w:p>
            <w:pPr>
              <w:autoSpaceDE w:val="0"/>
              <w:autoSpaceDN w:val="0"/>
              <w:adjustRightInd w:val="0"/>
              <w:spacing w:before="73" w:line="400" w:lineRule="exact"/>
              <w:ind w:firstLine="210" w:firstLineChars="100"/>
              <w:contextualSpacing/>
              <w:jc w:val="left"/>
              <w:rPr>
                <w:rFonts w:ascii="宋体" w:hAnsi="宋体"/>
                <w:kern w:val="0"/>
                <w:szCs w:val="21"/>
              </w:rPr>
            </w:pPr>
            <w:r>
              <w:rPr>
                <w:rFonts w:hint="eastAsia" w:ascii="宋体" w:hAnsi="宋体"/>
                <w:kern w:val="0"/>
                <w:szCs w:val="21"/>
              </w:rPr>
              <w:t>方法三：以有效投标文件的次低评标价为评标基准价；</w:t>
            </w:r>
          </w:p>
          <w:p>
            <w:pPr>
              <w:autoSpaceDE w:val="0"/>
              <w:autoSpaceDN w:val="0"/>
              <w:adjustRightInd w:val="0"/>
              <w:spacing w:before="73" w:line="400" w:lineRule="exact"/>
              <w:ind w:firstLine="210" w:firstLineChars="100"/>
              <w:contextualSpacing/>
              <w:jc w:val="left"/>
              <w:rPr>
                <w:rFonts w:ascii="宋体" w:hAnsi="宋体" w:cs="宋体"/>
                <w:szCs w:val="21"/>
              </w:rPr>
            </w:pPr>
            <w:r>
              <w:rPr>
                <w:rFonts w:hint="eastAsia" w:ascii="宋体" w:hAnsi="宋体"/>
                <w:kern w:val="0"/>
                <w:szCs w:val="21"/>
              </w:rPr>
              <w:t>方法四：</w:t>
            </w:r>
            <w:r>
              <w:rPr>
                <w:rFonts w:hint="eastAsia" w:ascii="宋体" w:hAnsi="宋体" w:cs="宋体"/>
                <w:szCs w:val="21"/>
              </w:rPr>
              <w:t>□</w:t>
            </w:r>
            <w:r>
              <w:rPr>
                <w:rFonts w:hint="eastAsia" w:ascii="宋体" w:hAnsi="宋体"/>
                <w:kern w:val="0"/>
                <w:szCs w:val="21"/>
              </w:rPr>
              <w:t>K取值为：；</w:t>
            </w:r>
          </w:p>
          <w:p>
            <w:pPr>
              <w:autoSpaceDE w:val="0"/>
              <w:autoSpaceDN w:val="0"/>
              <w:adjustRightInd w:val="0"/>
              <w:spacing w:before="73" w:line="400" w:lineRule="exact"/>
              <w:ind w:firstLine="1050" w:firstLineChars="500"/>
              <w:contextualSpacing/>
              <w:jc w:val="left"/>
              <w:rPr>
                <w:rFonts w:ascii="宋体" w:hAnsi="宋体"/>
                <w:kern w:val="0"/>
                <w:szCs w:val="21"/>
              </w:rPr>
            </w:pPr>
            <w:r>
              <w:rPr>
                <w:rFonts w:hint="eastAsia" w:ascii="宋体" w:hAnsi="宋体" w:cs="宋体"/>
                <w:szCs w:val="21"/>
              </w:rPr>
              <w:t>□</w:t>
            </w:r>
            <w:r>
              <w:rPr>
                <w:rFonts w:hint="eastAsia" w:ascii="宋体" w:hAnsi="宋体"/>
                <w:kern w:val="0"/>
                <w:szCs w:val="21"/>
              </w:rPr>
              <w:t>K值取值范围：，开标时随机抽取确定；</w:t>
            </w:r>
          </w:p>
          <w:p>
            <w:pPr>
              <w:spacing w:line="400" w:lineRule="exact"/>
              <w:ind w:firstLine="210" w:firstLineChars="100"/>
              <w:contextualSpacing/>
              <w:rPr>
                <w:rFonts w:ascii="宋体" w:hAnsi="宋体"/>
                <w:szCs w:val="21"/>
              </w:rPr>
            </w:pPr>
            <w:r>
              <w:rPr>
                <w:rFonts w:ascii="宋体" w:hAnsi="宋体"/>
                <w:szCs w:val="21"/>
              </w:rPr>
              <w:t>方法五：</w:t>
            </w:r>
            <w:r>
              <w:rPr>
                <w:rFonts w:hint="eastAsia" w:ascii="宋体" w:hAnsi="宋体"/>
                <w:kern w:val="0"/>
                <w:szCs w:val="21"/>
              </w:rPr>
              <w:t>K值取值范围：，开标时随机抽取确定；</w:t>
            </w:r>
          </w:p>
          <w:p>
            <w:pPr>
              <w:spacing w:line="400" w:lineRule="exact"/>
              <w:ind w:firstLine="1050" w:firstLineChars="500"/>
              <w:contextualSpacing/>
              <w:rPr>
                <w:rFonts w:ascii="宋体" w:hAnsi="宋体"/>
                <w:kern w:val="0"/>
                <w:szCs w:val="21"/>
              </w:rPr>
            </w:pPr>
            <w:r>
              <w:rPr>
                <w:rFonts w:hint="eastAsia" w:ascii="宋体" w:hAnsi="宋体"/>
                <w:szCs w:val="21"/>
              </w:rPr>
              <w:t>Δ</w:t>
            </w:r>
            <w:r>
              <w:rPr>
                <w:rFonts w:hint="eastAsia" w:ascii="宋体" w:hAnsi="宋体"/>
                <w:kern w:val="0"/>
                <w:szCs w:val="21"/>
              </w:rPr>
              <w:t>值取值范围：，开标时随机抽取确定；</w:t>
            </w:r>
          </w:p>
          <w:p>
            <w:pPr>
              <w:spacing w:line="400" w:lineRule="exact"/>
              <w:contextualSpacing/>
              <w:rPr>
                <w:rFonts w:ascii="宋体" w:hAnsi="宋体"/>
                <w:kern w:val="0"/>
                <w:szCs w:val="21"/>
              </w:rPr>
            </w:pPr>
            <w:r>
              <w:rPr>
                <w:rFonts w:hint="eastAsia" w:ascii="宋体" w:hAnsi="宋体"/>
                <w:kern w:val="0"/>
                <w:szCs w:val="21"/>
              </w:rPr>
              <w:t>3.特殊情形下，评标基准价调整方式：</w:t>
            </w:r>
          </w:p>
          <w:p>
            <w:pPr>
              <w:spacing w:line="400" w:lineRule="exact"/>
              <w:ind w:firstLine="283" w:firstLineChars="135"/>
              <w:contextualSpacing/>
              <w:rPr>
                <w:rFonts w:ascii="宋体" w:hAnsi="宋体"/>
                <w:kern w:val="0"/>
                <w:szCs w:val="21"/>
              </w:rPr>
            </w:pPr>
            <w:r>
              <w:rPr>
                <w:rFonts w:hint="eastAsia" w:ascii="宋体" w:hAnsi="宋体" w:cs="宋体"/>
                <w:szCs w:val="21"/>
              </w:rPr>
              <w:t>□</w:t>
            </w:r>
            <w:r>
              <w:rPr>
                <w:rFonts w:hint="eastAsia" w:ascii="宋体" w:hAnsi="宋体"/>
                <w:kern w:val="0"/>
                <w:szCs w:val="21"/>
              </w:rPr>
              <w:t>评标基准价不因招投标当事人质疑、投诉、复议以及其它任何情形而改变；</w:t>
            </w:r>
          </w:p>
          <w:p>
            <w:pPr>
              <w:spacing w:line="400" w:lineRule="exact"/>
              <w:ind w:firstLine="283" w:firstLineChars="135"/>
              <w:contextualSpacing/>
              <w:rPr>
                <w:rFonts w:ascii="宋体" w:hAnsi="宋体"/>
                <w:kern w:val="0"/>
                <w:szCs w:val="21"/>
              </w:rPr>
            </w:pPr>
            <w:r>
              <w:rPr>
                <w:rFonts w:hint="eastAsia" w:ascii="宋体" w:hAnsi="宋体" w:cs="宋体"/>
                <w:szCs w:val="21"/>
              </w:rPr>
              <w:t>□</w:t>
            </w:r>
            <w:r>
              <w:rPr>
                <w:rFonts w:hint="eastAsia" w:ascii="宋体" w:hAnsi="宋体"/>
                <w:kern w:val="0"/>
                <w:szCs w:val="21"/>
              </w:rPr>
              <w:t>除确认存在评委评审和计算错误外，评标基准价不因招投标当事人质疑、投诉、复议以及其它任何情形而改变；</w:t>
            </w:r>
          </w:p>
          <w:p>
            <w:pPr>
              <w:autoSpaceDE w:val="0"/>
              <w:autoSpaceDN w:val="0"/>
              <w:adjustRightInd w:val="0"/>
              <w:spacing w:before="73" w:line="400" w:lineRule="exact"/>
              <w:contextualSpacing/>
              <w:jc w:val="left"/>
              <w:rPr>
                <w:rFonts w:ascii="宋体" w:hAnsi="宋体"/>
                <w:kern w:val="0"/>
                <w:szCs w:val="21"/>
              </w:rPr>
            </w:pPr>
            <w:r>
              <w:rPr>
                <w:rFonts w:ascii="宋体" w:hAnsi="宋体" w:cs="宋体"/>
                <w:szCs w:val="21"/>
              </w:rPr>
              <w:fldChar w:fldCharType="begin"/>
            </w:r>
            <w:r>
              <w:rPr>
                <w:rFonts w:ascii="宋体" w:hAnsi="宋体" w:cs="宋体"/>
                <w:szCs w:val="21"/>
              </w:rPr>
              <w:instrText xml:space="preserve"> eq \o \ac(</w:instrText>
            </w:r>
            <w:r>
              <w:rPr>
                <w:rFonts w:hint="eastAsia" w:ascii="宋体" w:hAnsi="宋体" w:cs="宋体"/>
                <w:position w:val="-4"/>
                <w:sz w:val="31"/>
                <w:szCs w:val="21"/>
              </w:rPr>
              <w:instrText xml:space="preserve">□</w:instrText>
            </w:r>
            <w:r>
              <w:rPr>
                <w:rFonts w:hint="eastAsia" w:ascii="宋体" w:hAnsi="宋体" w:cs="宋体"/>
                <w:szCs w:val="21"/>
              </w:rPr>
              <w:instrText xml:space="preserve">,√)</w:instrText>
            </w:r>
            <w:r>
              <w:rPr>
                <w:rFonts w:ascii="宋体" w:hAnsi="宋体" w:cs="宋体"/>
                <w:szCs w:val="21"/>
              </w:rPr>
              <w:fldChar w:fldCharType="end"/>
            </w:r>
            <w:r>
              <w:rPr>
                <w:rFonts w:hint="eastAsia" w:ascii="宋体" w:hAnsi="宋体"/>
                <w:kern w:val="0"/>
                <w:szCs w:val="21"/>
              </w:rPr>
              <w:t>除确认存在计算错误外，评标基准价不因招投标当事人质疑、投诉、复议以及其它任何情形而改变；</w:t>
            </w:r>
          </w:p>
        </w:tc>
      </w:tr>
    </w:tbl>
    <w:p>
      <w:pPr>
        <w:keepNext/>
        <w:keepLines/>
        <w:spacing w:before="60" w:after="60" w:line="360" w:lineRule="auto"/>
        <w:outlineLvl w:val="1"/>
        <w:rPr>
          <w:rFonts w:ascii="宋体" w:hAnsi="宋体"/>
          <w:b/>
          <w:bCs/>
          <w:szCs w:val="32"/>
        </w:rPr>
      </w:pPr>
      <w:bookmarkStart w:id="125" w:name="_Toc535487137"/>
      <w:r>
        <w:rPr>
          <w:rFonts w:hint="eastAsia" w:ascii="宋体" w:hAnsi="宋体"/>
          <w:b/>
          <w:bCs/>
          <w:szCs w:val="32"/>
        </w:rPr>
        <w:t>1. 评标方法</w:t>
      </w:r>
      <w:bookmarkEnd w:id="125"/>
    </w:p>
    <w:p>
      <w:pPr>
        <w:spacing w:line="360" w:lineRule="auto"/>
        <w:ind w:firstLine="420" w:firstLineChars="200"/>
        <w:rPr>
          <w:rFonts w:ascii="宋体" w:hAnsi="宋体"/>
          <w:szCs w:val="24"/>
        </w:rPr>
      </w:pPr>
      <w:bookmarkStart w:id="126" w:name="_Toc535487138"/>
      <w:r>
        <w:rPr>
          <w:rFonts w:hint="eastAsia" w:ascii="宋体" w:hAnsi="宋体"/>
          <w:szCs w:val="24"/>
        </w:rPr>
        <w:t>本次评标采用综合评估法。评标委员会对满足招标文件实质要求的投标文件，按照本章第 2.3.1款规定的评分标准进行打分，并按得分由高到低顺序推荐中标候选人。综合评分相等时，以投标报价低的优先；投标报价也相等的，则现场由招标人代表抽签确定中标候选人。</w:t>
      </w:r>
    </w:p>
    <w:p>
      <w:pPr>
        <w:keepNext/>
        <w:keepLines/>
        <w:spacing w:before="60" w:after="60" w:line="360" w:lineRule="auto"/>
        <w:outlineLvl w:val="1"/>
        <w:rPr>
          <w:rFonts w:ascii="宋体" w:hAnsi="宋体"/>
          <w:b/>
          <w:bCs/>
          <w:szCs w:val="32"/>
        </w:rPr>
      </w:pPr>
      <w:r>
        <w:rPr>
          <w:rFonts w:hint="eastAsia" w:ascii="宋体" w:hAnsi="宋体"/>
          <w:b/>
          <w:bCs/>
          <w:szCs w:val="32"/>
        </w:rPr>
        <w:t>2. 评审标准</w:t>
      </w:r>
      <w:bookmarkEnd w:id="126"/>
    </w:p>
    <w:p>
      <w:pPr>
        <w:keepNext/>
        <w:keepLines/>
        <w:spacing w:line="360" w:lineRule="auto"/>
        <w:outlineLvl w:val="2"/>
        <w:rPr>
          <w:rFonts w:ascii="宋体" w:hAnsi="宋体"/>
          <w:b/>
          <w:bCs/>
          <w:szCs w:val="32"/>
        </w:rPr>
      </w:pPr>
      <w:bookmarkStart w:id="127" w:name="_Toc535487139"/>
      <w:r>
        <w:rPr>
          <w:rFonts w:hint="eastAsia" w:ascii="宋体" w:hAnsi="宋体"/>
          <w:b/>
          <w:bCs/>
          <w:szCs w:val="32"/>
        </w:rPr>
        <w:t>2.1评标入围</w:t>
      </w:r>
      <w:bookmarkEnd w:id="127"/>
    </w:p>
    <w:p>
      <w:pPr>
        <w:spacing w:line="360" w:lineRule="auto"/>
        <w:ind w:firstLine="420" w:firstLineChars="200"/>
        <w:rPr>
          <w:rFonts w:ascii="宋体" w:hAnsi="宋体"/>
          <w:szCs w:val="24"/>
        </w:rPr>
      </w:pPr>
      <w:r>
        <w:rPr>
          <w:rFonts w:hint="eastAsia" w:ascii="宋体" w:hAnsi="宋体"/>
          <w:szCs w:val="24"/>
        </w:rPr>
        <w:t>投标文件存在评标办法前附表评标入围所列情况之一的，不再进行后续评标。</w:t>
      </w:r>
    </w:p>
    <w:p>
      <w:pPr>
        <w:keepNext/>
        <w:keepLines/>
        <w:spacing w:line="360" w:lineRule="auto"/>
        <w:outlineLvl w:val="2"/>
        <w:rPr>
          <w:rFonts w:ascii="宋体" w:hAnsi="宋体"/>
          <w:b/>
          <w:bCs/>
          <w:szCs w:val="32"/>
        </w:rPr>
      </w:pPr>
      <w:bookmarkStart w:id="128" w:name="_Toc535487140"/>
      <w:r>
        <w:rPr>
          <w:rFonts w:hint="eastAsia" w:ascii="宋体" w:hAnsi="宋体"/>
          <w:b/>
          <w:bCs/>
          <w:szCs w:val="32"/>
        </w:rPr>
        <w:t>2.2初步评审标准</w:t>
      </w:r>
      <w:bookmarkEnd w:id="128"/>
    </w:p>
    <w:p>
      <w:pPr>
        <w:spacing w:line="360" w:lineRule="auto"/>
        <w:ind w:firstLine="420" w:firstLineChars="200"/>
        <w:rPr>
          <w:rFonts w:ascii="宋体" w:hAnsi="宋体"/>
          <w:szCs w:val="24"/>
        </w:rPr>
      </w:pPr>
      <w:r>
        <w:rPr>
          <w:rFonts w:hint="eastAsia" w:ascii="宋体" w:hAnsi="宋体"/>
          <w:szCs w:val="24"/>
        </w:rPr>
        <w:t>2.2.1 形式评审标准：见评标办法前附表。</w:t>
      </w:r>
    </w:p>
    <w:p>
      <w:pPr>
        <w:spacing w:line="360" w:lineRule="auto"/>
        <w:ind w:firstLine="420" w:firstLineChars="200"/>
        <w:rPr>
          <w:rFonts w:ascii="宋体" w:hAnsi="宋体"/>
          <w:szCs w:val="24"/>
        </w:rPr>
      </w:pPr>
      <w:r>
        <w:rPr>
          <w:rFonts w:hint="eastAsia" w:ascii="宋体" w:hAnsi="宋体"/>
          <w:szCs w:val="24"/>
        </w:rPr>
        <w:t>2.2.2 资格评审标准：见评标办法前附表。</w:t>
      </w:r>
    </w:p>
    <w:p>
      <w:pPr>
        <w:spacing w:line="360" w:lineRule="auto"/>
        <w:ind w:firstLine="420" w:firstLineChars="200"/>
        <w:rPr>
          <w:rFonts w:ascii="宋体" w:hAnsi="宋体"/>
          <w:szCs w:val="24"/>
        </w:rPr>
      </w:pPr>
      <w:r>
        <w:rPr>
          <w:rFonts w:hint="eastAsia" w:ascii="宋体" w:hAnsi="宋体"/>
          <w:szCs w:val="24"/>
        </w:rPr>
        <w:t>2.2.3 响应性评审标准：见评标办法前附表。</w:t>
      </w:r>
    </w:p>
    <w:p>
      <w:pPr>
        <w:keepNext/>
        <w:keepLines/>
        <w:spacing w:line="360" w:lineRule="auto"/>
        <w:outlineLvl w:val="2"/>
        <w:rPr>
          <w:rFonts w:ascii="宋体" w:hAnsi="宋体"/>
          <w:b/>
          <w:bCs/>
          <w:szCs w:val="32"/>
        </w:rPr>
      </w:pPr>
      <w:bookmarkStart w:id="129" w:name="_Toc535487141"/>
      <w:r>
        <w:rPr>
          <w:rFonts w:hint="eastAsia" w:ascii="宋体" w:hAnsi="宋体"/>
          <w:b/>
          <w:bCs/>
          <w:szCs w:val="32"/>
        </w:rPr>
        <w:t>2.3 详细评审</w:t>
      </w:r>
      <w:bookmarkEnd w:id="129"/>
    </w:p>
    <w:p>
      <w:pPr>
        <w:autoSpaceDE w:val="0"/>
        <w:autoSpaceDN w:val="0"/>
        <w:adjustRightInd w:val="0"/>
        <w:spacing w:line="360" w:lineRule="auto"/>
        <w:ind w:right="4" w:firstLine="422"/>
        <w:rPr>
          <w:rFonts w:ascii="宋体" w:hAnsi="宋体"/>
          <w:kern w:val="0"/>
          <w:szCs w:val="24"/>
        </w:rPr>
      </w:pPr>
      <w:r>
        <w:rPr>
          <w:rFonts w:ascii="宋体" w:hAnsi="宋体"/>
          <w:kern w:val="0"/>
          <w:szCs w:val="24"/>
        </w:rPr>
        <w:t>2.</w:t>
      </w:r>
      <w:r>
        <w:rPr>
          <w:rFonts w:hint="eastAsia" w:ascii="宋体" w:hAnsi="宋体"/>
          <w:kern w:val="0"/>
          <w:szCs w:val="24"/>
        </w:rPr>
        <w:t>3</w:t>
      </w:r>
      <w:r>
        <w:rPr>
          <w:rFonts w:ascii="宋体" w:hAnsi="宋体"/>
          <w:kern w:val="0"/>
          <w:szCs w:val="24"/>
        </w:rPr>
        <w:t>.1</w:t>
      </w:r>
      <w:r>
        <w:rPr>
          <w:rFonts w:hint="eastAsia" w:ascii="宋体" w:hAnsi="宋体"/>
          <w:kern w:val="0"/>
          <w:szCs w:val="24"/>
        </w:rPr>
        <w:t xml:space="preserve"> 评审因素及分值构成：见评标办法前附表；</w:t>
      </w:r>
    </w:p>
    <w:p>
      <w:pPr>
        <w:autoSpaceDE w:val="0"/>
        <w:autoSpaceDN w:val="0"/>
        <w:adjustRightInd w:val="0"/>
        <w:spacing w:line="360" w:lineRule="auto"/>
        <w:ind w:right="4" w:firstLine="422"/>
        <w:rPr>
          <w:rFonts w:ascii="宋体" w:hAnsi="宋体" w:cs="宋体"/>
          <w:kern w:val="0"/>
          <w:sz w:val="32"/>
          <w:szCs w:val="32"/>
          <w:lang w:val="zh-CN"/>
        </w:rPr>
      </w:pPr>
      <w:r>
        <w:rPr>
          <w:rFonts w:ascii="宋体" w:hAnsi="宋体"/>
          <w:kern w:val="0"/>
          <w:szCs w:val="24"/>
        </w:rPr>
        <w:t>2.</w:t>
      </w:r>
      <w:r>
        <w:rPr>
          <w:rFonts w:hint="eastAsia" w:ascii="宋体" w:hAnsi="宋体"/>
          <w:kern w:val="0"/>
          <w:szCs w:val="24"/>
        </w:rPr>
        <w:t>3</w:t>
      </w:r>
      <w:r>
        <w:rPr>
          <w:rFonts w:ascii="宋体" w:hAnsi="宋体"/>
          <w:kern w:val="0"/>
          <w:szCs w:val="24"/>
        </w:rPr>
        <w:t>.2</w:t>
      </w:r>
      <w:r>
        <w:rPr>
          <w:rFonts w:hint="eastAsia" w:ascii="宋体" w:hAnsi="宋体"/>
          <w:kern w:val="0"/>
          <w:szCs w:val="24"/>
        </w:rPr>
        <w:t xml:space="preserve"> 评标基准价计算方法：见评标办法前附表</w:t>
      </w:r>
      <w:r>
        <w:rPr>
          <w:rFonts w:hint="eastAsia" w:ascii="宋体" w:hAnsi="宋体" w:cs="宋体"/>
          <w:kern w:val="0"/>
          <w:sz w:val="32"/>
          <w:szCs w:val="32"/>
          <w:lang w:val="zh-CN"/>
        </w:rPr>
        <w:t>。</w:t>
      </w:r>
    </w:p>
    <w:p>
      <w:pPr>
        <w:autoSpaceDE w:val="0"/>
        <w:autoSpaceDN w:val="0"/>
        <w:adjustRightInd w:val="0"/>
        <w:spacing w:line="360" w:lineRule="auto"/>
        <w:ind w:right="4" w:firstLine="422"/>
        <w:rPr>
          <w:rFonts w:ascii="宋体" w:hAnsi="宋体"/>
          <w:b/>
          <w:bCs/>
          <w:color w:val="FF0000"/>
          <w:kern w:val="0"/>
          <w:szCs w:val="24"/>
          <w:highlight w:val="yellow"/>
        </w:rPr>
      </w:pPr>
      <w:r>
        <w:rPr>
          <w:rFonts w:ascii="宋体" w:hAnsi="宋体"/>
          <w:kern w:val="0"/>
          <w:szCs w:val="24"/>
        </w:rPr>
        <w:t>2.</w:t>
      </w:r>
      <w:r>
        <w:rPr>
          <w:rFonts w:hint="eastAsia" w:ascii="宋体" w:hAnsi="宋体"/>
          <w:kern w:val="0"/>
          <w:szCs w:val="24"/>
        </w:rPr>
        <w:t>3</w:t>
      </w:r>
      <w:r>
        <w:rPr>
          <w:rFonts w:ascii="宋体" w:hAnsi="宋体"/>
          <w:kern w:val="0"/>
          <w:szCs w:val="24"/>
        </w:rPr>
        <w:t>.3</w:t>
      </w:r>
      <w:r>
        <w:rPr>
          <w:rFonts w:hint="eastAsia" w:ascii="宋体" w:hAnsi="宋体"/>
          <w:kern w:val="0"/>
          <w:szCs w:val="24"/>
        </w:rPr>
        <w:t xml:space="preserve"> 评分标准</w:t>
      </w:r>
    </w:p>
    <w:p>
      <w:pPr>
        <w:autoSpaceDE w:val="0"/>
        <w:autoSpaceDN w:val="0"/>
        <w:adjustRightInd w:val="0"/>
        <w:spacing w:line="360" w:lineRule="auto"/>
        <w:ind w:right="4" w:firstLine="422"/>
        <w:rPr>
          <w:rFonts w:ascii="宋体" w:hAnsi="宋体"/>
          <w:kern w:val="0"/>
          <w:szCs w:val="24"/>
        </w:rPr>
      </w:pPr>
      <w:r>
        <w:rPr>
          <w:rFonts w:ascii="宋体" w:hAnsi="宋体"/>
          <w:kern w:val="0"/>
          <w:szCs w:val="24"/>
        </w:rPr>
        <w:t>(</w:t>
      </w:r>
      <w:r>
        <w:rPr>
          <w:rFonts w:hint="eastAsia" w:ascii="宋体" w:hAnsi="宋体"/>
          <w:kern w:val="0"/>
          <w:szCs w:val="24"/>
        </w:rPr>
        <w:t>1</w:t>
      </w:r>
      <w:r>
        <w:rPr>
          <w:rFonts w:ascii="宋体" w:hAnsi="宋体"/>
          <w:kern w:val="0"/>
          <w:szCs w:val="24"/>
        </w:rPr>
        <w:t>)</w:t>
      </w:r>
      <w:r>
        <w:rPr>
          <w:rFonts w:hint="eastAsia" w:ascii="宋体" w:hAnsi="宋体"/>
          <w:kern w:val="0"/>
          <w:szCs w:val="24"/>
        </w:rPr>
        <w:t xml:space="preserve"> 项目负责人或现场负责人业绩评价评分标准：见评标办法前附表；</w:t>
      </w:r>
    </w:p>
    <w:p>
      <w:pPr>
        <w:autoSpaceDE w:val="0"/>
        <w:autoSpaceDN w:val="0"/>
        <w:adjustRightInd w:val="0"/>
        <w:spacing w:line="360" w:lineRule="auto"/>
        <w:ind w:right="4" w:firstLine="422"/>
        <w:rPr>
          <w:rFonts w:ascii="宋体" w:hAnsi="宋体"/>
          <w:kern w:val="0"/>
          <w:szCs w:val="24"/>
        </w:rPr>
      </w:pPr>
      <w:r>
        <w:rPr>
          <w:rFonts w:ascii="宋体" w:hAnsi="宋体"/>
          <w:kern w:val="0"/>
          <w:szCs w:val="24"/>
        </w:rPr>
        <w:t>(</w:t>
      </w:r>
      <w:r>
        <w:rPr>
          <w:rFonts w:hint="eastAsia" w:ascii="宋体" w:hAnsi="宋体"/>
          <w:kern w:val="0"/>
          <w:szCs w:val="24"/>
        </w:rPr>
        <w:t>2</w:t>
      </w:r>
      <w:r>
        <w:rPr>
          <w:rFonts w:ascii="宋体" w:hAnsi="宋体"/>
          <w:kern w:val="0"/>
          <w:szCs w:val="24"/>
        </w:rPr>
        <w:t xml:space="preserve">) </w:t>
      </w:r>
      <w:r>
        <w:rPr>
          <w:rFonts w:hint="eastAsia" w:ascii="宋体" w:hAnsi="宋体"/>
          <w:kern w:val="0"/>
          <w:szCs w:val="24"/>
        </w:rPr>
        <w:t>暗标管护方案评分标准：见评标办法前附表；</w:t>
      </w:r>
    </w:p>
    <w:p>
      <w:pPr>
        <w:autoSpaceDE w:val="0"/>
        <w:autoSpaceDN w:val="0"/>
        <w:adjustRightInd w:val="0"/>
        <w:spacing w:line="360" w:lineRule="auto"/>
        <w:ind w:right="4" w:firstLine="422"/>
        <w:rPr>
          <w:rFonts w:ascii="宋体" w:hAnsi="宋体"/>
          <w:kern w:val="0"/>
          <w:szCs w:val="24"/>
        </w:rPr>
      </w:pPr>
      <w:r>
        <w:rPr>
          <w:rFonts w:ascii="宋体" w:hAnsi="宋体"/>
          <w:kern w:val="0"/>
          <w:szCs w:val="24"/>
        </w:rPr>
        <w:t>(</w:t>
      </w:r>
      <w:r>
        <w:rPr>
          <w:rFonts w:hint="eastAsia" w:ascii="宋体" w:hAnsi="宋体"/>
          <w:kern w:val="0"/>
          <w:szCs w:val="24"/>
        </w:rPr>
        <w:t>3</w:t>
      </w:r>
      <w:r>
        <w:rPr>
          <w:rFonts w:ascii="宋体" w:hAnsi="宋体"/>
          <w:kern w:val="0"/>
          <w:szCs w:val="24"/>
        </w:rPr>
        <w:t>)</w:t>
      </w:r>
      <w:r>
        <w:rPr>
          <w:rFonts w:hint="eastAsia" w:ascii="宋体" w:hAnsi="宋体"/>
          <w:kern w:val="0"/>
          <w:szCs w:val="24"/>
        </w:rPr>
        <w:t xml:space="preserve"> 项目负责人或现场负责人现场答辩评价标准：见评标办法前附表。</w:t>
      </w:r>
    </w:p>
    <w:p>
      <w:pPr>
        <w:autoSpaceDE w:val="0"/>
        <w:autoSpaceDN w:val="0"/>
        <w:adjustRightInd w:val="0"/>
        <w:spacing w:line="360" w:lineRule="auto"/>
        <w:ind w:right="4" w:firstLine="315" w:firstLineChars="150"/>
        <w:rPr>
          <w:rFonts w:ascii="宋体" w:hAnsi="宋体"/>
          <w:kern w:val="0"/>
          <w:szCs w:val="24"/>
        </w:rPr>
      </w:pPr>
      <w:r>
        <w:rPr>
          <w:rFonts w:hint="eastAsia" w:ascii="宋体" w:hAnsi="宋体"/>
          <w:kern w:val="0"/>
          <w:szCs w:val="24"/>
        </w:rPr>
        <w:t>（4）投标报价评分标准：见评标办法前附表。</w:t>
      </w:r>
    </w:p>
    <w:p>
      <w:pPr>
        <w:keepNext/>
        <w:keepLines/>
        <w:spacing w:before="60" w:after="60" w:line="360" w:lineRule="auto"/>
        <w:outlineLvl w:val="1"/>
        <w:rPr>
          <w:rFonts w:ascii="宋体" w:hAnsi="宋体"/>
          <w:b/>
          <w:bCs/>
          <w:szCs w:val="32"/>
        </w:rPr>
      </w:pPr>
      <w:bookmarkStart w:id="130" w:name="_Toc535487142"/>
      <w:r>
        <w:rPr>
          <w:rFonts w:hint="eastAsia" w:ascii="宋体" w:hAnsi="宋体"/>
          <w:b/>
          <w:bCs/>
          <w:szCs w:val="32"/>
        </w:rPr>
        <w:t>3. 评标程序</w:t>
      </w:r>
      <w:bookmarkEnd w:id="130"/>
    </w:p>
    <w:p>
      <w:pPr>
        <w:keepNext/>
        <w:keepLines/>
        <w:spacing w:line="360" w:lineRule="auto"/>
        <w:outlineLvl w:val="2"/>
        <w:rPr>
          <w:rFonts w:ascii="宋体" w:hAnsi="宋体"/>
          <w:b/>
          <w:bCs/>
          <w:szCs w:val="32"/>
        </w:rPr>
      </w:pPr>
      <w:bookmarkStart w:id="131" w:name="_Toc535487143"/>
      <w:r>
        <w:rPr>
          <w:rFonts w:ascii="宋体" w:hAnsi="宋体"/>
          <w:b/>
          <w:bCs/>
          <w:szCs w:val="32"/>
        </w:rPr>
        <w:t>3.1</w:t>
      </w:r>
      <w:r>
        <w:rPr>
          <w:rFonts w:hint="eastAsia" w:ascii="宋体" w:hAnsi="宋体"/>
          <w:b/>
          <w:bCs/>
          <w:szCs w:val="32"/>
        </w:rPr>
        <w:t>评标准备</w:t>
      </w:r>
      <w:bookmarkEnd w:id="131"/>
    </w:p>
    <w:p>
      <w:pPr>
        <w:autoSpaceDE w:val="0"/>
        <w:autoSpaceDN w:val="0"/>
        <w:spacing w:line="360" w:lineRule="auto"/>
        <w:ind w:firstLine="420" w:firstLineChars="200"/>
        <w:jc w:val="left"/>
        <w:rPr>
          <w:rFonts w:ascii="宋体" w:hAnsi="宋体"/>
          <w:kern w:val="0"/>
          <w:szCs w:val="24"/>
        </w:rPr>
      </w:pPr>
      <w:r>
        <w:rPr>
          <w:rFonts w:hint="eastAsia" w:ascii="宋体" w:hAnsi="宋体"/>
          <w:kern w:val="0"/>
          <w:szCs w:val="24"/>
        </w:rPr>
        <w:t>3.1.1 评标委员会成员到达评标现场时应在签到表上签到以证明其出席。</w:t>
      </w:r>
    </w:p>
    <w:p>
      <w:pPr>
        <w:autoSpaceDE w:val="0"/>
        <w:autoSpaceDN w:val="0"/>
        <w:spacing w:line="360" w:lineRule="auto"/>
        <w:ind w:firstLine="420" w:firstLineChars="200"/>
        <w:jc w:val="left"/>
        <w:rPr>
          <w:rFonts w:ascii="宋体" w:hAnsi="宋体"/>
          <w:kern w:val="0"/>
          <w:szCs w:val="24"/>
        </w:rPr>
      </w:pPr>
      <w:r>
        <w:rPr>
          <w:rFonts w:hint="eastAsia" w:ascii="宋体" w:hAnsi="宋体"/>
          <w:kern w:val="0"/>
          <w:szCs w:val="24"/>
        </w:rPr>
        <w:t>3.1.2 评标委员会成员首先推选一名评标委员会负责人，负责评标活动的组织领导工作。</w:t>
      </w:r>
    </w:p>
    <w:p>
      <w:pPr>
        <w:autoSpaceDE w:val="0"/>
        <w:autoSpaceDN w:val="0"/>
        <w:spacing w:line="360" w:lineRule="auto"/>
        <w:ind w:firstLine="420" w:firstLineChars="200"/>
        <w:jc w:val="left"/>
        <w:rPr>
          <w:rFonts w:ascii="宋体" w:hAnsi="宋体"/>
          <w:kern w:val="0"/>
          <w:szCs w:val="24"/>
        </w:rPr>
      </w:pPr>
      <w:r>
        <w:rPr>
          <w:rFonts w:hint="eastAsia" w:ascii="宋体" w:hAnsi="宋体"/>
          <w:kern w:val="0"/>
          <w:szCs w:val="24"/>
        </w:rPr>
        <w:t>3.1.3 招标人或招标代理机构应向评标委员会提供评标所需的信息和数据。评标委员会负责人应组织评标委员会成员认真研究招标文件，未在招标文件中规定的标准和方法不得作为评标的依据。</w:t>
      </w:r>
    </w:p>
    <w:p>
      <w:pPr>
        <w:keepNext/>
        <w:keepLines/>
        <w:spacing w:line="360" w:lineRule="auto"/>
        <w:outlineLvl w:val="2"/>
        <w:rPr>
          <w:rFonts w:ascii="宋体" w:hAnsi="宋体"/>
          <w:b/>
          <w:bCs/>
          <w:szCs w:val="32"/>
        </w:rPr>
      </w:pPr>
      <w:bookmarkStart w:id="132" w:name="_Toc535487144"/>
      <w:r>
        <w:rPr>
          <w:rFonts w:ascii="宋体" w:hAnsi="宋体"/>
          <w:b/>
          <w:bCs/>
          <w:szCs w:val="32"/>
        </w:rPr>
        <w:t>3.</w:t>
      </w:r>
      <w:r>
        <w:rPr>
          <w:rFonts w:hint="eastAsia" w:ascii="宋体" w:hAnsi="宋体"/>
          <w:b/>
          <w:bCs/>
          <w:szCs w:val="32"/>
        </w:rPr>
        <w:t>2评标入围</w:t>
      </w:r>
      <w:bookmarkEnd w:id="132"/>
    </w:p>
    <w:p>
      <w:pPr>
        <w:adjustRightInd w:val="0"/>
        <w:snapToGrid w:val="0"/>
        <w:spacing w:line="360" w:lineRule="auto"/>
        <w:ind w:firstLine="420" w:firstLineChars="200"/>
        <w:rPr>
          <w:rFonts w:ascii="宋体" w:hAnsi="宋体"/>
          <w:szCs w:val="24"/>
        </w:rPr>
      </w:pPr>
      <w:r>
        <w:rPr>
          <w:rFonts w:ascii="宋体" w:hAnsi="宋体"/>
          <w:szCs w:val="24"/>
        </w:rPr>
        <w:t>评标委员会按本章</w:t>
      </w:r>
      <w:r>
        <w:rPr>
          <w:rFonts w:hint="eastAsia" w:ascii="宋体" w:hAnsi="宋体"/>
          <w:szCs w:val="24"/>
        </w:rPr>
        <w:t>2.1条规定的方法确定进入初步评审的投标人名单。</w:t>
      </w:r>
    </w:p>
    <w:p>
      <w:pPr>
        <w:keepNext/>
        <w:keepLines/>
        <w:spacing w:line="360" w:lineRule="auto"/>
        <w:outlineLvl w:val="2"/>
        <w:rPr>
          <w:rFonts w:ascii="宋体" w:hAnsi="宋体"/>
          <w:b/>
          <w:bCs/>
          <w:szCs w:val="32"/>
        </w:rPr>
      </w:pPr>
      <w:bookmarkStart w:id="133" w:name="_Toc535487145"/>
      <w:r>
        <w:rPr>
          <w:rFonts w:hint="eastAsia" w:ascii="宋体" w:hAnsi="宋体"/>
          <w:b/>
          <w:bCs/>
          <w:szCs w:val="32"/>
        </w:rPr>
        <w:t>3.3初步评审</w:t>
      </w:r>
      <w:bookmarkEnd w:id="133"/>
    </w:p>
    <w:p>
      <w:pPr>
        <w:adjustRightInd w:val="0"/>
        <w:snapToGrid w:val="0"/>
        <w:spacing w:line="360" w:lineRule="auto"/>
        <w:ind w:firstLine="420" w:firstLineChars="200"/>
        <w:rPr>
          <w:rFonts w:ascii="宋体" w:hAnsi="宋体" w:cs="宋体"/>
          <w:kern w:val="0"/>
          <w:szCs w:val="21"/>
        </w:rPr>
      </w:pPr>
      <w:r>
        <w:rPr>
          <w:rFonts w:ascii="宋体" w:hAnsi="宋体" w:cs="宋体"/>
          <w:kern w:val="0"/>
          <w:szCs w:val="21"/>
        </w:rPr>
        <w:t>3.3.1</w:t>
      </w:r>
      <w:r>
        <w:rPr>
          <w:rFonts w:hint="eastAsia" w:ascii="宋体" w:hAnsi="宋体" w:cs="宋体"/>
          <w:kern w:val="0"/>
          <w:szCs w:val="21"/>
        </w:rPr>
        <w:t>形式性评审：评标委员会根据本章第</w:t>
      </w:r>
      <w:r>
        <w:rPr>
          <w:rFonts w:ascii="宋体" w:hAnsi="宋体" w:cs="宋体"/>
          <w:kern w:val="0"/>
          <w:szCs w:val="21"/>
        </w:rPr>
        <w:t>2.</w:t>
      </w:r>
      <w:r>
        <w:rPr>
          <w:rFonts w:hint="eastAsia" w:ascii="宋体" w:hAnsi="宋体" w:cs="宋体"/>
          <w:kern w:val="0"/>
          <w:szCs w:val="21"/>
        </w:rPr>
        <w:t>2</w:t>
      </w:r>
      <w:r>
        <w:rPr>
          <w:rFonts w:ascii="宋体" w:hAnsi="宋体" w:cs="宋体"/>
          <w:kern w:val="0"/>
          <w:szCs w:val="21"/>
        </w:rPr>
        <w:t>.1</w:t>
      </w:r>
      <w:r>
        <w:rPr>
          <w:rFonts w:hint="eastAsia" w:ascii="宋体" w:hAnsi="宋体" w:cs="宋体"/>
          <w:kern w:val="0"/>
          <w:szCs w:val="21"/>
        </w:rPr>
        <w:t>款列出的评审标准，有一项不符合评审标准的，作无效标处理。</w:t>
      </w:r>
    </w:p>
    <w:p>
      <w:pPr>
        <w:adjustRightInd w:val="0"/>
        <w:snapToGrid w:val="0"/>
        <w:spacing w:line="360" w:lineRule="auto"/>
        <w:ind w:firstLine="420" w:firstLineChars="200"/>
        <w:rPr>
          <w:rFonts w:ascii="宋体" w:hAnsi="宋体" w:cs="宋体"/>
          <w:kern w:val="0"/>
          <w:szCs w:val="21"/>
        </w:rPr>
      </w:pPr>
      <w:r>
        <w:rPr>
          <w:rFonts w:ascii="宋体" w:hAnsi="宋体" w:cs="宋体"/>
          <w:kern w:val="0"/>
          <w:szCs w:val="21"/>
        </w:rPr>
        <w:t>3.3.2</w:t>
      </w:r>
      <w:r>
        <w:rPr>
          <w:rFonts w:hint="eastAsia" w:ascii="宋体" w:hAnsi="宋体" w:cs="宋体"/>
          <w:kern w:val="0"/>
          <w:szCs w:val="21"/>
        </w:rPr>
        <w:t>资格评审：评标委员会根据本章第</w:t>
      </w:r>
      <w:r>
        <w:rPr>
          <w:rFonts w:ascii="宋体" w:hAnsi="宋体" w:cs="宋体"/>
          <w:kern w:val="0"/>
          <w:szCs w:val="21"/>
        </w:rPr>
        <w:t>2.</w:t>
      </w:r>
      <w:r>
        <w:rPr>
          <w:rFonts w:hint="eastAsia" w:ascii="宋体" w:hAnsi="宋体" w:cs="宋体"/>
          <w:kern w:val="0"/>
          <w:szCs w:val="21"/>
        </w:rPr>
        <w:t>2</w:t>
      </w:r>
      <w:r>
        <w:rPr>
          <w:rFonts w:ascii="宋体" w:hAnsi="宋体" w:cs="宋体"/>
          <w:kern w:val="0"/>
          <w:szCs w:val="21"/>
        </w:rPr>
        <w:t>.2</w:t>
      </w:r>
      <w:r>
        <w:rPr>
          <w:rFonts w:hint="eastAsia" w:ascii="宋体" w:hAnsi="宋体" w:cs="宋体"/>
          <w:kern w:val="0"/>
          <w:szCs w:val="21"/>
        </w:rPr>
        <w:t>款列出的评审标准，有一项不符合评审标准的，作无效标处理。</w:t>
      </w:r>
    </w:p>
    <w:p>
      <w:pPr>
        <w:adjustRightInd w:val="0"/>
        <w:snapToGrid w:val="0"/>
        <w:spacing w:line="360" w:lineRule="auto"/>
        <w:ind w:firstLine="420" w:firstLineChars="200"/>
        <w:rPr>
          <w:rFonts w:ascii="宋体" w:hAnsi="宋体" w:cs="宋体"/>
          <w:kern w:val="0"/>
          <w:szCs w:val="21"/>
        </w:rPr>
      </w:pPr>
      <w:r>
        <w:rPr>
          <w:rFonts w:ascii="宋体" w:hAnsi="宋体" w:cs="宋体"/>
          <w:kern w:val="0"/>
          <w:szCs w:val="21"/>
        </w:rPr>
        <w:t>3.3.3</w:t>
      </w:r>
      <w:r>
        <w:rPr>
          <w:rFonts w:hint="eastAsia" w:ascii="宋体" w:hAnsi="宋体" w:cs="宋体"/>
          <w:kern w:val="0"/>
          <w:szCs w:val="21"/>
        </w:rPr>
        <w:t>响应性评审：评标委员会根据本章第</w:t>
      </w:r>
      <w:r>
        <w:rPr>
          <w:rFonts w:ascii="宋体" w:hAnsi="宋体" w:cs="宋体"/>
          <w:kern w:val="0"/>
          <w:szCs w:val="21"/>
        </w:rPr>
        <w:t>2.</w:t>
      </w:r>
      <w:r>
        <w:rPr>
          <w:rFonts w:hint="eastAsia" w:ascii="宋体" w:hAnsi="宋体" w:cs="宋体"/>
          <w:kern w:val="0"/>
          <w:szCs w:val="21"/>
        </w:rPr>
        <w:t>2</w:t>
      </w:r>
      <w:r>
        <w:rPr>
          <w:rFonts w:ascii="宋体" w:hAnsi="宋体" w:cs="宋体"/>
          <w:kern w:val="0"/>
          <w:szCs w:val="21"/>
        </w:rPr>
        <w:t>.3</w:t>
      </w:r>
      <w:r>
        <w:rPr>
          <w:rFonts w:hint="eastAsia" w:ascii="宋体" w:hAnsi="宋体" w:cs="宋体"/>
          <w:kern w:val="0"/>
          <w:szCs w:val="21"/>
        </w:rPr>
        <w:t>款列出的评审标准，有一项不符合评审标准的，作无效标处理。</w:t>
      </w:r>
    </w:p>
    <w:p>
      <w:pPr>
        <w:spacing w:line="360" w:lineRule="auto"/>
        <w:ind w:firstLine="420" w:firstLineChars="200"/>
        <w:rPr>
          <w:rFonts w:ascii="宋体" w:hAnsi="宋体" w:cs="宋体"/>
          <w:kern w:val="0"/>
          <w:szCs w:val="21"/>
        </w:rPr>
      </w:pPr>
      <w:r>
        <w:rPr>
          <w:rFonts w:ascii="宋体" w:hAnsi="宋体" w:cs="宋体"/>
          <w:kern w:val="0"/>
          <w:szCs w:val="21"/>
        </w:rPr>
        <w:t>3.3.</w:t>
      </w:r>
      <w:r>
        <w:rPr>
          <w:rFonts w:hint="eastAsia" w:ascii="宋体" w:hAnsi="宋体" w:cs="宋体"/>
          <w:kern w:val="0"/>
          <w:szCs w:val="21"/>
        </w:rPr>
        <w:t>4投标报价有算术错误的，评标委员会按以下原则对投标报价进行修正，修正的价格经投标人书面确认后具有约束力。投标人不接受修正价格的，评标委员会应当否决其投标。</w:t>
      </w:r>
    </w:p>
    <w:p>
      <w:pPr>
        <w:spacing w:line="360" w:lineRule="auto"/>
        <w:ind w:firstLine="420" w:firstLineChars="200"/>
        <w:rPr>
          <w:rFonts w:ascii="宋体" w:hAnsi="宋体" w:cs="宋体"/>
          <w:kern w:val="0"/>
          <w:szCs w:val="21"/>
        </w:rPr>
      </w:pPr>
      <w:r>
        <w:rPr>
          <w:rFonts w:hint="eastAsia" w:ascii="宋体" w:hAnsi="宋体" w:cs="宋体"/>
          <w:kern w:val="0"/>
          <w:szCs w:val="21"/>
        </w:rPr>
        <w:t>（</w:t>
      </w:r>
      <w:r>
        <w:rPr>
          <w:rFonts w:ascii="宋体" w:hAnsi="宋体" w:cs="宋体"/>
          <w:kern w:val="0"/>
          <w:szCs w:val="21"/>
        </w:rPr>
        <w:t>1</w:t>
      </w:r>
      <w:r>
        <w:rPr>
          <w:rFonts w:hint="eastAsia" w:ascii="宋体" w:hAnsi="宋体" w:cs="宋体"/>
          <w:kern w:val="0"/>
          <w:szCs w:val="21"/>
        </w:rPr>
        <w:t>）投标文件中的大写金额与小写金额不一致的，以大写金额为准；</w:t>
      </w:r>
    </w:p>
    <w:p>
      <w:pPr>
        <w:spacing w:line="360" w:lineRule="auto"/>
        <w:ind w:firstLine="420" w:firstLineChars="200"/>
        <w:rPr>
          <w:rFonts w:ascii="宋体" w:hAnsi="宋体" w:cs="宋体"/>
          <w:kern w:val="0"/>
          <w:szCs w:val="21"/>
        </w:rPr>
      </w:pPr>
      <w:r>
        <w:rPr>
          <w:rFonts w:hint="eastAsia" w:ascii="宋体" w:hAnsi="宋体" w:cs="宋体"/>
          <w:kern w:val="0"/>
          <w:szCs w:val="21"/>
        </w:rPr>
        <w:t>（</w:t>
      </w:r>
      <w:r>
        <w:rPr>
          <w:rFonts w:ascii="宋体" w:hAnsi="宋体" w:cs="宋体"/>
          <w:kern w:val="0"/>
          <w:szCs w:val="21"/>
        </w:rPr>
        <w:t>2</w:t>
      </w:r>
      <w:r>
        <w:rPr>
          <w:rFonts w:hint="eastAsia" w:ascii="宋体" w:hAnsi="宋体" w:cs="宋体"/>
          <w:kern w:val="0"/>
          <w:szCs w:val="21"/>
        </w:rPr>
        <w:t>）总价金额与依据单价计算出的结果不一致的，以单价金额为准修正总价，但单价金额小数点有明显错误、四舍五入原因的除外；</w:t>
      </w:r>
    </w:p>
    <w:p>
      <w:pPr>
        <w:spacing w:line="360" w:lineRule="auto"/>
        <w:ind w:firstLine="420" w:firstLineChars="200"/>
        <w:rPr>
          <w:rFonts w:ascii="宋体" w:hAnsi="宋体" w:cs="宋体"/>
          <w:kern w:val="0"/>
          <w:szCs w:val="21"/>
        </w:rPr>
      </w:pPr>
      <w:r>
        <w:rPr>
          <w:rFonts w:ascii="宋体" w:hAnsi="宋体" w:cs="宋体"/>
          <w:kern w:val="0"/>
          <w:szCs w:val="21"/>
        </w:rPr>
        <w:t>3.3.</w:t>
      </w:r>
      <w:r>
        <w:rPr>
          <w:rFonts w:hint="eastAsia" w:ascii="宋体" w:hAnsi="宋体" w:cs="宋体"/>
          <w:kern w:val="0"/>
          <w:szCs w:val="21"/>
        </w:rPr>
        <w:t>5澄清、说明或补正</w:t>
      </w:r>
    </w:p>
    <w:p>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在初步评审过程中，评标委员会应当就投标文件中不明确的内容要求投标人进行澄清、说明或补正，澄清、说明或补正按照本章第</w:t>
      </w:r>
      <w:r>
        <w:rPr>
          <w:rFonts w:ascii="宋体" w:hAnsi="宋体" w:cs="宋体"/>
          <w:kern w:val="0"/>
          <w:szCs w:val="21"/>
        </w:rPr>
        <w:t>3.</w:t>
      </w:r>
      <w:r>
        <w:rPr>
          <w:rFonts w:hint="eastAsia" w:ascii="宋体" w:hAnsi="宋体" w:cs="宋体"/>
          <w:kern w:val="0"/>
          <w:szCs w:val="21"/>
        </w:rPr>
        <w:t>5款的规定进行。</w:t>
      </w:r>
    </w:p>
    <w:p>
      <w:pPr>
        <w:spacing w:line="360" w:lineRule="auto"/>
        <w:ind w:firstLine="422" w:firstLineChars="200"/>
        <w:rPr>
          <w:rFonts w:ascii="宋体" w:hAnsi="宋体"/>
          <w:b/>
          <w:szCs w:val="24"/>
        </w:rPr>
      </w:pPr>
      <w:r>
        <w:rPr>
          <w:rFonts w:hint="eastAsia" w:ascii="宋体" w:hAnsi="宋体"/>
          <w:b/>
          <w:szCs w:val="24"/>
        </w:rPr>
        <w:t>3.3.6投标人有以下情形之一的，其投标作无效标处理：</w:t>
      </w:r>
    </w:p>
    <w:p>
      <w:pPr>
        <w:spacing w:line="360" w:lineRule="auto"/>
        <w:ind w:firstLine="420" w:firstLineChars="200"/>
        <w:rPr>
          <w:rFonts w:ascii="宋体" w:hAnsi="宋体"/>
          <w:szCs w:val="24"/>
        </w:rPr>
      </w:pPr>
      <w:r>
        <w:rPr>
          <w:rFonts w:hint="eastAsia" w:ascii="宋体" w:hAnsi="宋体"/>
          <w:szCs w:val="24"/>
        </w:rPr>
        <w:t>（1）第二章“投标人须知”第1.4.3项规定的任何一种情形的；</w:t>
      </w:r>
    </w:p>
    <w:p>
      <w:pPr>
        <w:snapToGrid w:val="0"/>
        <w:spacing w:line="360" w:lineRule="auto"/>
        <w:ind w:firstLine="422" w:firstLineChars="201"/>
        <w:rPr>
          <w:rFonts w:ascii="宋体" w:hAnsi="宋体"/>
          <w:szCs w:val="21"/>
        </w:rPr>
      </w:pPr>
      <w:r>
        <w:rPr>
          <w:rFonts w:hint="eastAsia" w:ascii="宋体" w:hAnsi="宋体"/>
          <w:szCs w:val="24"/>
        </w:rPr>
        <w:t>（2）</w:t>
      </w:r>
      <w:r>
        <w:rPr>
          <w:rFonts w:hint="eastAsia" w:ascii="宋体" w:hAnsi="宋体"/>
          <w:szCs w:val="21"/>
        </w:rPr>
        <w:t>投标文件中的投标函未加盖投标人公章的；</w:t>
      </w:r>
    </w:p>
    <w:p>
      <w:pPr>
        <w:snapToGrid w:val="0"/>
        <w:spacing w:line="360" w:lineRule="auto"/>
        <w:ind w:firstLine="422" w:firstLineChars="201"/>
        <w:rPr>
          <w:rFonts w:ascii="宋体" w:hAnsi="宋体"/>
          <w:szCs w:val="21"/>
        </w:rPr>
      </w:pPr>
      <w:r>
        <w:rPr>
          <w:rFonts w:hint="eastAsia" w:ascii="宋体" w:hAnsi="宋体"/>
          <w:szCs w:val="24"/>
        </w:rPr>
        <w:t>（3）</w:t>
      </w:r>
      <w:r>
        <w:rPr>
          <w:rFonts w:hint="eastAsia" w:ascii="宋体" w:hAnsi="宋体"/>
          <w:szCs w:val="21"/>
        </w:rPr>
        <w:t>投标文件中投标函未加盖企业法定代表人（或企业法定代表人委托代理人）印章（或签字）的；</w:t>
      </w:r>
    </w:p>
    <w:p>
      <w:pPr>
        <w:snapToGrid w:val="0"/>
        <w:spacing w:line="360" w:lineRule="auto"/>
        <w:ind w:firstLine="422" w:firstLineChars="201"/>
        <w:rPr>
          <w:rFonts w:ascii="宋体" w:hAnsi="宋体"/>
          <w:szCs w:val="21"/>
        </w:rPr>
      </w:pPr>
      <w:r>
        <w:rPr>
          <w:rFonts w:hint="eastAsia" w:ascii="宋体" w:hAnsi="宋体"/>
          <w:szCs w:val="24"/>
        </w:rPr>
        <w:t>（4）</w:t>
      </w:r>
      <w:r>
        <w:rPr>
          <w:rFonts w:hint="eastAsia" w:ascii="宋体" w:hAnsi="宋体"/>
          <w:szCs w:val="21"/>
        </w:rPr>
        <w:t>投标函加盖企业委托代理人印章（或签字）的，企业法定代表人委托代理人没有合法、有效的委托书（原件）的；</w:t>
      </w:r>
    </w:p>
    <w:p>
      <w:pPr>
        <w:snapToGrid w:val="0"/>
        <w:spacing w:line="360" w:lineRule="auto"/>
        <w:ind w:firstLine="422" w:firstLineChars="201"/>
        <w:rPr>
          <w:rFonts w:ascii="宋体" w:hAnsi="宋体"/>
          <w:szCs w:val="21"/>
        </w:rPr>
      </w:pPr>
      <w:r>
        <w:rPr>
          <w:rFonts w:hint="eastAsia" w:ascii="宋体" w:hAnsi="宋体"/>
          <w:szCs w:val="24"/>
        </w:rPr>
        <w:t>（5）</w:t>
      </w:r>
      <w:r>
        <w:rPr>
          <w:rFonts w:hint="eastAsia" w:ascii="宋体" w:hAnsi="宋体"/>
          <w:szCs w:val="21"/>
        </w:rPr>
        <w:t>投标人资格条件不符合国家有关规定，或者不满足招标文件规定的资格条件的；</w:t>
      </w:r>
    </w:p>
    <w:p>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（6）投标人名称或组织结构与资格审查时不一致的；</w:t>
      </w:r>
    </w:p>
    <w:p>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（7）除在投标截止时间前经招标人书面同意外，项目负责人与资格审查时不一致的；</w:t>
      </w:r>
    </w:p>
    <w:p>
      <w:pPr>
        <w:adjustRightInd w:val="0"/>
        <w:snapToGrid w:val="0"/>
        <w:spacing w:line="360" w:lineRule="auto"/>
        <w:ind w:firstLine="422" w:firstLineChars="200"/>
        <w:rPr>
          <w:rFonts w:ascii="宋体" w:hAnsi="宋体" w:cs="宋体"/>
          <w:b/>
          <w:kern w:val="0"/>
          <w:szCs w:val="21"/>
        </w:rPr>
      </w:pPr>
      <w:r>
        <w:rPr>
          <w:rFonts w:ascii="宋体" w:hAnsi="宋体" w:cs="宋体"/>
          <w:b/>
          <w:kern w:val="0"/>
          <w:szCs w:val="21"/>
        </w:rPr>
        <w:t>（</w:t>
      </w:r>
      <w:r>
        <w:rPr>
          <w:rFonts w:hint="eastAsia" w:ascii="宋体" w:hAnsi="宋体" w:cs="宋体"/>
          <w:b/>
          <w:kern w:val="0"/>
          <w:szCs w:val="21"/>
        </w:rPr>
        <w:t>8</w:t>
      </w:r>
      <w:r>
        <w:rPr>
          <w:rFonts w:ascii="宋体" w:hAnsi="宋体" w:cs="宋体"/>
          <w:b/>
          <w:kern w:val="0"/>
          <w:szCs w:val="21"/>
        </w:rPr>
        <w:t>）</w:t>
      </w:r>
      <w:r>
        <w:rPr>
          <w:rFonts w:hint="eastAsia" w:ascii="宋体" w:hAnsi="宋体" w:cs="宋体"/>
          <w:b/>
          <w:kern w:val="0"/>
          <w:szCs w:val="21"/>
        </w:rPr>
        <w:t>投标报价不得高于招标文件设定的招标控制价：</w:t>
      </w:r>
    </w:p>
    <w:p>
      <w:pPr>
        <w:adjustRightInd w:val="0"/>
        <w:snapToGrid w:val="0"/>
        <w:spacing w:line="360" w:lineRule="auto"/>
        <w:ind w:firstLine="422" w:firstLineChars="200"/>
        <w:rPr>
          <w:rFonts w:ascii="宋体" w:hAnsi="宋体" w:cs="宋体"/>
          <w:b/>
          <w:color w:val="0000FF"/>
          <w:kern w:val="0"/>
          <w:szCs w:val="21"/>
        </w:rPr>
      </w:pPr>
      <w:r>
        <w:rPr>
          <w:rFonts w:hint="eastAsia" w:ascii="宋体" w:hAnsi="宋体" w:cs="宋体"/>
          <w:b/>
          <w:color w:val="0000FF"/>
          <w:kern w:val="0"/>
          <w:szCs w:val="21"/>
        </w:rPr>
        <w:t>投标总价不得超过财政最高限价187.6980万元/年。</w:t>
      </w:r>
    </w:p>
    <w:p>
      <w:pPr>
        <w:adjustRightInd w:val="0"/>
        <w:snapToGrid w:val="0"/>
        <w:spacing w:line="360" w:lineRule="auto"/>
        <w:ind w:firstLine="422" w:firstLineChars="200"/>
        <w:rPr>
          <w:rFonts w:ascii="宋体" w:hAnsi="宋体" w:cs="宋体"/>
          <w:b/>
          <w:color w:val="0000FF"/>
          <w:kern w:val="0"/>
          <w:szCs w:val="21"/>
        </w:rPr>
      </w:pPr>
      <w:r>
        <w:rPr>
          <w:rFonts w:hint="eastAsia" w:ascii="宋体" w:hAnsi="宋体" w:cs="宋体"/>
          <w:b/>
          <w:color w:val="0000FF"/>
          <w:kern w:val="0"/>
          <w:szCs w:val="21"/>
        </w:rPr>
        <w:t>绿地管护（不含草花，不含老绿地缺陷完善）单价不得超过10元/㎡·年；</w:t>
      </w:r>
    </w:p>
    <w:p>
      <w:pPr>
        <w:adjustRightInd w:val="0"/>
        <w:snapToGrid w:val="0"/>
        <w:spacing w:line="360" w:lineRule="auto"/>
        <w:ind w:firstLine="422" w:firstLineChars="200"/>
        <w:rPr>
          <w:rFonts w:ascii="宋体" w:hAnsi="宋体" w:cs="宋体"/>
          <w:b/>
          <w:color w:val="0000FF"/>
          <w:kern w:val="0"/>
          <w:szCs w:val="21"/>
        </w:rPr>
      </w:pPr>
      <w:r>
        <w:rPr>
          <w:rFonts w:hint="eastAsia" w:ascii="宋体" w:hAnsi="宋体" w:cs="宋体"/>
          <w:b/>
          <w:color w:val="0000FF"/>
          <w:kern w:val="0"/>
          <w:szCs w:val="21"/>
        </w:rPr>
        <w:t>草花地栽单价不得超过378元/㎡·年；</w:t>
      </w:r>
    </w:p>
    <w:p>
      <w:pPr>
        <w:adjustRightInd w:val="0"/>
        <w:snapToGrid w:val="0"/>
        <w:spacing w:line="360" w:lineRule="auto"/>
        <w:ind w:firstLine="422" w:firstLineChars="200"/>
        <w:rPr>
          <w:rFonts w:ascii="宋体" w:hAnsi="宋体" w:cs="宋体"/>
          <w:b/>
          <w:color w:val="0000FF"/>
          <w:kern w:val="0"/>
          <w:szCs w:val="21"/>
        </w:rPr>
      </w:pPr>
      <w:r>
        <w:rPr>
          <w:rFonts w:hint="eastAsia" w:ascii="宋体" w:hAnsi="宋体" w:cs="宋体"/>
          <w:b/>
          <w:color w:val="0000FF"/>
          <w:kern w:val="0"/>
          <w:szCs w:val="21"/>
        </w:rPr>
        <w:t>老绿地缺陷完善不得超过2.6688万元/年，两年即5.3376万元。</w:t>
      </w:r>
    </w:p>
    <w:p>
      <w:pPr>
        <w:snapToGrid w:val="0"/>
        <w:spacing w:line="360" w:lineRule="auto"/>
        <w:ind w:firstLine="422" w:firstLineChars="201"/>
        <w:rPr>
          <w:rFonts w:ascii="宋体" w:hAnsi="宋体"/>
          <w:szCs w:val="21"/>
        </w:rPr>
      </w:pPr>
      <w:r>
        <w:rPr>
          <w:rFonts w:ascii="宋体" w:hAnsi="宋体"/>
          <w:szCs w:val="24"/>
        </w:rPr>
        <w:t>（</w:t>
      </w:r>
      <w:r>
        <w:rPr>
          <w:rFonts w:hint="eastAsia" w:ascii="宋体" w:hAnsi="宋体"/>
          <w:szCs w:val="24"/>
        </w:rPr>
        <w:t>9</w:t>
      </w:r>
      <w:r>
        <w:rPr>
          <w:rFonts w:ascii="宋体" w:hAnsi="宋体"/>
          <w:szCs w:val="24"/>
        </w:rPr>
        <w:t>）</w:t>
      </w:r>
      <w:r>
        <w:rPr>
          <w:rFonts w:hint="eastAsia" w:ascii="宋体" w:hAnsi="宋体"/>
          <w:szCs w:val="21"/>
        </w:rPr>
        <w:t>同一投标人提交两个及以上不同的投标文件或者投标报价，但招标文件要求提交备选投标的除外；</w:t>
      </w:r>
    </w:p>
    <w:p>
      <w:pPr>
        <w:snapToGrid w:val="0"/>
        <w:spacing w:line="360" w:lineRule="auto"/>
        <w:ind w:firstLine="422" w:firstLineChars="201"/>
        <w:rPr>
          <w:rFonts w:ascii="宋体" w:hAnsi="宋体"/>
          <w:szCs w:val="21"/>
        </w:rPr>
      </w:pPr>
      <w:r>
        <w:rPr>
          <w:rFonts w:ascii="宋体" w:hAnsi="宋体"/>
          <w:szCs w:val="24"/>
        </w:rPr>
        <w:t>（</w:t>
      </w:r>
      <w:r>
        <w:rPr>
          <w:rFonts w:hint="eastAsia" w:ascii="宋体" w:hAnsi="宋体"/>
          <w:szCs w:val="24"/>
        </w:rPr>
        <w:t>10</w:t>
      </w:r>
      <w:r>
        <w:rPr>
          <w:rFonts w:ascii="宋体" w:hAnsi="宋体"/>
          <w:szCs w:val="24"/>
        </w:rPr>
        <w:t>）</w:t>
      </w:r>
      <w:r>
        <w:rPr>
          <w:rFonts w:hint="eastAsia" w:ascii="宋体" w:hAnsi="宋体"/>
          <w:szCs w:val="21"/>
        </w:rPr>
        <w:t>未按招标文件要求提供投标保证金的；</w:t>
      </w:r>
    </w:p>
    <w:p>
      <w:pPr>
        <w:snapToGrid w:val="0"/>
        <w:spacing w:line="360" w:lineRule="auto"/>
        <w:ind w:firstLine="422" w:firstLineChars="201"/>
        <w:rPr>
          <w:rFonts w:ascii="宋体" w:hAnsi="宋体"/>
          <w:szCs w:val="21"/>
        </w:rPr>
      </w:pPr>
      <w:r>
        <w:rPr>
          <w:rFonts w:ascii="宋体" w:hAnsi="宋体"/>
          <w:szCs w:val="24"/>
        </w:rPr>
        <w:t>（</w:t>
      </w:r>
      <w:r>
        <w:rPr>
          <w:rFonts w:hint="eastAsia" w:ascii="宋体" w:hAnsi="宋体"/>
          <w:szCs w:val="24"/>
        </w:rPr>
        <w:t>11</w:t>
      </w:r>
      <w:r>
        <w:rPr>
          <w:rFonts w:ascii="宋体" w:hAnsi="宋体"/>
          <w:szCs w:val="24"/>
        </w:rPr>
        <w:t>）</w:t>
      </w:r>
      <w:r>
        <w:rPr>
          <w:rFonts w:hint="eastAsia" w:ascii="宋体" w:hAnsi="宋体"/>
          <w:szCs w:val="21"/>
        </w:rPr>
        <w:t>投标文件载明的招标项目承包期限超过招标文件规定期限的；</w:t>
      </w:r>
    </w:p>
    <w:p>
      <w:pPr>
        <w:snapToGrid w:val="0"/>
        <w:spacing w:line="360" w:lineRule="auto"/>
        <w:ind w:firstLine="422" w:firstLineChars="201"/>
        <w:rPr>
          <w:rFonts w:ascii="宋体" w:hAnsi="宋体"/>
          <w:szCs w:val="21"/>
        </w:rPr>
      </w:pPr>
      <w:r>
        <w:rPr>
          <w:rFonts w:ascii="宋体" w:hAnsi="宋体"/>
          <w:szCs w:val="24"/>
        </w:rPr>
        <w:t>（</w:t>
      </w:r>
      <w:r>
        <w:rPr>
          <w:rFonts w:hint="eastAsia" w:ascii="宋体" w:hAnsi="宋体"/>
          <w:szCs w:val="24"/>
        </w:rPr>
        <w:t>12</w:t>
      </w:r>
      <w:r>
        <w:rPr>
          <w:rFonts w:ascii="宋体" w:hAnsi="宋体"/>
          <w:szCs w:val="24"/>
        </w:rPr>
        <w:t>）</w:t>
      </w:r>
      <w:r>
        <w:rPr>
          <w:rFonts w:hint="eastAsia" w:ascii="宋体" w:hAnsi="宋体"/>
          <w:szCs w:val="21"/>
        </w:rPr>
        <w:t>明显不符合技术规范、技术标准的要求的；</w:t>
      </w:r>
    </w:p>
    <w:p>
      <w:pPr>
        <w:snapToGrid w:val="0"/>
        <w:spacing w:line="360" w:lineRule="auto"/>
        <w:ind w:firstLine="422" w:firstLineChars="201"/>
        <w:rPr>
          <w:rFonts w:ascii="宋体" w:hAnsi="宋体"/>
          <w:szCs w:val="21"/>
        </w:rPr>
      </w:pPr>
      <w:r>
        <w:rPr>
          <w:rFonts w:ascii="宋体" w:hAnsi="宋体"/>
          <w:szCs w:val="24"/>
        </w:rPr>
        <w:t>（</w:t>
      </w:r>
      <w:r>
        <w:rPr>
          <w:rFonts w:hint="eastAsia" w:ascii="宋体" w:hAnsi="宋体"/>
          <w:szCs w:val="24"/>
        </w:rPr>
        <w:t>13</w:t>
      </w:r>
      <w:r>
        <w:rPr>
          <w:rFonts w:ascii="宋体" w:hAnsi="宋体"/>
          <w:szCs w:val="24"/>
        </w:rPr>
        <w:t>）</w:t>
      </w:r>
      <w:r>
        <w:rPr>
          <w:rFonts w:hint="eastAsia" w:ascii="宋体" w:hAnsi="宋体"/>
          <w:szCs w:val="21"/>
        </w:rPr>
        <w:t>投标文件载明的货物包装方式、检验标准和方法等不符合招标文件的要求的；</w:t>
      </w:r>
    </w:p>
    <w:p>
      <w:pPr>
        <w:snapToGrid w:val="0"/>
        <w:spacing w:line="360" w:lineRule="auto"/>
        <w:ind w:firstLine="422" w:firstLineChars="201"/>
        <w:rPr>
          <w:rFonts w:ascii="宋体" w:hAnsi="宋体"/>
          <w:szCs w:val="21"/>
        </w:rPr>
      </w:pPr>
      <w:r>
        <w:rPr>
          <w:rFonts w:ascii="宋体" w:hAnsi="宋体"/>
          <w:szCs w:val="24"/>
        </w:rPr>
        <w:t>（</w:t>
      </w:r>
      <w:r>
        <w:rPr>
          <w:rFonts w:hint="eastAsia" w:ascii="宋体" w:hAnsi="宋体"/>
          <w:szCs w:val="24"/>
        </w:rPr>
        <w:t>14</w:t>
      </w:r>
      <w:r>
        <w:rPr>
          <w:rFonts w:ascii="宋体" w:hAnsi="宋体"/>
          <w:szCs w:val="24"/>
        </w:rPr>
        <w:t>）</w:t>
      </w:r>
      <w:r>
        <w:rPr>
          <w:rFonts w:hint="eastAsia" w:ascii="宋体" w:hAnsi="宋体"/>
          <w:szCs w:val="21"/>
        </w:rPr>
        <w:t>投标文件提出了不能满足招标文件要求或招标人不能接受的验收、计量、价款结算和支付办法的；</w:t>
      </w:r>
    </w:p>
    <w:p>
      <w:pPr>
        <w:snapToGrid w:val="0"/>
        <w:spacing w:line="360" w:lineRule="auto"/>
        <w:ind w:firstLine="422" w:firstLineChars="201"/>
        <w:rPr>
          <w:rFonts w:ascii="宋体" w:hAnsi="宋体"/>
          <w:szCs w:val="21"/>
        </w:rPr>
      </w:pPr>
      <w:r>
        <w:rPr>
          <w:rFonts w:ascii="宋体" w:hAnsi="宋体"/>
          <w:szCs w:val="24"/>
        </w:rPr>
        <w:t>（</w:t>
      </w:r>
      <w:r>
        <w:rPr>
          <w:rFonts w:hint="eastAsia" w:ascii="宋体" w:hAnsi="宋体"/>
          <w:szCs w:val="24"/>
        </w:rPr>
        <w:t>15</w:t>
      </w:r>
      <w:r>
        <w:rPr>
          <w:rFonts w:ascii="宋体" w:hAnsi="宋体"/>
          <w:szCs w:val="24"/>
        </w:rPr>
        <w:t>）</w:t>
      </w:r>
      <w:r>
        <w:rPr>
          <w:rFonts w:hint="eastAsia" w:ascii="宋体" w:hAnsi="宋体"/>
          <w:szCs w:val="21"/>
        </w:rPr>
        <w:t>不同投标人的投标文件以及投标文件制作过程出现了评标委员会认为不应当雷同的情况的；</w:t>
      </w:r>
    </w:p>
    <w:p>
      <w:pPr>
        <w:snapToGrid w:val="0"/>
        <w:spacing w:line="360" w:lineRule="auto"/>
        <w:ind w:firstLine="422" w:firstLineChars="201"/>
        <w:rPr>
          <w:rFonts w:ascii="宋体" w:hAnsi="宋体"/>
          <w:szCs w:val="21"/>
        </w:rPr>
      </w:pPr>
      <w:r>
        <w:rPr>
          <w:rFonts w:ascii="宋体" w:hAnsi="宋体"/>
          <w:szCs w:val="24"/>
        </w:rPr>
        <w:t>（</w:t>
      </w:r>
      <w:r>
        <w:rPr>
          <w:rFonts w:hint="eastAsia" w:ascii="宋体" w:hAnsi="宋体"/>
          <w:szCs w:val="24"/>
        </w:rPr>
        <w:t>16</w:t>
      </w:r>
      <w:r>
        <w:rPr>
          <w:rFonts w:ascii="宋体" w:hAnsi="宋体"/>
          <w:szCs w:val="24"/>
        </w:rPr>
        <w:t>）</w:t>
      </w:r>
      <w:r>
        <w:rPr>
          <w:rFonts w:hint="eastAsia" w:ascii="宋体" w:hAnsi="宋体"/>
          <w:szCs w:val="21"/>
        </w:rPr>
        <w:t>以它人的名义投标、串通投标、以行贿手段谋取中标或者以其他弄虚作假方式投标的；</w:t>
      </w:r>
    </w:p>
    <w:p>
      <w:pPr>
        <w:snapToGrid w:val="0"/>
        <w:spacing w:line="360" w:lineRule="auto"/>
        <w:ind w:firstLine="420" w:firstLineChars="200"/>
        <w:rPr>
          <w:rFonts w:ascii="宋体" w:hAnsi="宋体"/>
          <w:color w:val="000000" w:themeColor="text1"/>
          <w:szCs w:val="21"/>
        </w:rPr>
      </w:pPr>
      <w:r>
        <w:rPr>
          <w:rFonts w:ascii="宋体" w:hAnsi="宋体"/>
          <w:color w:val="000000" w:themeColor="text1"/>
          <w:szCs w:val="24"/>
        </w:rPr>
        <w:t>（</w:t>
      </w:r>
      <w:r>
        <w:rPr>
          <w:rFonts w:hint="eastAsia" w:ascii="宋体" w:hAnsi="宋体"/>
          <w:color w:val="000000" w:themeColor="text1"/>
          <w:szCs w:val="24"/>
        </w:rPr>
        <w:t>17）</w:t>
      </w:r>
      <w:r>
        <w:rPr>
          <w:rFonts w:hint="eastAsia" w:ascii="宋体" w:hAnsi="宋体"/>
          <w:color w:val="000000" w:themeColor="text1"/>
          <w:szCs w:val="21"/>
        </w:rPr>
        <w:t>投标文件关键内容模糊、无法辨认。</w:t>
      </w:r>
    </w:p>
    <w:p>
      <w:pPr>
        <w:adjustRightInd w:val="0"/>
        <w:snapToGrid w:val="0"/>
        <w:spacing w:line="360" w:lineRule="auto"/>
        <w:ind w:firstLine="420" w:firstLineChars="200"/>
        <w:rPr>
          <w:rFonts w:ascii="宋体" w:hAnsi="宋体"/>
          <w:bCs/>
          <w:color w:val="000000" w:themeColor="text1"/>
          <w:szCs w:val="24"/>
        </w:rPr>
      </w:pPr>
      <w:r>
        <w:rPr>
          <w:rFonts w:hint="eastAsia" w:ascii="宋体" w:hAnsi="宋体"/>
          <w:bCs/>
          <w:color w:val="000000" w:themeColor="text1"/>
          <w:szCs w:val="24"/>
        </w:rPr>
        <w:t>（18）暗标管护方案，不符合暗标制作要求的（详见前面暗标制作要求）</w:t>
      </w:r>
      <w:bookmarkStart w:id="134" w:name="_Toc535487146"/>
    </w:p>
    <w:p>
      <w:pPr>
        <w:adjustRightInd w:val="0"/>
        <w:snapToGrid w:val="0"/>
        <w:spacing w:line="360" w:lineRule="auto"/>
        <w:ind w:firstLine="422" w:firstLineChars="200"/>
        <w:rPr>
          <w:rFonts w:ascii="宋体" w:hAnsi="宋体" w:cs="宋体"/>
          <w:color w:val="000000" w:themeColor="text1"/>
          <w:kern w:val="0"/>
          <w:szCs w:val="21"/>
        </w:rPr>
      </w:pPr>
      <w:r>
        <w:rPr>
          <w:rFonts w:hint="eastAsia" w:ascii="宋体" w:hAnsi="宋体"/>
          <w:b/>
          <w:bCs/>
          <w:color w:val="000000" w:themeColor="text1"/>
          <w:szCs w:val="32"/>
        </w:rPr>
        <w:t>3.4详细评审</w:t>
      </w:r>
      <w:bookmarkEnd w:id="134"/>
    </w:p>
    <w:p>
      <w:pPr>
        <w:adjustRightInd w:val="0"/>
        <w:snapToGrid w:val="0"/>
        <w:spacing w:line="360" w:lineRule="auto"/>
        <w:ind w:firstLine="420" w:firstLineChars="200"/>
        <w:rPr>
          <w:rFonts w:ascii="宋体" w:hAnsi="宋体" w:cs="宋体"/>
          <w:b/>
          <w:bCs/>
          <w:strike/>
          <w:color w:val="000000" w:themeColor="text1"/>
          <w:kern w:val="0"/>
          <w:szCs w:val="21"/>
        </w:rPr>
      </w:pPr>
      <w:r>
        <w:rPr>
          <w:rFonts w:hint="eastAsia" w:ascii="宋体" w:hAnsi="宋体" w:cs="宋体"/>
          <w:color w:val="000000" w:themeColor="text1"/>
          <w:kern w:val="0"/>
          <w:szCs w:val="21"/>
        </w:rPr>
        <w:t>3.4.1本项目采用综合评估法。</w:t>
      </w:r>
    </w:p>
    <w:p>
      <w:pPr>
        <w:adjustRightInd w:val="0"/>
        <w:snapToGrid w:val="0"/>
        <w:spacing w:line="360" w:lineRule="auto"/>
        <w:ind w:firstLine="420" w:firstLineChars="200"/>
        <w:rPr>
          <w:rFonts w:ascii="宋体" w:hAnsi="宋体" w:cs="宋体"/>
          <w:color w:val="000000" w:themeColor="text1"/>
          <w:kern w:val="0"/>
          <w:szCs w:val="21"/>
        </w:rPr>
      </w:pPr>
      <w:r>
        <w:rPr>
          <w:rFonts w:ascii="宋体" w:hAnsi="宋体" w:cs="宋体"/>
          <w:color w:val="000000" w:themeColor="text1"/>
          <w:kern w:val="0"/>
          <w:szCs w:val="21"/>
        </w:rPr>
        <w:t>3.</w:t>
      </w:r>
      <w:r>
        <w:rPr>
          <w:rFonts w:hint="eastAsia" w:ascii="宋体" w:hAnsi="宋体" w:cs="宋体"/>
          <w:color w:val="000000" w:themeColor="text1"/>
          <w:kern w:val="0"/>
          <w:szCs w:val="21"/>
        </w:rPr>
        <w:t>4</w:t>
      </w:r>
      <w:r>
        <w:rPr>
          <w:rFonts w:ascii="宋体" w:hAnsi="宋体" w:cs="宋体"/>
          <w:color w:val="000000" w:themeColor="text1"/>
          <w:kern w:val="0"/>
          <w:szCs w:val="21"/>
        </w:rPr>
        <w:t>.</w:t>
      </w:r>
      <w:r>
        <w:rPr>
          <w:rFonts w:hint="eastAsia" w:ascii="宋体" w:hAnsi="宋体" w:cs="宋体"/>
          <w:color w:val="000000" w:themeColor="text1"/>
          <w:kern w:val="0"/>
          <w:szCs w:val="21"/>
        </w:rPr>
        <w:t>2按本章第</w:t>
      </w:r>
      <w:r>
        <w:rPr>
          <w:rFonts w:ascii="宋体" w:hAnsi="宋体" w:cs="宋体"/>
          <w:color w:val="000000" w:themeColor="text1"/>
          <w:kern w:val="0"/>
          <w:szCs w:val="21"/>
        </w:rPr>
        <w:t>2.</w:t>
      </w:r>
      <w:r>
        <w:rPr>
          <w:rFonts w:hint="eastAsia" w:ascii="宋体" w:hAnsi="宋体" w:cs="宋体"/>
          <w:color w:val="000000" w:themeColor="text1"/>
          <w:kern w:val="0"/>
          <w:szCs w:val="21"/>
        </w:rPr>
        <w:t>3</w:t>
      </w:r>
      <w:r>
        <w:rPr>
          <w:rFonts w:ascii="宋体" w:hAnsi="宋体" w:cs="宋体"/>
          <w:color w:val="000000" w:themeColor="text1"/>
          <w:kern w:val="0"/>
          <w:szCs w:val="21"/>
        </w:rPr>
        <w:t>.2</w:t>
      </w:r>
      <w:r>
        <w:rPr>
          <w:rFonts w:hint="eastAsia" w:ascii="宋体" w:hAnsi="宋体" w:cs="宋体"/>
          <w:color w:val="000000" w:themeColor="text1"/>
          <w:kern w:val="0"/>
          <w:szCs w:val="21"/>
        </w:rPr>
        <w:t>规定的方法确定评标基准价。</w:t>
      </w:r>
    </w:p>
    <w:p>
      <w:pPr>
        <w:adjustRightInd w:val="0"/>
        <w:snapToGrid w:val="0"/>
        <w:spacing w:line="360" w:lineRule="auto"/>
        <w:ind w:firstLine="420" w:firstLineChars="200"/>
        <w:rPr>
          <w:rFonts w:ascii="宋体" w:hAnsi="宋体" w:cs="宋体"/>
          <w:kern w:val="0"/>
          <w:szCs w:val="21"/>
        </w:rPr>
      </w:pPr>
      <w:r>
        <w:rPr>
          <w:rFonts w:ascii="宋体" w:hAnsi="宋体" w:cs="宋体"/>
          <w:color w:val="000000" w:themeColor="text1"/>
          <w:kern w:val="0"/>
          <w:szCs w:val="21"/>
        </w:rPr>
        <w:t>3.</w:t>
      </w:r>
      <w:r>
        <w:rPr>
          <w:rFonts w:hint="eastAsia" w:ascii="宋体" w:hAnsi="宋体" w:cs="宋体"/>
          <w:color w:val="000000" w:themeColor="text1"/>
          <w:kern w:val="0"/>
          <w:szCs w:val="21"/>
        </w:rPr>
        <w:t>4.3评标委员会按本章第</w:t>
      </w:r>
      <w:r>
        <w:rPr>
          <w:rFonts w:ascii="宋体" w:hAnsi="宋体" w:cs="宋体"/>
          <w:color w:val="000000" w:themeColor="text1"/>
          <w:kern w:val="0"/>
          <w:szCs w:val="21"/>
        </w:rPr>
        <w:t>2.</w:t>
      </w:r>
      <w:r>
        <w:rPr>
          <w:rFonts w:hint="eastAsia" w:ascii="宋体" w:hAnsi="宋体" w:cs="宋体"/>
          <w:kern w:val="0"/>
          <w:szCs w:val="21"/>
        </w:rPr>
        <w:t>3款规定的量化因素和分值进行打分，并计算出综合评估得分。</w:t>
      </w:r>
    </w:p>
    <w:p>
      <w:pPr>
        <w:adjustRightInd w:val="0"/>
        <w:snapToGrid w:val="0"/>
        <w:spacing w:line="360" w:lineRule="auto"/>
        <w:ind w:firstLine="422" w:firstLineChars="200"/>
        <w:rPr>
          <w:rFonts w:ascii="宋体" w:hAnsi="宋体" w:cs="宋体"/>
          <w:b/>
          <w:color w:val="0000FF"/>
          <w:kern w:val="0"/>
          <w:szCs w:val="21"/>
        </w:rPr>
      </w:pPr>
      <w:r>
        <w:rPr>
          <w:rFonts w:hint="eastAsia" w:ascii="宋体" w:hAnsi="宋体" w:cs="宋体"/>
          <w:b/>
          <w:color w:val="0000FF"/>
          <w:kern w:val="0"/>
          <w:szCs w:val="21"/>
        </w:rPr>
        <w:t>（1）按本章第2.3.2项目负责人或现场负责人近五年业绩“即近五年内南通市园林绿化管理处绿化管护优秀项目负责人（现场负责人）获评情况”评审出得分A；</w:t>
      </w:r>
    </w:p>
    <w:p>
      <w:pPr>
        <w:snapToGrid w:val="0"/>
        <w:spacing w:line="360" w:lineRule="auto"/>
        <w:ind w:firstLine="424" w:firstLineChars="201"/>
        <w:rPr>
          <w:rFonts w:ascii="宋体" w:hAnsi="宋体"/>
          <w:b/>
          <w:color w:val="0000FF"/>
          <w:szCs w:val="24"/>
        </w:rPr>
      </w:pPr>
      <w:r>
        <w:rPr>
          <w:rFonts w:hint="eastAsia" w:ascii="宋体" w:hAnsi="宋体" w:cs="宋体"/>
          <w:b/>
          <w:color w:val="0000FF"/>
          <w:kern w:val="0"/>
          <w:szCs w:val="21"/>
        </w:rPr>
        <w:t>（2）</w:t>
      </w:r>
      <w:r>
        <w:rPr>
          <w:rFonts w:hint="eastAsia" w:ascii="宋体" w:hAnsi="宋体"/>
          <w:b/>
          <w:color w:val="0000FF"/>
          <w:szCs w:val="24"/>
        </w:rPr>
        <w:t>按本章第</w:t>
      </w:r>
      <w:r>
        <w:rPr>
          <w:rFonts w:ascii="宋体" w:hAnsi="宋体"/>
          <w:b/>
          <w:color w:val="0000FF"/>
          <w:szCs w:val="24"/>
        </w:rPr>
        <w:t>2.</w:t>
      </w:r>
      <w:r>
        <w:rPr>
          <w:rFonts w:hint="eastAsia" w:ascii="宋体" w:hAnsi="宋体"/>
          <w:b/>
          <w:color w:val="0000FF"/>
          <w:szCs w:val="24"/>
        </w:rPr>
        <w:t>3</w:t>
      </w:r>
      <w:r>
        <w:rPr>
          <w:rFonts w:ascii="宋体" w:hAnsi="宋体"/>
          <w:b/>
          <w:color w:val="0000FF"/>
          <w:szCs w:val="24"/>
        </w:rPr>
        <w:t>.</w:t>
      </w:r>
      <w:r>
        <w:rPr>
          <w:rFonts w:hint="eastAsia" w:ascii="宋体" w:hAnsi="宋体"/>
          <w:b/>
          <w:color w:val="0000FF"/>
          <w:szCs w:val="24"/>
        </w:rPr>
        <w:t>2管护方案（暗标）规定的评审条款和分值，评审出得分B；</w:t>
      </w:r>
    </w:p>
    <w:p>
      <w:pPr>
        <w:snapToGrid w:val="0"/>
        <w:spacing w:line="360" w:lineRule="auto"/>
        <w:ind w:firstLine="422" w:firstLineChars="201"/>
        <w:rPr>
          <w:rFonts w:ascii="宋体" w:hAnsi="宋体"/>
          <w:color w:val="000000" w:themeColor="text1"/>
          <w:szCs w:val="24"/>
        </w:rPr>
      </w:pPr>
      <w:r>
        <w:rPr>
          <w:rFonts w:hint="eastAsia" w:ascii="宋体" w:hAnsi="宋体"/>
          <w:color w:val="000000" w:themeColor="text1"/>
          <w:szCs w:val="24"/>
        </w:rPr>
        <w:t>方案分B：去掉一个最高分和一个最低分后均算而成（四舍五入，保留小数点后两位小数）。</w:t>
      </w:r>
    </w:p>
    <w:p>
      <w:pPr>
        <w:snapToGrid w:val="0"/>
        <w:spacing w:line="360" w:lineRule="auto"/>
        <w:ind w:firstLine="422" w:firstLineChars="201"/>
        <w:rPr>
          <w:rFonts w:ascii="宋体" w:hAnsi="宋体"/>
          <w:szCs w:val="24"/>
        </w:rPr>
      </w:pPr>
      <w:r>
        <w:rPr>
          <w:rFonts w:hint="eastAsia" w:ascii="宋体" w:hAnsi="宋体"/>
          <w:szCs w:val="24"/>
        </w:rPr>
        <w:t>投标人违反暗标要求的，作无效标处理。</w:t>
      </w:r>
    </w:p>
    <w:p>
      <w:pPr>
        <w:snapToGrid w:val="0"/>
        <w:spacing w:line="360" w:lineRule="auto"/>
        <w:ind w:firstLine="424" w:firstLineChars="201"/>
        <w:rPr>
          <w:rFonts w:ascii="宋体" w:hAnsi="宋体"/>
          <w:b/>
          <w:color w:val="0000FF"/>
          <w:szCs w:val="24"/>
        </w:rPr>
      </w:pPr>
      <w:r>
        <w:rPr>
          <w:rFonts w:hint="eastAsia" w:ascii="宋体" w:hAnsi="宋体" w:cs="宋体"/>
          <w:b/>
          <w:color w:val="0000FF"/>
          <w:kern w:val="0"/>
          <w:szCs w:val="21"/>
        </w:rPr>
        <w:t>（3）</w:t>
      </w:r>
      <w:r>
        <w:rPr>
          <w:rFonts w:hint="eastAsia" w:ascii="宋体" w:hAnsi="宋体"/>
          <w:b/>
          <w:color w:val="0000FF"/>
          <w:szCs w:val="24"/>
        </w:rPr>
        <w:t>按本章第</w:t>
      </w:r>
      <w:r>
        <w:rPr>
          <w:rFonts w:ascii="宋体" w:hAnsi="宋体"/>
          <w:b/>
          <w:color w:val="0000FF"/>
          <w:szCs w:val="24"/>
        </w:rPr>
        <w:t>2.</w:t>
      </w:r>
      <w:r>
        <w:rPr>
          <w:rFonts w:hint="eastAsia" w:ascii="宋体" w:hAnsi="宋体"/>
          <w:b/>
          <w:color w:val="0000FF"/>
          <w:szCs w:val="24"/>
        </w:rPr>
        <w:t>3</w:t>
      </w:r>
      <w:r>
        <w:rPr>
          <w:rFonts w:ascii="宋体" w:hAnsi="宋体"/>
          <w:b/>
          <w:color w:val="0000FF"/>
          <w:szCs w:val="24"/>
        </w:rPr>
        <w:t>.</w:t>
      </w:r>
      <w:r>
        <w:rPr>
          <w:rFonts w:hint="eastAsia" w:ascii="宋体" w:hAnsi="宋体"/>
          <w:b/>
          <w:color w:val="0000FF"/>
          <w:szCs w:val="24"/>
        </w:rPr>
        <w:t>2负责人现场答辩规定的评审条款和分值，评审出得分C；</w:t>
      </w:r>
    </w:p>
    <w:p>
      <w:pPr>
        <w:snapToGrid w:val="0"/>
        <w:spacing w:line="360" w:lineRule="auto"/>
        <w:ind w:firstLine="422" w:firstLineChars="201"/>
        <w:rPr>
          <w:rFonts w:ascii="宋体" w:hAnsi="宋体"/>
          <w:b/>
          <w:color w:val="0000FF"/>
          <w:szCs w:val="24"/>
        </w:rPr>
      </w:pPr>
      <w:r>
        <w:rPr>
          <w:rFonts w:hint="eastAsia" w:ascii="宋体" w:hAnsi="宋体"/>
          <w:color w:val="000000" w:themeColor="text1"/>
          <w:szCs w:val="24"/>
        </w:rPr>
        <w:t>负责人现场答辩分C：去掉一个最高分和一个最低分后均算而成（四舍五入，保留小数点后两位小数）。</w:t>
      </w:r>
    </w:p>
    <w:p>
      <w:pPr>
        <w:snapToGrid w:val="0"/>
        <w:spacing w:line="360" w:lineRule="auto"/>
        <w:ind w:firstLine="424" w:firstLineChars="201"/>
        <w:rPr>
          <w:rFonts w:ascii="宋体" w:hAnsi="宋体"/>
          <w:b/>
          <w:color w:val="0000FF"/>
          <w:szCs w:val="24"/>
        </w:rPr>
      </w:pPr>
      <w:r>
        <w:rPr>
          <w:rFonts w:hint="eastAsia" w:ascii="宋体" w:hAnsi="宋体"/>
          <w:b/>
          <w:color w:val="0000FF"/>
          <w:szCs w:val="24"/>
        </w:rPr>
        <w:t>（4）按本章第2.3.1投标报价和2.3.2评标基准价计算方法规定的评审因素和分值对投标报价计算出得分D；</w:t>
      </w:r>
    </w:p>
    <w:p>
      <w:pPr>
        <w:snapToGrid w:val="0"/>
        <w:spacing w:line="360" w:lineRule="auto"/>
        <w:ind w:firstLine="422" w:firstLineChars="201"/>
        <w:rPr>
          <w:rFonts w:ascii="宋体" w:hAnsi="宋体"/>
          <w:szCs w:val="24"/>
        </w:rPr>
      </w:pPr>
      <w:r>
        <w:rPr>
          <w:rFonts w:hint="eastAsia" w:ascii="宋体" w:hAnsi="宋体"/>
          <w:szCs w:val="24"/>
        </w:rPr>
        <w:t>3.4.4评分分值计算结果均保留两位小数，小数点后第三位“四舍五入”。</w:t>
      </w:r>
    </w:p>
    <w:p>
      <w:pPr>
        <w:snapToGrid w:val="0"/>
        <w:spacing w:line="360" w:lineRule="auto"/>
        <w:ind w:firstLine="424" w:firstLineChars="201"/>
        <w:rPr>
          <w:rFonts w:ascii="宋体" w:hAnsi="宋体"/>
          <w:b/>
          <w:color w:val="0000FF"/>
          <w:szCs w:val="24"/>
        </w:rPr>
      </w:pPr>
      <w:r>
        <w:rPr>
          <w:rFonts w:hint="eastAsia" w:ascii="宋体" w:hAnsi="宋体"/>
          <w:b/>
          <w:color w:val="0000FF"/>
          <w:szCs w:val="24"/>
        </w:rPr>
        <w:t>3.4.5投标人得分=A+B+C+D</w:t>
      </w:r>
    </w:p>
    <w:p>
      <w:pPr>
        <w:keepNext/>
        <w:keepLines/>
        <w:spacing w:line="360" w:lineRule="auto"/>
        <w:outlineLvl w:val="2"/>
        <w:rPr>
          <w:rFonts w:ascii="宋体" w:hAnsi="宋体"/>
          <w:b/>
          <w:bCs/>
          <w:szCs w:val="32"/>
        </w:rPr>
      </w:pPr>
      <w:bookmarkStart w:id="135" w:name="_Toc535487147"/>
      <w:r>
        <w:rPr>
          <w:rFonts w:ascii="宋体" w:hAnsi="宋体" w:cs="Calibri"/>
          <w:b/>
          <w:bCs/>
          <w:szCs w:val="32"/>
        </w:rPr>
        <w:t>3.</w:t>
      </w:r>
      <w:r>
        <w:rPr>
          <w:rFonts w:hint="eastAsia" w:ascii="宋体" w:hAnsi="宋体" w:cs="Calibri"/>
          <w:b/>
          <w:bCs/>
          <w:szCs w:val="32"/>
        </w:rPr>
        <w:t>5</w:t>
      </w:r>
      <w:r>
        <w:rPr>
          <w:rFonts w:hint="eastAsia" w:ascii="宋体" w:hAnsi="宋体"/>
          <w:b/>
          <w:bCs/>
          <w:szCs w:val="32"/>
        </w:rPr>
        <w:t>投标文件的澄清和补正</w:t>
      </w:r>
      <w:bookmarkEnd w:id="135"/>
    </w:p>
    <w:p>
      <w:pPr>
        <w:adjustRightInd w:val="0"/>
        <w:snapToGrid w:val="0"/>
        <w:spacing w:line="360" w:lineRule="auto"/>
        <w:ind w:firstLine="420" w:firstLineChars="200"/>
        <w:rPr>
          <w:rFonts w:ascii="宋体" w:hAnsi="宋体" w:cs="宋体"/>
          <w:kern w:val="0"/>
          <w:szCs w:val="21"/>
        </w:rPr>
      </w:pPr>
      <w:r>
        <w:rPr>
          <w:rFonts w:ascii="宋体" w:hAnsi="宋体" w:cs="宋体"/>
          <w:kern w:val="0"/>
          <w:szCs w:val="21"/>
        </w:rPr>
        <w:t>3.</w:t>
      </w:r>
      <w:r>
        <w:rPr>
          <w:rFonts w:hint="eastAsia" w:ascii="宋体" w:hAnsi="宋体" w:cs="宋体"/>
          <w:kern w:val="0"/>
          <w:szCs w:val="21"/>
        </w:rPr>
        <w:t>5</w:t>
      </w:r>
      <w:r>
        <w:rPr>
          <w:rFonts w:ascii="宋体" w:hAnsi="宋体" w:cs="宋体"/>
          <w:kern w:val="0"/>
          <w:szCs w:val="21"/>
        </w:rPr>
        <w:t>.1</w:t>
      </w:r>
      <w:r>
        <w:rPr>
          <w:rFonts w:hint="eastAsia" w:ascii="宋体" w:hAnsi="宋体" w:cs="宋体"/>
          <w:kern w:val="0"/>
          <w:szCs w:val="21"/>
        </w:rPr>
        <w:t>在评标过程中，评标委员会应当以书面形式要求投标人对所提交的投标文件中不明确的内容进行书面澄清或说明。评标委员会不接受投标人主动提出的澄清、说明或补正。</w:t>
      </w:r>
    </w:p>
    <w:p>
      <w:pPr>
        <w:adjustRightInd w:val="0"/>
        <w:snapToGrid w:val="0"/>
        <w:spacing w:line="360" w:lineRule="auto"/>
        <w:ind w:firstLine="420" w:firstLineChars="200"/>
        <w:rPr>
          <w:rFonts w:ascii="宋体" w:hAnsi="宋体" w:cs="宋体"/>
          <w:kern w:val="0"/>
          <w:szCs w:val="21"/>
        </w:rPr>
      </w:pPr>
      <w:r>
        <w:rPr>
          <w:rFonts w:ascii="宋体" w:hAnsi="宋体" w:cs="宋体"/>
          <w:kern w:val="0"/>
          <w:szCs w:val="21"/>
        </w:rPr>
        <w:t>3.</w:t>
      </w:r>
      <w:r>
        <w:rPr>
          <w:rFonts w:hint="eastAsia" w:ascii="宋体" w:hAnsi="宋体" w:cs="宋体"/>
          <w:kern w:val="0"/>
          <w:szCs w:val="21"/>
        </w:rPr>
        <w:t>5</w:t>
      </w:r>
      <w:r>
        <w:rPr>
          <w:rFonts w:ascii="宋体" w:hAnsi="宋体" w:cs="宋体"/>
          <w:kern w:val="0"/>
          <w:szCs w:val="21"/>
        </w:rPr>
        <w:t xml:space="preserve">.2 </w:t>
      </w:r>
      <w:r>
        <w:rPr>
          <w:rFonts w:hint="eastAsia" w:ascii="宋体" w:hAnsi="宋体" w:cs="宋体"/>
          <w:kern w:val="0"/>
          <w:szCs w:val="21"/>
        </w:rPr>
        <w:t>澄清、说明和补正不得改变投标文件的实质性内容。投标人的书面澄清、说明和补正属于投标文件的组成部分。</w:t>
      </w:r>
    </w:p>
    <w:p>
      <w:pPr>
        <w:adjustRightInd w:val="0"/>
        <w:snapToGrid w:val="0"/>
        <w:spacing w:line="360" w:lineRule="auto"/>
        <w:ind w:firstLine="420" w:firstLineChars="200"/>
        <w:rPr>
          <w:rFonts w:ascii="宋体" w:hAnsi="宋体" w:cs="宋体"/>
          <w:kern w:val="0"/>
          <w:szCs w:val="21"/>
        </w:rPr>
      </w:pPr>
      <w:r>
        <w:rPr>
          <w:rFonts w:ascii="宋体" w:hAnsi="宋体" w:cs="宋体"/>
          <w:kern w:val="0"/>
          <w:szCs w:val="21"/>
        </w:rPr>
        <w:t>3.</w:t>
      </w:r>
      <w:r>
        <w:rPr>
          <w:rFonts w:hint="eastAsia" w:ascii="宋体" w:hAnsi="宋体" w:cs="宋体"/>
          <w:kern w:val="0"/>
          <w:szCs w:val="21"/>
        </w:rPr>
        <w:t>5</w:t>
      </w:r>
      <w:r>
        <w:rPr>
          <w:rFonts w:ascii="宋体" w:hAnsi="宋体" w:cs="宋体"/>
          <w:kern w:val="0"/>
          <w:szCs w:val="21"/>
        </w:rPr>
        <w:t xml:space="preserve">.3 </w:t>
      </w:r>
      <w:r>
        <w:rPr>
          <w:rFonts w:hint="eastAsia" w:ascii="宋体" w:hAnsi="宋体" w:cs="宋体"/>
          <w:kern w:val="0"/>
          <w:szCs w:val="21"/>
        </w:rPr>
        <w:t>评标委员会对投标人提交的澄清、说明或补正有疑问的，可以要求投标人进一步澄清、说明或补正，直至满足评标委员会的要求。</w:t>
      </w:r>
    </w:p>
    <w:p>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 xml:space="preserve">3.5.4 </w:t>
      </w:r>
      <w:r>
        <w:rPr>
          <w:rFonts w:ascii="宋体" w:hAnsi="宋体" w:cs="宋体"/>
          <w:kern w:val="0"/>
          <w:szCs w:val="21"/>
        </w:rPr>
        <w:t>在评标过程中，评标委员会发现投标人的报价明显低于其他投标报价，使得其投标报价可能低于其个别成本的，有可能影响质量或者不能诚信履约的，应当要求其在评标现场合理的时间内提供书面说明并提供相关证明材料。投标人不能合理说明或者不能提供相关证明材料的，评标委员会</w:t>
      </w:r>
      <w:r>
        <w:rPr>
          <w:rFonts w:hint="eastAsia" w:ascii="宋体" w:hAnsi="宋体" w:cs="宋体"/>
          <w:kern w:val="0"/>
          <w:szCs w:val="21"/>
        </w:rPr>
        <w:t>应当否决其投标</w:t>
      </w:r>
      <w:r>
        <w:rPr>
          <w:rFonts w:ascii="宋体" w:hAnsi="宋体" w:cs="宋体"/>
          <w:kern w:val="0"/>
          <w:szCs w:val="21"/>
        </w:rPr>
        <w:t>。</w:t>
      </w:r>
    </w:p>
    <w:p>
      <w:pPr>
        <w:keepNext/>
        <w:keepLines/>
        <w:spacing w:line="360" w:lineRule="auto"/>
        <w:outlineLvl w:val="2"/>
        <w:rPr>
          <w:rFonts w:ascii="宋体" w:hAnsi="宋体"/>
          <w:b/>
          <w:bCs/>
          <w:szCs w:val="32"/>
        </w:rPr>
      </w:pPr>
      <w:bookmarkStart w:id="136" w:name="_Toc535487148"/>
      <w:r>
        <w:rPr>
          <w:rFonts w:ascii="宋体" w:hAnsi="宋体"/>
          <w:b/>
          <w:bCs/>
          <w:szCs w:val="32"/>
        </w:rPr>
        <w:t>3.</w:t>
      </w:r>
      <w:r>
        <w:rPr>
          <w:rFonts w:hint="eastAsia" w:ascii="宋体" w:hAnsi="宋体"/>
          <w:b/>
          <w:bCs/>
          <w:szCs w:val="32"/>
        </w:rPr>
        <w:t>6确定中标候选人</w:t>
      </w:r>
      <w:bookmarkEnd w:id="136"/>
    </w:p>
    <w:p>
      <w:pPr>
        <w:spacing w:line="360" w:lineRule="auto"/>
        <w:ind w:firstLine="420" w:firstLineChars="200"/>
        <w:rPr>
          <w:rFonts w:ascii="宋体" w:hAnsi="宋体"/>
          <w:szCs w:val="24"/>
        </w:rPr>
      </w:pPr>
      <w:r>
        <w:rPr>
          <w:rFonts w:hint="eastAsia" w:ascii="宋体" w:hAnsi="宋体"/>
          <w:szCs w:val="24"/>
        </w:rPr>
        <w:t>评标委员会在推荐中标候选人时，应遵照以下原则</w:t>
      </w:r>
      <w:r>
        <w:rPr>
          <w:rFonts w:ascii="宋体" w:hAnsi="宋体"/>
          <w:szCs w:val="24"/>
        </w:rPr>
        <w:t>:</w:t>
      </w:r>
    </w:p>
    <w:p>
      <w:pPr>
        <w:spacing w:line="360" w:lineRule="auto"/>
        <w:ind w:firstLine="420" w:firstLineChars="200"/>
        <w:rPr>
          <w:rFonts w:ascii="宋体" w:hAnsi="宋体"/>
          <w:szCs w:val="24"/>
        </w:rPr>
      </w:pPr>
      <w:r>
        <w:rPr>
          <w:rFonts w:ascii="宋体" w:hAnsi="宋体"/>
          <w:szCs w:val="24"/>
        </w:rPr>
        <w:t>3.</w:t>
      </w:r>
      <w:r>
        <w:rPr>
          <w:rFonts w:hint="eastAsia" w:ascii="宋体" w:hAnsi="宋体"/>
          <w:szCs w:val="24"/>
        </w:rPr>
        <w:t>6</w:t>
      </w:r>
      <w:r>
        <w:rPr>
          <w:rFonts w:ascii="宋体" w:hAnsi="宋体"/>
          <w:szCs w:val="24"/>
        </w:rPr>
        <w:t>.</w:t>
      </w:r>
      <w:r>
        <w:rPr>
          <w:rFonts w:hint="eastAsia" w:ascii="宋体" w:hAnsi="宋体"/>
          <w:szCs w:val="24"/>
        </w:rPr>
        <w:t>1评标委员会按照最终得分由高至低的次序排列，推荐1-3名中标候选人。</w:t>
      </w:r>
    </w:p>
    <w:p>
      <w:pPr>
        <w:spacing w:line="360" w:lineRule="auto"/>
        <w:ind w:firstLine="420" w:firstLineChars="200"/>
        <w:rPr>
          <w:rFonts w:ascii="宋体" w:hAnsi="宋体"/>
          <w:szCs w:val="24"/>
        </w:rPr>
      </w:pPr>
      <w:r>
        <w:rPr>
          <w:rFonts w:ascii="宋体" w:hAnsi="宋体"/>
          <w:szCs w:val="24"/>
        </w:rPr>
        <w:t>3.</w:t>
      </w:r>
      <w:r>
        <w:rPr>
          <w:rFonts w:hint="eastAsia" w:ascii="宋体" w:hAnsi="宋体"/>
          <w:szCs w:val="24"/>
        </w:rPr>
        <w:t>6</w:t>
      </w:r>
      <w:r>
        <w:rPr>
          <w:rFonts w:ascii="宋体" w:hAnsi="宋体"/>
          <w:szCs w:val="24"/>
        </w:rPr>
        <w:t>.</w:t>
      </w:r>
      <w:r>
        <w:rPr>
          <w:rFonts w:hint="eastAsia" w:ascii="宋体" w:hAnsi="宋体"/>
          <w:szCs w:val="24"/>
        </w:rPr>
        <w:t>2如果评标委员会根据本章的规定作无效标处理后，有效投标不足三个，评标委员会应当对是否具有竞争性进行判断：有竞争性的，按有效投标最终得分由高至低的次序推荐中标候选人；缺乏竞争的，评标委员会应当否决全部投标。</w:t>
      </w:r>
    </w:p>
    <w:p>
      <w:pPr>
        <w:adjustRightInd w:val="0"/>
        <w:snapToGrid w:val="0"/>
        <w:spacing w:line="360" w:lineRule="auto"/>
        <w:ind w:firstLine="420" w:firstLineChars="200"/>
        <w:rPr>
          <w:rFonts w:ascii="宋体" w:hAnsi="宋体"/>
          <w:szCs w:val="24"/>
        </w:rPr>
      </w:pPr>
      <w:r>
        <w:rPr>
          <w:rFonts w:ascii="宋体" w:hAnsi="宋体"/>
          <w:szCs w:val="24"/>
        </w:rPr>
        <w:t>3.</w:t>
      </w:r>
      <w:r>
        <w:rPr>
          <w:rFonts w:hint="eastAsia" w:ascii="宋体" w:hAnsi="宋体"/>
          <w:szCs w:val="24"/>
        </w:rPr>
        <w:t>6</w:t>
      </w:r>
      <w:r>
        <w:rPr>
          <w:rFonts w:ascii="宋体" w:hAnsi="宋体"/>
          <w:szCs w:val="24"/>
        </w:rPr>
        <w:t>.</w:t>
      </w:r>
      <w:r>
        <w:rPr>
          <w:rFonts w:hint="eastAsia" w:ascii="宋体" w:hAnsi="宋体"/>
          <w:szCs w:val="24"/>
        </w:rPr>
        <w:t>3评标委员会完成评标后，应当向招标人提交评标报告。</w:t>
      </w:r>
    </w:p>
    <w:p>
      <w:pPr>
        <w:widowControl/>
        <w:spacing w:line="360" w:lineRule="auto"/>
        <w:ind w:firstLine="420" w:firstLineChars="200"/>
        <w:jc w:val="left"/>
        <w:rPr>
          <w:rFonts w:ascii="宋体" w:hAnsi="宋体"/>
          <w:color w:val="000000"/>
          <w:szCs w:val="24"/>
        </w:rPr>
      </w:pPr>
      <w:r>
        <w:rPr>
          <w:rFonts w:ascii="宋体" w:hAnsi="宋体"/>
          <w:color w:val="000000"/>
          <w:szCs w:val="24"/>
        </w:rPr>
        <w:t>第一中标候选人原则上为中标人。当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若第一中标候选人在中标公示期间受到质疑投诉，且质疑投诉成立被取消中标资格的，招标人将依法重新组织招标。</w:t>
      </w:r>
    </w:p>
    <w:p>
      <w:pPr>
        <w:widowControl/>
        <w:spacing w:line="360" w:lineRule="auto"/>
        <w:ind w:firstLine="420" w:firstLineChars="200"/>
        <w:jc w:val="left"/>
        <w:rPr>
          <w:rFonts w:ascii="宋体" w:hAnsi="宋体" w:cs="宋体"/>
          <w:szCs w:val="21"/>
        </w:rPr>
      </w:pPr>
    </w:p>
    <w:p>
      <w:pPr>
        <w:widowControl/>
        <w:spacing w:line="360" w:lineRule="auto"/>
        <w:ind w:firstLine="420" w:firstLineChars="200"/>
        <w:jc w:val="left"/>
        <w:rPr>
          <w:rFonts w:ascii="宋体" w:hAnsi="宋体" w:cs="宋体"/>
          <w:szCs w:val="21"/>
        </w:rPr>
      </w:pPr>
    </w:p>
    <w:p>
      <w:pPr>
        <w:widowControl/>
        <w:spacing w:line="360" w:lineRule="auto"/>
        <w:ind w:firstLine="422" w:firstLineChars="200"/>
        <w:jc w:val="left"/>
        <w:rPr>
          <w:rFonts w:ascii="宋体" w:hAnsi="宋体" w:cs="宋体"/>
          <w:b/>
          <w:bCs/>
          <w:kern w:val="0"/>
          <w:szCs w:val="21"/>
        </w:rPr>
      </w:pPr>
    </w:p>
    <w:p>
      <w:pPr>
        <w:spacing w:line="360" w:lineRule="auto"/>
        <w:jc w:val="left"/>
        <w:rPr>
          <w:rFonts w:ascii="宋体" w:hAnsi="宋体"/>
          <w:szCs w:val="24"/>
        </w:rPr>
      </w:pPr>
      <w:r>
        <w:rPr>
          <w:rFonts w:hint="eastAsia" w:ascii="宋体" w:hAnsi="宋体" w:cs="宋体"/>
          <w:b/>
          <w:bCs/>
          <w:kern w:val="0"/>
          <w:szCs w:val="21"/>
        </w:rPr>
        <w:t>附件B</w:t>
      </w:r>
    </w:p>
    <w:p>
      <w:pPr>
        <w:spacing w:line="360" w:lineRule="auto"/>
        <w:jc w:val="center"/>
        <w:rPr>
          <w:rFonts w:ascii="宋体" w:hAnsi="宋体"/>
          <w:sz w:val="32"/>
          <w:szCs w:val="32"/>
        </w:rPr>
      </w:pPr>
      <w:r>
        <w:rPr>
          <w:rFonts w:hint="eastAsia" w:ascii="宋体" w:hAnsi="宋体"/>
          <w:b/>
          <w:bCs/>
          <w:sz w:val="32"/>
          <w:szCs w:val="32"/>
        </w:rPr>
        <w:t>评标基准价的计算</w:t>
      </w:r>
    </w:p>
    <w:p>
      <w:pPr>
        <w:adjustRightInd w:val="0"/>
        <w:snapToGrid w:val="0"/>
        <w:spacing w:line="360" w:lineRule="auto"/>
        <w:ind w:firstLine="420" w:firstLineChars="200"/>
        <w:rPr>
          <w:rFonts w:ascii="宋体" w:hAnsi="宋体" w:cs="宋体"/>
          <w:b/>
          <w:color w:val="0000FF"/>
          <w:kern w:val="0"/>
          <w:szCs w:val="21"/>
        </w:rPr>
      </w:pPr>
      <w:r>
        <w:rPr>
          <w:rFonts w:hint="eastAsia" w:ascii="宋体" w:hAnsi="宋体"/>
          <w:szCs w:val="21"/>
        </w:rPr>
        <w:t>确定有效报价：有效报价是指投标总价低于或等于招标控制价的投标报价。</w:t>
      </w:r>
      <w:r>
        <w:rPr>
          <w:rFonts w:hint="eastAsia" w:ascii="宋体" w:hAnsi="宋体" w:cs="宋体"/>
          <w:b/>
          <w:color w:val="0000FF"/>
          <w:kern w:val="0"/>
          <w:szCs w:val="21"/>
        </w:rPr>
        <w:t>投标报价超过财政最高限价的，均作无效报价处理。</w:t>
      </w:r>
    </w:p>
    <w:p>
      <w:pPr>
        <w:adjustRightInd w:val="0"/>
        <w:snapToGrid w:val="0"/>
        <w:spacing w:line="360" w:lineRule="auto"/>
        <w:ind w:firstLine="422" w:firstLineChars="200"/>
        <w:rPr>
          <w:rFonts w:ascii="宋体" w:hAnsi="宋体"/>
          <w:color w:val="0000FF"/>
          <w:szCs w:val="24"/>
        </w:rPr>
      </w:pPr>
      <w:r>
        <w:rPr>
          <w:rFonts w:hint="eastAsia" w:ascii="宋体" w:hAnsi="宋体" w:cs="宋体"/>
          <w:b/>
          <w:color w:val="0000FF"/>
          <w:kern w:val="0"/>
          <w:szCs w:val="21"/>
        </w:rPr>
        <w:t>财政最高限价：</w:t>
      </w:r>
      <w:r>
        <w:rPr>
          <w:rFonts w:hint="eastAsia" w:ascii="宋体" w:hAnsi="宋体"/>
          <w:b/>
          <w:color w:val="0000FF"/>
          <w:szCs w:val="24"/>
        </w:rPr>
        <w:t>187.6980万元/年=绿地管护（含草花）185.0292万元/年+老绿地缺陷完善2.6688万元/年   备注：1.老绿地缺陷完善按定额下浮10%后为5.3376万元，两年内实施完成。</w:t>
      </w:r>
    </w:p>
    <w:p>
      <w:pPr>
        <w:widowControl/>
        <w:snapToGrid w:val="0"/>
        <w:spacing w:line="360" w:lineRule="auto"/>
        <w:ind w:firstLine="420" w:firstLineChars="200"/>
        <w:rPr>
          <w:rFonts w:ascii="宋体" w:hAnsi="宋体"/>
          <w:szCs w:val="24"/>
        </w:rPr>
      </w:pPr>
      <w:r>
        <w:rPr>
          <w:rFonts w:hint="eastAsia" w:ascii="宋体" w:hAnsi="宋体"/>
          <w:szCs w:val="24"/>
        </w:rPr>
        <w:t>无效报价、被宣布为无效标的投标报价均不参与评标基准价的计算。</w:t>
      </w:r>
    </w:p>
    <w:p>
      <w:pPr>
        <w:tabs>
          <w:tab w:val="left" w:pos="0"/>
        </w:tabs>
        <w:spacing w:line="360" w:lineRule="auto"/>
        <w:ind w:right="-36" w:firstLine="424" w:firstLineChars="202"/>
        <w:rPr>
          <w:rFonts w:ascii="宋体" w:hAnsi="宋体"/>
          <w:szCs w:val="24"/>
        </w:rPr>
      </w:pPr>
    </w:p>
    <w:p>
      <w:pPr>
        <w:tabs>
          <w:tab w:val="left" w:pos="0"/>
        </w:tabs>
        <w:spacing w:line="360" w:lineRule="auto"/>
        <w:ind w:right="-36" w:firstLine="424" w:firstLineChars="202"/>
        <w:rPr>
          <w:rFonts w:ascii="宋体" w:hAnsi="宋体"/>
          <w:szCs w:val="24"/>
        </w:rPr>
      </w:pPr>
      <w:r>
        <w:rPr>
          <w:rFonts w:hint="eastAsia" w:ascii="宋体" w:hAnsi="宋体"/>
          <w:szCs w:val="24"/>
        </w:rPr>
        <w:t>方法一：以有效投标文件（有效投标文件是指初步评审合格的投标文件，下同）的评标价（评标价是指经澄清、补正和修正算术计算错误的投标报价，下同）算术平均值为A〔当有效投标文件≥7家时，去掉最高和最低20%（四舍五入取整）后进行平均；当有效投标文件4-6家时，剔除最高报价后进行算术平均；当有效投标文件＜4时，则次低报价作为投标平均价A〕。</w:t>
      </w:r>
    </w:p>
    <w:p>
      <w:pPr>
        <w:tabs>
          <w:tab w:val="left" w:pos="0"/>
        </w:tabs>
        <w:spacing w:line="360" w:lineRule="auto"/>
        <w:ind w:right="-36" w:firstLine="424" w:firstLineChars="202"/>
        <w:rPr>
          <w:rFonts w:ascii="宋体" w:hAnsi="宋体"/>
          <w:szCs w:val="24"/>
        </w:rPr>
      </w:pPr>
      <w:r>
        <w:rPr>
          <w:rFonts w:hint="eastAsia" w:ascii="宋体" w:hAnsi="宋体"/>
          <w:szCs w:val="24"/>
        </w:rPr>
        <w:t>评标基准价 =A×K，K 值在开标时由招标人代表随机抽取确定，K 值的取值为95%、96%、97%、98%。</w:t>
      </w:r>
    </w:p>
    <w:p>
      <w:pPr>
        <w:tabs>
          <w:tab w:val="left" w:pos="0"/>
        </w:tabs>
        <w:spacing w:line="360" w:lineRule="auto"/>
        <w:ind w:right="-36" w:firstLine="424" w:firstLineChars="202"/>
        <w:rPr>
          <w:rFonts w:ascii="宋体" w:hAnsi="宋体"/>
          <w:szCs w:val="24"/>
        </w:rPr>
      </w:pPr>
    </w:p>
    <w:p>
      <w:pPr>
        <w:tabs>
          <w:tab w:val="left" w:pos="0"/>
        </w:tabs>
        <w:spacing w:line="360" w:lineRule="auto"/>
        <w:ind w:right="-36" w:firstLine="424" w:firstLineChars="202"/>
        <w:rPr>
          <w:rFonts w:ascii="宋体" w:hAnsi="宋体"/>
          <w:szCs w:val="24"/>
        </w:rPr>
      </w:pPr>
      <w:r>
        <w:rPr>
          <w:rFonts w:hint="eastAsia" w:ascii="宋体" w:hAnsi="宋体"/>
          <w:szCs w:val="24"/>
        </w:rPr>
        <w:t xml:space="preserve">方法二：以有效投标文件的评标价算术平均值为A〔当有效投标文件≥7家时，去掉最高和最低20%（四舍五入取整）后进行平均；当有效投标文件4-6家时，剔除最高报价后进行算术平均；当有效投标文件＜4时，则次低报价作为投标平均价A〕，招标控制价为B，则: </w:t>
      </w:r>
    </w:p>
    <w:p>
      <w:pPr>
        <w:tabs>
          <w:tab w:val="left" w:pos="0"/>
        </w:tabs>
        <w:spacing w:line="360" w:lineRule="auto"/>
        <w:ind w:right="-36" w:firstLine="424" w:firstLineChars="202"/>
        <w:rPr>
          <w:rFonts w:ascii="宋体" w:hAnsi="宋体"/>
          <w:szCs w:val="24"/>
        </w:rPr>
      </w:pPr>
      <w:r>
        <w:rPr>
          <w:rFonts w:hint="eastAsia" w:ascii="宋体" w:hAnsi="宋体"/>
          <w:szCs w:val="24"/>
        </w:rPr>
        <w:t>评标基准价 =A×K1×Q1+B×K2×Q2</w:t>
      </w:r>
    </w:p>
    <w:p>
      <w:pPr>
        <w:widowControl/>
        <w:snapToGrid w:val="0"/>
        <w:spacing w:line="360" w:lineRule="auto"/>
        <w:ind w:firstLine="424" w:firstLineChars="202"/>
        <w:rPr>
          <w:rFonts w:ascii="宋体" w:hAnsi="宋体"/>
          <w:szCs w:val="24"/>
        </w:rPr>
      </w:pPr>
      <w:r>
        <w:rPr>
          <w:rFonts w:hint="eastAsia" w:ascii="宋体" w:hAnsi="宋体"/>
          <w:szCs w:val="24"/>
        </w:rPr>
        <w:t>Q2=1-Q1, Q1取值为65%、70%、75%、80%、85%；K1的取值为95%、96%、97%、98%； K2 的取值为90%；Q1、K1值在开标时由招标人代表现场抽取确定。</w:t>
      </w:r>
    </w:p>
    <w:p>
      <w:pPr>
        <w:widowControl/>
        <w:snapToGrid w:val="0"/>
        <w:spacing w:line="360" w:lineRule="auto"/>
        <w:ind w:firstLine="424" w:firstLineChars="202"/>
        <w:rPr>
          <w:rFonts w:ascii="宋体" w:hAnsi="宋体"/>
          <w:szCs w:val="24"/>
        </w:rPr>
      </w:pPr>
      <w:r>
        <w:rPr>
          <w:rFonts w:hint="eastAsia" w:ascii="宋体" w:hAnsi="宋体"/>
          <w:szCs w:val="24"/>
        </w:rPr>
        <w:t>投标人的投标报价与评标基准价相等的得满分，与评标基准价相比较，每上浮1%扣 0.9分，每下浮1%扣 0.6分。(偏离不足1%的，按照插入法计算得分, 得分四舍五入，保留小数点后两位)。</w:t>
      </w:r>
    </w:p>
    <w:p>
      <w:pPr>
        <w:spacing w:line="360" w:lineRule="auto"/>
        <w:rPr>
          <w:rFonts w:ascii="宋体" w:hAnsi="宋体"/>
          <w:szCs w:val="24"/>
        </w:rPr>
      </w:pPr>
    </w:p>
    <w:p>
      <w:pPr>
        <w:keepNext/>
        <w:keepLines/>
        <w:spacing w:line="360" w:lineRule="auto"/>
        <w:ind w:firstLine="2409" w:firstLineChars="750"/>
        <w:outlineLvl w:val="0"/>
        <w:rPr>
          <w:rFonts w:ascii="宋体" w:hAnsi="宋体"/>
          <w:b/>
          <w:bCs/>
          <w:kern w:val="44"/>
          <w:sz w:val="32"/>
          <w:szCs w:val="44"/>
        </w:rPr>
      </w:pPr>
      <w:r>
        <w:rPr>
          <w:rFonts w:ascii="宋体" w:hAnsi="宋体"/>
          <w:b/>
          <w:bCs/>
          <w:kern w:val="44"/>
          <w:sz w:val="32"/>
          <w:szCs w:val="44"/>
        </w:rPr>
        <w:br w:type="page"/>
      </w:r>
      <w:r>
        <w:rPr>
          <w:rFonts w:ascii="宋体" w:hAnsi="宋体"/>
          <w:b/>
          <w:bCs/>
          <w:kern w:val="44"/>
          <w:sz w:val="32"/>
          <w:szCs w:val="44"/>
        </w:rPr>
        <w:t>第</w:t>
      </w:r>
      <w:r>
        <w:rPr>
          <w:rFonts w:hint="eastAsia" w:ascii="宋体" w:hAnsi="宋体"/>
          <w:b/>
          <w:bCs/>
          <w:kern w:val="44"/>
          <w:sz w:val="32"/>
          <w:szCs w:val="44"/>
        </w:rPr>
        <w:t>四</w:t>
      </w:r>
      <w:r>
        <w:rPr>
          <w:rFonts w:ascii="宋体" w:hAnsi="宋体"/>
          <w:b/>
          <w:bCs/>
          <w:kern w:val="44"/>
          <w:sz w:val="32"/>
          <w:szCs w:val="44"/>
        </w:rPr>
        <w:t>章  合同</w:t>
      </w:r>
      <w:r>
        <w:rPr>
          <w:rFonts w:hint="eastAsia" w:ascii="宋体" w:hAnsi="宋体"/>
          <w:b/>
          <w:bCs/>
          <w:kern w:val="44"/>
          <w:sz w:val="32"/>
          <w:szCs w:val="44"/>
        </w:rPr>
        <w:t>协议书</w:t>
      </w:r>
    </w:p>
    <w:p>
      <w:pPr>
        <w:spacing w:line="360" w:lineRule="auto"/>
        <w:rPr>
          <w:rFonts w:ascii="宋体" w:hAnsi="宋体"/>
          <w:sz w:val="24"/>
          <w:szCs w:val="24"/>
        </w:rPr>
      </w:pPr>
    </w:p>
    <w:p>
      <w:pPr>
        <w:snapToGrid w:val="0"/>
        <w:spacing w:line="360" w:lineRule="auto"/>
        <w:ind w:firstLine="480" w:firstLineChars="200"/>
        <w:rPr>
          <w:rFonts w:ascii="宋体" w:hAnsi="宋体"/>
          <w:sz w:val="24"/>
          <w:szCs w:val="24"/>
        </w:rPr>
      </w:pPr>
      <w:r>
        <w:rPr>
          <w:rFonts w:hint="eastAsia" w:ascii="宋体" w:hAnsi="宋体"/>
          <w:color w:val="000000"/>
          <w:sz w:val="24"/>
          <w:szCs w:val="24"/>
          <w:u w:val="single"/>
        </w:rPr>
        <w:t>南通市行政中心（含信访局）</w:t>
      </w:r>
      <w:r>
        <w:rPr>
          <w:rFonts w:ascii="宋体" w:hAnsi="宋体"/>
          <w:color w:val="000000"/>
          <w:sz w:val="24"/>
          <w:szCs w:val="24"/>
          <w:u w:val="single"/>
        </w:rPr>
        <w:t>附属</w:t>
      </w:r>
      <w:r>
        <w:rPr>
          <w:rFonts w:hint="eastAsia" w:ascii="宋体" w:hAnsi="宋体"/>
          <w:color w:val="000000"/>
          <w:sz w:val="24"/>
          <w:szCs w:val="24"/>
          <w:u w:val="single"/>
        </w:rPr>
        <w:t xml:space="preserve">绿地管护项目 </w:t>
      </w:r>
      <w:r>
        <w:rPr>
          <w:rFonts w:hint="eastAsia" w:ascii="宋体" w:hAnsi="宋体"/>
          <w:color w:val="000000"/>
          <w:sz w:val="24"/>
          <w:szCs w:val="24"/>
        </w:rPr>
        <w:t>已由南通市机关事务管理局委托南通市园林绿化管理处完</w:t>
      </w:r>
      <w:r>
        <w:rPr>
          <w:rFonts w:hint="eastAsia" w:ascii="宋体" w:hAnsi="宋体"/>
          <w:color w:val="000000" w:themeColor="text1"/>
          <w:sz w:val="24"/>
          <w:szCs w:val="24"/>
        </w:rPr>
        <w:t>成</w:t>
      </w:r>
      <w:r>
        <w:rPr>
          <w:rFonts w:ascii="宋体" w:hAnsi="宋体"/>
          <w:color w:val="000000" w:themeColor="text1"/>
          <w:sz w:val="24"/>
          <w:szCs w:val="24"/>
        </w:rPr>
        <w:t>新一轮</w:t>
      </w:r>
      <w:r>
        <w:rPr>
          <w:rFonts w:hint="eastAsia" w:ascii="宋体" w:hAnsi="宋体"/>
          <w:color w:val="000000" w:themeColor="text1"/>
          <w:sz w:val="24"/>
          <w:szCs w:val="24"/>
        </w:rPr>
        <w:t>邀请招标。</w:t>
      </w:r>
      <w:r>
        <w:rPr>
          <w:rFonts w:hint="eastAsia" w:ascii="宋体" w:hAnsi="宋体"/>
          <w:color w:val="000000"/>
          <w:sz w:val="24"/>
          <w:szCs w:val="24"/>
        </w:rPr>
        <w:t>现根据招标结果，委托中标人实施管护工作。依据</w:t>
      </w:r>
      <w:r>
        <w:rPr>
          <w:rFonts w:ascii="宋体" w:hAnsi="宋体"/>
          <w:sz w:val="24"/>
          <w:szCs w:val="24"/>
        </w:rPr>
        <w:t>《中华人民共和国招投标法》、《中华人民共和国民法典》</w:t>
      </w:r>
      <w:r>
        <w:rPr>
          <w:rFonts w:hint="eastAsia" w:ascii="宋体" w:hAnsi="宋体"/>
          <w:color w:val="000000"/>
          <w:sz w:val="24"/>
          <w:szCs w:val="24"/>
        </w:rPr>
        <w:t>、《中华人民共和国合同法》及其它有关法律法规，遵循平等、自愿、公平和诚实信用的原则，双方共同达成并订立如下承包合同：</w:t>
      </w:r>
    </w:p>
    <w:p>
      <w:pPr>
        <w:snapToGrid w:val="0"/>
        <w:spacing w:line="360" w:lineRule="auto"/>
        <w:ind w:firstLine="482" w:firstLineChars="200"/>
        <w:rPr>
          <w:rFonts w:ascii="宋体" w:hAnsi="宋体"/>
          <w:b/>
          <w:sz w:val="24"/>
          <w:szCs w:val="24"/>
        </w:rPr>
      </w:pPr>
      <w:r>
        <w:rPr>
          <w:rFonts w:hint="eastAsia" w:ascii="宋体" w:hAnsi="宋体"/>
          <w:b/>
          <w:sz w:val="24"/>
          <w:szCs w:val="24"/>
        </w:rPr>
        <w:t>一、合同文件组成及解释顺序</w:t>
      </w:r>
    </w:p>
    <w:p>
      <w:pPr>
        <w:snapToGrid w:val="0"/>
        <w:spacing w:line="360" w:lineRule="auto"/>
        <w:ind w:firstLine="480" w:firstLineChars="200"/>
        <w:rPr>
          <w:rFonts w:ascii="宋体" w:hAnsi="宋体"/>
          <w:sz w:val="24"/>
          <w:szCs w:val="24"/>
        </w:rPr>
      </w:pPr>
      <w:r>
        <w:rPr>
          <w:rFonts w:ascii="宋体" w:hAnsi="宋体"/>
          <w:sz w:val="24"/>
          <w:szCs w:val="24"/>
        </w:rPr>
        <w:t>1.本承包合同；2.中标通知书；3.投标文件及其附件；4</w:t>
      </w:r>
      <w:r>
        <w:rPr>
          <w:rFonts w:hint="eastAsia" w:ascii="宋体" w:hAnsi="宋体"/>
          <w:sz w:val="24"/>
          <w:szCs w:val="24"/>
        </w:rPr>
        <w:t>.</w:t>
      </w:r>
      <w:r>
        <w:rPr>
          <w:rFonts w:ascii="宋体" w:hAnsi="宋体"/>
          <w:sz w:val="24"/>
          <w:szCs w:val="24"/>
        </w:rPr>
        <w:t>招标文件（含标前答疑及补充通知）；5</w:t>
      </w:r>
      <w:r>
        <w:rPr>
          <w:rFonts w:hint="eastAsia" w:ascii="宋体" w:hAnsi="宋体"/>
          <w:sz w:val="24"/>
          <w:szCs w:val="24"/>
        </w:rPr>
        <w:t>.</w:t>
      </w:r>
      <w:r>
        <w:rPr>
          <w:rFonts w:ascii="宋体" w:hAnsi="宋体"/>
          <w:sz w:val="24"/>
          <w:szCs w:val="24"/>
        </w:rPr>
        <w:t>南通市园林绿化管理处发布的考核办法、通知等；6.相关标准、规范及有关技术文件。</w:t>
      </w:r>
    </w:p>
    <w:p>
      <w:pPr>
        <w:snapToGrid w:val="0"/>
        <w:spacing w:line="360" w:lineRule="auto"/>
        <w:ind w:firstLine="482" w:firstLineChars="200"/>
        <w:rPr>
          <w:rFonts w:ascii="宋体" w:hAnsi="宋体"/>
          <w:b/>
          <w:sz w:val="24"/>
          <w:szCs w:val="24"/>
        </w:rPr>
      </w:pPr>
      <w:r>
        <w:rPr>
          <w:rFonts w:hint="eastAsia" w:ascii="宋体" w:hAnsi="宋体"/>
          <w:b/>
          <w:sz w:val="24"/>
          <w:szCs w:val="24"/>
        </w:rPr>
        <w:t>二、承包形式</w:t>
      </w:r>
    </w:p>
    <w:p>
      <w:pPr>
        <w:shd w:val="clear" w:color="auto" w:fill="FFFFFF"/>
        <w:snapToGrid w:val="0"/>
        <w:spacing w:line="360" w:lineRule="auto"/>
        <w:ind w:firstLine="480" w:firstLineChars="200"/>
        <w:rPr>
          <w:rFonts w:ascii="宋体" w:hAnsi="宋体"/>
          <w:sz w:val="24"/>
          <w:szCs w:val="24"/>
        </w:rPr>
      </w:pPr>
      <w:r>
        <w:rPr>
          <w:rFonts w:hint="eastAsia" w:ascii="宋体" w:hAnsi="宋体"/>
          <w:sz w:val="24"/>
          <w:szCs w:val="24"/>
        </w:rPr>
        <w:t>包工包料，实行目标责任制管理考核。</w:t>
      </w:r>
    </w:p>
    <w:p>
      <w:pPr>
        <w:numPr>
          <w:ilvl w:val="0"/>
          <w:numId w:val="1"/>
        </w:numPr>
        <w:snapToGrid w:val="0"/>
        <w:spacing w:line="360" w:lineRule="auto"/>
        <w:ind w:firstLine="482" w:firstLineChars="200"/>
        <w:rPr>
          <w:rFonts w:ascii="宋体" w:hAnsi="宋体"/>
          <w:b/>
          <w:sz w:val="24"/>
          <w:szCs w:val="24"/>
        </w:rPr>
      </w:pPr>
      <w:r>
        <w:rPr>
          <w:rFonts w:hint="eastAsia" w:ascii="宋体" w:hAnsi="宋体"/>
          <w:b/>
          <w:sz w:val="24"/>
          <w:szCs w:val="24"/>
        </w:rPr>
        <w:t>承包范围、规模、期限、管护标准、质量等级</w:t>
      </w:r>
    </w:p>
    <w:p>
      <w:pPr>
        <w:spacing w:line="360" w:lineRule="auto"/>
        <w:ind w:firstLine="482" w:firstLineChars="200"/>
        <w:rPr>
          <w:rFonts w:ascii="??_GB2312" w:hAnsi="新宋体"/>
          <w:color w:val="000000"/>
          <w:sz w:val="24"/>
          <w:szCs w:val="24"/>
        </w:rPr>
      </w:pPr>
      <w:r>
        <w:rPr>
          <w:rFonts w:hint="eastAsia" w:ascii="宋体" w:hAnsi="宋体"/>
          <w:b/>
          <w:color w:val="000000"/>
          <w:sz w:val="24"/>
          <w:szCs w:val="24"/>
        </w:rPr>
        <w:t>承包范围：</w:t>
      </w:r>
      <w:r>
        <w:rPr>
          <w:rFonts w:hint="eastAsia" w:ascii="宋体" w:hAnsi="宋体"/>
          <w:color w:val="000000"/>
          <w:sz w:val="24"/>
          <w:szCs w:val="24"/>
        </w:rPr>
        <w:t>行政中心(含信访局）附属绿地，位于南通市世纪大道6号。世纪大道北侧、府东路以西、府西路以东、江岳路以南。</w:t>
      </w:r>
    </w:p>
    <w:p>
      <w:pPr>
        <w:spacing w:line="360" w:lineRule="auto"/>
        <w:ind w:firstLine="482" w:firstLineChars="200"/>
        <w:rPr>
          <w:rFonts w:ascii="宋体" w:hAnsi="宋体"/>
          <w:color w:val="000000"/>
          <w:sz w:val="24"/>
          <w:szCs w:val="24"/>
        </w:rPr>
      </w:pPr>
      <w:r>
        <w:rPr>
          <w:rFonts w:hint="eastAsia" w:ascii="宋体" w:hAnsi="宋体"/>
          <w:b/>
          <w:color w:val="000000"/>
          <w:sz w:val="24"/>
          <w:szCs w:val="24"/>
        </w:rPr>
        <w:t>绿地规模：</w:t>
      </w:r>
      <w:r>
        <w:rPr>
          <w:rFonts w:hint="eastAsia" w:ascii="宋体" w:hAnsi="宋体"/>
          <w:color w:val="000000"/>
          <w:sz w:val="24"/>
          <w:szCs w:val="24"/>
        </w:rPr>
        <w:t>绿地总面积15.5442公顷</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（含廊架及6座木桥等园林设施, 但不含水面）</w:t>
      </w:r>
    </w:p>
    <w:p>
      <w:pPr>
        <w:spacing w:line="360" w:lineRule="auto"/>
        <w:ind w:firstLine="482" w:firstLineChars="200"/>
        <w:rPr>
          <w:rFonts w:ascii="宋体" w:hAnsi="宋体"/>
          <w:color w:val="000000" w:themeColor="text1"/>
          <w:sz w:val="24"/>
          <w:szCs w:val="24"/>
        </w:rPr>
      </w:pPr>
      <w:r>
        <w:rPr>
          <w:rFonts w:hint="eastAsia" w:ascii="宋体" w:hAnsi="宋体"/>
          <w:b/>
          <w:color w:val="000000"/>
          <w:sz w:val="24"/>
          <w:szCs w:val="24"/>
        </w:rPr>
        <w:t>质量等级：</w:t>
      </w:r>
      <w:r>
        <w:rPr>
          <w:rFonts w:hint="eastAsia" w:ascii="宋体" w:hAnsi="宋体"/>
          <w:color w:val="000000" w:themeColor="text1"/>
          <w:sz w:val="24"/>
          <w:szCs w:val="24"/>
        </w:rPr>
        <w:t>通政园管〔2020〕43号《南通市城市绿化养护质量等级标准（试行）》城市公园及区域绿地一级管护</w:t>
      </w:r>
    </w:p>
    <w:p>
      <w:pPr>
        <w:spacing w:line="360" w:lineRule="auto"/>
        <w:ind w:firstLine="482" w:firstLineChars="200"/>
        <w:rPr>
          <w:rFonts w:ascii="宋体" w:hAnsi="宋体"/>
          <w:color w:val="000000" w:themeColor="text1"/>
          <w:sz w:val="24"/>
          <w:szCs w:val="24"/>
        </w:rPr>
      </w:pPr>
      <w:r>
        <w:rPr>
          <w:rFonts w:hint="eastAsia" w:ascii="宋体" w:hAnsi="宋体"/>
          <w:b/>
          <w:color w:val="000000" w:themeColor="text1"/>
          <w:sz w:val="24"/>
          <w:szCs w:val="24"/>
        </w:rPr>
        <w:t>承包期：</w:t>
      </w:r>
      <w:r>
        <w:rPr>
          <w:rFonts w:hint="eastAsia" w:ascii="宋体" w:hAnsi="宋体"/>
          <w:color w:val="000000" w:themeColor="text1"/>
          <w:sz w:val="24"/>
          <w:szCs w:val="24"/>
        </w:rPr>
        <w:t>本次招标合同期一年（2025年11月1日-2026年10月31日），管护起始日暂定，实际以进场指令单为准。如合同期内每月考核得分均合格的，次年可按原中标价续签，但只可续签一次。</w:t>
      </w:r>
    </w:p>
    <w:p>
      <w:pPr>
        <w:snapToGrid w:val="0"/>
        <w:spacing w:line="360" w:lineRule="auto"/>
        <w:ind w:firstLine="482" w:firstLineChars="200"/>
        <w:rPr>
          <w:rFonts w:ascii="宋体" w:hAnsi="宋体"/>
          <w:b/>
          <w:sz w:val="24"/>
          <w:szCs w:val="24"/>
        </w:rPr>
      </w:pPr>
      <w:r>
        <w:rPr>
          <w:rFonts w:hint="eastAsia" w:ascii="宋体" w:hAnsi="宋体"/>
          <w:b/>
          <w:sz w:val="24"/>
          <w:szCs w:val="24"/>
        </w:rPr>
        <w:t>四、合同价款</w:t>
      </w:r>
    </w:p>
    <w:p>
      <w:pPr>
        <w:snapToGrid w:val="0"/>
        <w:spacing w:line="360" w:lineRule="auto"/>
        <w:ind w:firstLine="480" w:firstLineChars="200"/>
        <w:rPr>
          <w:rFonts w:ascii="宋体" w:hAnsi="宋体"/>
          <w:sz w:val="24"/>
          <w:szCs w:val="24"/>
        </w:rPr>
      </w:pPr>
      <w:r>
        <w:rPr>
          <w:rFonts w:hint="eastAsia" w:ascii="宋体" w:hAnsi="宋体"/>
          <w:sz w:val="24"/>
          <w:szCs w:val="24"/>
        </w:rPr>
        <w:t>大写：人民币</w:t>
      </w:r>
      <w:r>
        <w:rPr>
          <w:rFonts w:hint="eastAsia" w:ascii="宋体" w:hAnsi="宋体"/>
          <w:sz w:val="24"/>
          <w:szCs w:val="24"/>
          <w:u w:val="single"/>
        </w:rPr>
        <w:t xml:space="preserve">            </w:t>
      </w:r>
      <w:r>
        <w:rPr>
          <w:rFonts w:hint="eastAsia" w:ascii="宋体" w:hAnsi="宋体"/>
          <w:color w:val="000000"/>
          <w:sz w:val="24"/>
          <w:szCs w:val="24"/>
        </w:rPr>
        <w:t>（￥</w:t>
      </w:r>
      <w:r>
        <w:rPr>
          <w:rFonts w:hint="eastAsia" w:ascii="宋体" w:hAnsi="宋体"/>
          <w:color w:val="000000"/>
          <w:sz w:val="24"/>
          <w:szCs w:val="24"/>
          <w:u w:val="single"/>
        </w:rPr>
        <w:t xml:space="preserve">            </w:t>
      </w:r>
      <w:r>
        <w:rPr>
          <w:rFonts w:hint="eastAsia" w:ascii="宋体" w:hAnsi="宋体"/>
          <w:color w:val="000000"/>
          <w:sz w:val="24"/>
          <w:szCs w:val="24"/>
        </w:rPr>
        <w:t>），</w:t>
      </w:r>
    </w:p>
    <w:p>
      <w:pPr>
        <w:snapToGrid w:val="0"/>
        <w:spacing w:line="360" w:lineRule="auto"/>
        <w:ind w:firstLine="482" w:firstLineChars="200"/>
        <w:rPr>
          <w:rFonts w:ascii="宋体" w:hAnsi="宋体"/>
          <w:b/>
          <w:bCs/>
          <w:color w:val="000000"/>
          <w:sz w:val="24"/>
          <w:szCs w:val="24"/>
          <w:lang w:val="zh-TW"/>
        </w:rPr>
      </w:pPr>
      <w:r>
        <w:rPr>
          <w:rFonts w:hint="eastAsia" w:ascii="宋体" w:hAnsi="宋体"/>
          <w:b/>
          <w:bCs/>
          <w:color w:val="000000"/>
          <w:sz w:val="24"/>
          <w:szCs w:val="24"/>
          <w:lang w:val="zh-TW"/>
        </w:rPr>
        <w:t>五、年度计划拨付款分解表</w:t>
      </w:r>
    </w:p>
    <w:p>
      <w:pPr>
        <w:snapToGrid w:val="0"/>
        <w:spacing w:line="360" w:lineRule="auto"/>
        <w:ind w:firstLine="482" w:firstLineChars="200"/>
        <w:rPr>
          <w:rFonts w:ascii="宋体" w:hAnsi="宋体"/>
          <w:b/>
          <w:bCs/>
          <w:sz w:val="24"/>
          <w:szCs w:val="24"/>
          <w:lang w:val="zh-TW"/>
        </w:rPr>
      </w:pPr>
      <w:r>
        <w:rPr>
          <w:rFonts w:hint="eastAsia" w:ascii="宋体" w:hAnsi="宋体"/>
          <w:b/>
          <w:bCs/>
          <w:sz w:val="24"/>
          <w:szCs w:val="24"/>
          <w:lang w:val="zh-TW"/>
        </w:rPr>
        <w:t>六、农民工工资支付管理</w:t>
      </w:r>
    </w:p>
    <w:p>
      <w:pPr>
        <w:snapToGrid w:val="0"/>
        <w:spacing w:line="520" w:lineRule="exact"/>
        <w:ind w:firstLine="480" w:firstLineChars="200"/>
        <w:rPr>
          <w:rFonts w:ascii="宋体" w:hAnsi="宋体"/>
          <w:bCs/>
          <w:sz w:val="24"/>
          <w:szCs w:val="24"/>
          <w:lang w:val="zh-TW"/>
        </w:rPr>
      </w:pPr>
      <w:r>
        <w:rPr>
          <w:rFonts w:hint="eastAsia" w:ascii="宋体" w:hAnsi="宋体"/>
          <w:bCs/>
          <w:sz w:val="24"/>
          <w:szCs w:val="24"/>
        </w:rPr>
        <w:t>1.</w:t>
      </w:r>
      <w:r>
        <w:rPr>
          <w:rFonts w:hint="eastAsia" w:ascii="宋体" w:hAnsi="宋体"/>
          <w:bCs/>
          <w:sz w:val="24"/>
          <w:szCs w:val="24"/>
          <w:lang w:val="zh-TW"/>
        </w:rPr>
        <w:t>按《国务院办公厅关于全面治理拖欠农民工工资问题的意见》国办发[2016]1号、《关于印发《江苏省工程建设领域农民工工资支付管理办法》的通知》苏建建管[2016]707号、《保障农民工工资支付条例》（国务院令第724号）、《关于进一步加强和规范建设工程领域农民工工资支付管理工作的通知》【通住建筑(2020)253号】执行。</w:t>
      </w:r>
    </w:p>
    <w:p>
      <w:pPr>
        <w:snapToGrid w:val="0"/>
        <w:spacing w:line="520" w:lineRule="exact"/>
        <w:ind w:firstLine="480" w:firstLineChars="200"/>
        <w:rPr>
          <w:rFonts w:ascii="宋体" w:hAnsi="宋体"/>
          <w:bCs/>
          <w:sz w:val="24"/>
          <w:szCs w:val="24"/>
          <w:lang w:val="zh-TW"/>
        </w:rPr>
      </w:pPr>
      <w:r>
        <w:rPr>
          <w:rFonts w:hint="eastAsia" w:ascii="宋体" w:hAnsi="宋体"/>
          <w:bCs/>
          <w:sz w:val="24"/>
          <w:szCs w:val="24"/>
        </w:rPr>
        <w:t>2</w:t>
      </w:r>
      <w:r>
        <w:rPr>
          <w:rFonts w:hint="eastAsia" w:ascii="宋体" w:hAnsi="宋体"/>
          <w:bCs/>
          <w:sz w:val="24"/>
          <w:szCs w:val="24"/>
          <w:lang w:val="zh-TW"/>
        </w:rPr>
        <w:t>.</w:t>
      </w:r>
      <w:r>
        <w:rPr>
          <w:rFonts w:hint="eastAsia" w:ascii="宋体" w:hAnsi="宋体"/>
          <w:bCs/>
          <w:sz w:val="24"/>
          <w:szCs w:val="24"/>
          <w:lang w:val="zh-TW" w:eastAsia="zh-TW"/>
        </w:rPr>
        <w:t>发包人承诺按照法律规定履行项目审批手续、筹集</w:t>
      </w:r>
      <w:r>
        <w:rPr>
          <w:rFonts w:hint="eastAsia" w:ascii="宋体" w:hAnsi="宋体"/>
          <w:bCs/>
          <w:sz w:val="24"/>
          <w:szCs w:val="24"/>
          <w:lang w:val="zh-TW"/>
        </w:rPr>
        <w:t>项目</w:t>
      </w:r>
      <w:r>
        <w:rPr>
          <w:rFonts w:hint="eastAsia" w:ascii="宋体" w:hAnsi="宋体"/>
          <w:bCs/>
          <w:sz w:val="24"/>
          <w:szCs w:val="24"/>
          <w:lang w:val="zh-TW" w:eastAsia="zh-TW"/>
        </w:rPr>
        <w:t>资金并按照合同约定的期限和方式支付合同价款，及时足额支付人工费用至农民工工资专用账户，并加强对</w:t>
      </w:r>
      <w:r>
        <w:rPr>
          <w:rFonts w:hint="eastAsia" w:ascii="宋体" w:hAnsi="宋体"/>
          <w:bCs/>
          <w:sz w:val="24"/>
          <w:szCs w:val="24"/>
          <w:lang w:val="zh-TW"/>
        </w:rPr>
        <w:t>项目承包</w:t>
      </w:r>
      <w:r>
        <w:rPr>
          <w:rFonts w:hint="eastAsia" w:ascii="宋体" w:hAnsi="宋体"/>
          <w:bCs/>
          <w:sz w:val="24"/>
          <w:szCs w:val="24"/>
          <w:lang w:val="zh-TW" w:eastAsia="zh-TW"/>
        </w:rPr>
        <w:t>单位按时足额支付农民工工资的监督。</w:t>
      </w:r>
    </w:p>
    <w:p>
      <w:pPr>
        <w:snapToGrid w:val="0"/>
        <w:spacing w:line="520" w:lineRule="exact"/>
        <w:ind w:firstLine="480" w:firstLineChars="200"/>
        <w:rPr>
          <w:rFonts w:ascii="宋体" w:hAnsi="宋体"/>
          <w:b/>
          <w:bCs/>
          <w:sz w:val="24"/>
          <w:szCs w:val="24"/>
        </w:rPr>
      </w:pPr>
      <w:r>
        <w:rPr>
          <w:rFonts w:hint="eastAsia" w:ascii="宋体" w:hAnsi="宋体"/>
          <w:bCs/>
          <w:sz w:val="24"/>
          <w:szCs w:val="24"/>
        </w:rPr>
        <w:t>3</w:t>
      </w:r>
      <w:r>
        <w:rPr>
          <w:rFonts w:hint="eastAsia" w:ascii="宋体" w:hAnsi="宋体"/>
          <w:bCs/>
          <w:sz w:val="24"/>
          <w:szCs w:val="24"/>
          <w:lang w:val="zh-TW"/>
        </w:rPr>
        <w:t>.</w:t>
      </w:r>
      <w:r>
        <w:rPr>
          <w:rFonts w:hint="eastAsia" w:ascii="宋体" w:hAnsi="宋体"/>
          <w:bCs/>
          <w:sz w:val="24"/>
          <w:szCs w:val="24"/>
          <w:lang w:val="zh-TW" w:eastAsia="zh-TW"/>
        </w:rPr>
        <w:t>承包人</w:t>
      </w:r>
      <w:r>
        <w:rPr>
          <w:rFonts w:hint="eastAsia" w:ascii="宋体" w:hAnsi="宋体"/>
          <w:bCs/>
          <w:sz w:val="24"/>
          <w:szCs w:val="24"/>
          <w:lang w:val="zh-TW"/>
        </w:rPr>
        <w:t>必须</w:t>
      </w:r>
      <w:r>
        <w:rPr>
          <w:rFonts w:hint="eastAsia" w:ascii="宋体" w:hAnsi="宋体"/>
          <w:bCs/>
          <w:sz w:val="24"/>
          <w:szCs w:val="24"/>
          <w:lang w:val="zh-TW" w:eastAsia="zh-TW"/>
        </w:rPr>
        <w:t>按照有关规定开设农民工工资专用账户</w:t>
      </w:r>
      <w:r>
        <w:rPr>
          <w:rFonts w:hint="eastAsia" w:ascii="宋体" w:hAnsi="宋体"/>
          <w:b/>
          <w:bCs/>
          <w:sz w:val="24"/>
          <w:szCs w:val="24"/>
          <w:lang w:val="zh-TW"/>
        </w:rPr>
        <w:t>（</w:t>
      </w:r>
      <w:r>
        <w:rPr>
          <w:rFonts w:hint="eastAsia" w:ascii="宋体" w:hAnsi="宋体"/>
          <w:b/>
          <w:bCs/>
          <w:sz w:val="24"/>
          <w:szCs w:val="24"/>
          <w:lang w:val="zh-TW" w:eastAsia="zh-TW"/>
        </w:rPr>
        <w:t>承包合同签订后15天内，乙方应完成农民工工资专用账户开设工作</w:t>
      </w:r>
      <w:r>
        <w:rPr>
          <w:rFonts w:hint="eastAsia" w:ascii="宋体" w:hAnsi="宋体"/>
          <w:b/>
          <w:bCs/>
          <w:sz w:val="24"/>
          <w:szCs w:val="24"/>
          <w:lang w:val="zh-TW"/>
        </w:rPr>
        <w:t>）</w:t>
      </w:r>
      <w:r>
        <w:rPr>
          <w:rFonts w:hint="eastAsia" w:ascii="宋体" w:hAnsi="宋体"/>
          <w:bCs/>
          <w:sz w:val="24"/>
          <w:szCs w:val="24"/>
          <w:lang w:val="zh-TW" w:eastAsia="zh-TW"/>
        </w:rPr>
        <w:t>，专项用于支付本</w:t>
      </w:r>
      <w:r>
        <w:rPr>
          <w:rFonts w:hint="eastAsia" w:ascii="宋体" w:hAnsi="宋体"/>
          <w:bCs/>
          <w:sz w:val="24"/>
          <w:szCs w:val="24"/>
          <w:lang w:val="zh-TW"/>
        </w:rPr>
        <w:t>项目</w:t>
      </w:r>
      <w:r>
        <w:rPr>
          <w:rFonts w:hint="eastAsia" w:ascii="宋体" w:hAnsi="宋体"/>
          <w:bCs/>
          <w:sz w:val="24"/>
          <w:szCs w:val="24"/>
          <w:lang w:val="zh-TW" w:eastAsia="zh-TW"/>
        </w:rPr>
        <w:t>农民工工资</w:t>
      </w:r>
      <w:r>
        <w:rPr>
          <w:rFonts w:hint="eastAsia" w:ascii="宋体" w:hAnsi="宋体"/>
          <w:sz w:val="24"/>
          <w:szCs w:val="24"/>
        </w:rPr>
        <w:t>发放</w:t>
      </w:r>
      <w:bookmarkStart w:id="137" w:name="bookmark103"/>
      <w:bookmarkEnd w:id="137"/>
      <w:r>
        <w:rPr>
          <w:rFonts w:hint="eastAsia" w:ascii="宋体" w:hAnsi="宋体"/>
          <w:sz w:val="24"/>
          <w:szCs w:val="24"/>
        </w:rPr>
        <w:t>。实行项目人工费与其他费用分账管理，每笔费用支付时由发包人直接将应支总费用的</w:t>
      </w:r>
      <w:r>
        <w:rPr>
          <w:rFonts w:ascii="宋体" w:hAnsi="宋体"/>
          <w:sz w:val="24"/>
          <w:szCs w:val="24"/>
        </w:rPr>
        <w:t>20%</w:t>
      </w:r>
      <w:r>
        <w:rPr>
          <w:rFonts w:hint="eastAsia" w:ascii="宋体" w:hAnsi="宋体"/>
          <w:sz w:val="24"/>
          <w:szCs w:val="24"/>
        </w:rPr>
        <w:t>汇至</w:t>
      </w:r>
      <w:r>
        <w:rPr>
          <w:rFonts w:ascii="宋体" w:hAnsi="宋体"/>
          <w:sz w:val="24"/>
          <w:szCs w:val="24"/>
        </w:rPr>
        <w:t>“</w:t>
      </w:r>
      <w:r>
        <w:rPr>
          <w:rFonts w:hint="eastAsia" w:ascii="宋体" w:hAnsi="宋体"/>
          <w:sz w:val="24"/>
          <w:szCs w:val="24"/>
        </w:rPr>
        <w:t>农民工工资专用账户</w:t>
      </w:r>
      <w:r>
        <w:rPr>
          <w:rFonts w:ascii="宋体" w:hAnsi="宋体"/>
          <w:sz w:val="24"/>
          <w:szCs w:val="24"/>
        </w:rPr>
        <w:t>”</w:t>
      </w:r>
      <w:r>
        <w:rPr>
          <w:rFonts w:hint="eastAsia" w:ascii="宋体" w:hAnsi="宋体"/>
          <w:sz w:val="24"/>
          <w:szCs w:val="24"/>
        </w:rPr>
        <w:t>。</w:t>
      </w:r>
    </w:p>
    <w:p>
      <w:pPr>
        <w:snapToGrid w:val="0"/>
        <w:spacing w:line="520" w:lineRule="exact"/>
        <w:ind w:firstLine="480" w:firstLineChars="200"/>
        <w:rPr>
          <w:rFonts w:ascii="宋体" w:hAnsi="宋体"/>
          <w:bCs/>
          <w:sz w:val="24"/>
          <w:szCs w:val="24"/>
          <w:lang w:val="zh-TW"/>
        </w:rPr>
      </w:pPr>
      <w:r>
        <w:rPr>
          <w:rFonts w:hint="eastAsia" w:ascii="宋体" w:hAnsi="宋体"/>
          <w:bCs/>
          <w:sz w:val="24"/>
          <w:szCs w:val="24"/>
        </w:rPr>
        <w:t>4.承包单位必须与管护工作劳务人员签订劳务用工合同，合同为实名制，需本人签字，合同中必须约定按月足额发放农民工工资。</w:t>
      </w:r>
      <w:r>
        <w:rPr>
          <w:rFonts w:hint="eastAsia" w:ascii="宋体" w:hAnsi="宋体"/>
          <w:bCs/>
          <w:sz w:val="24"/>
          <w:szCs w:val="24"/>
          <w:lang w:val="zh-TW"/>
        </w:rPr>
        <w:t>如因承包人不按时、不实名、不按月足额支付农民工工资产生任何纠纷、上访、事故、影响正常办公等，均由承包人承担全部责任并予赔偿，发包人暂停拨付管护费用，剩余管护费用将优先支付农民工工资，并每次处承包人合同总价1%的违约金给发包人。</w:t>
      </w:r>
      <w:bookmarkStart w:id="138" w:name="bookmark102"/>
      <w:bookmarkEnd w:id="138"/>
    </w:p>
    <w:p>
      <w:pPr>
        <w:snapToGrid w:val="0"/>
        <w:spacing w:line="520" w:lineRule="exact"/>
        <w:ind w:firstLine="480" w:firstLineChars="200"/>
        <w:rPr>
          <w:rFonts w:ascii="宋体" w:hAnsi="宋体"/>
          <w:bCs/>
          <w:sz w:val="24"/>
          <w:szCs w:val="24"/>
          <w:lang w:val="zh-TW"/>
        </w:rPr>
      </w:pPr>
      <w:r>
        <w:rPr>
          <w:rFonts w:hint="eastAsia" w:ascii="宋体" w:hAnsi="宋体"/>
          <w:bCs/>
          <w:sz w:val="24"/>
          <w:szCs w:val="24"/>
        </w:rPr>
        <w:t>5.</w:t>
      </w:r>
      <w:r>
        <w:rPr>
          <w:rFonts w:hint="eastAsia" w:ascii="宋体" w:hAnsi="宋体"/>
          <w:bCs/>
          <w:sz w:val="24"/>
          <w:szCs w:val="24"/>
          <w:lang w:val="zh-TW"/>
        </w:rPr>
        <w:t>承包人不得使用未成年人，按国家和部门规定发放劳动防护用品，因违反此类规定导致的罚款和赔偿由承包方负责。</w:t>
      </w:r>
    </w:p>
    <w:p>
      <w:pPr>
        <w:snapToGrid w:val="0"/>
        <w:spacing w:line="360" w:lineRule="auto"/>
        <w:ind w:firstLine="480" w:firstLineChars="200"/>
        <w:rPr>
          <w:rFonts w:ascii="宋体" w:hAnsi="宋体"/>
          <w:bCs/>
          <w:sz w:val="24"/>
          <w:szCs w:val="24"/>
        </w:rPr>
      </w:pPr>
      <w:r>
        <w:rPr>
          <w:rFonts w:hint="eastAsia" w:ascii="宋体" w:hAnsi="宋体"/>
          <w:bCs/>
          <w:sz w:val="24"/>
          <w:szCs w:val="24"/>
        </w:rPr>
        <w:t>6.</w:t>
      </w:r>
      <w:r>
        <w:rPr>
          <w:rFonts w:hint="eastAsia" w:ascii="宋体" w:hAnsi="宋体"/>
          <w:bCs/>
          <w:sz w:val="24"/>
          <w:szCs w:val="24"/>
          <w:lang w:val="zh-TW"/>
        </w:rPr>
        <w:t>承包人应配合公安部门做好外来人口登记及检查，发现可疑情况应向有关部门报告。发包人不承担因此引起的法律责任和经济责任。</w:t>
      </w:r>
    </w:p>
    <w:p>
      <w:pPr>
        <w:snapToGrid w:val="0"/>
        <w:spacing w:line="360" w:lineRule="auto"/>
        <w:ind w:firstLine="482" w:firstLineChars="200"/>
        <w:rPr>
          <w:rFonts w:ascii="宋体" w:hAnsi="宋体"/>
          <w:b/>
          <w:bCs/>
          <w:sz w:val="24"/>
          <w:szCs w:val="24"/>
        </w:rPr>
      </w:pPr>
      <w:r>
        <w:rPr>
          <w:rFonts w:hint="eastAsia" w:ascii="宋体" w:hAnsi="宋体"/>
          <w:b/>
          <w:bCs/>
          <w:sz w:val="24"/>
          <w:szCs w:val="24"/>
        </w:rPr>
        <w:t>七、管护经费拨付方式</w:t>
      </w:r>
    </w:p>
    <w:p>
      <w:pPr>
        <w:snapToGrid w:val="0"/>
        <w:spacing w:line="520" w:lineRule="exact"/>
        <w:ind w:firstLine="480" w:firstLineChars="200"/>
        <w:rPr>
          <w:rFonts w:ascii="宋体" w:hAnsi="宋体"/>
          <w:bCs/>
          <w:sz w:val="24"/>
          <w:szCs w:val="24"/>
        </w:rPr>
      </w:pPr>
      <w:r>
        <w:rPr>
          <w:rFonts w:ascii="宋体" w:hAnsi="宋体"/>
          <w:bCs/>
          <w:sz w:val="24"/>
          <w:szCs w:val="24"/>
        </w:rPr>
        <w:t>1.</w:t>
      </w:r>
      <w:r>
        <w:rPr>
          <w:rFonts w:hint="eastAsia" w:ascii="宋体" w:hAnsi="宋体"/>
          <w:bCs/>
          <w:sz w:val="24"/>
          <w:szCs w:val="24"/>
        </w:rPr>
        <w:t>管护经费根据月度考核结果，按月测算、每半年支付一次。月度考核综合得分≥85分，按合同兑现管护经费；综合得分＜85分的，每低1分扣6000元（采用进位法扣款，不足1分的，按1分扣款），以此类推，直至扣完该标段当月养护费。</w:t>
      </w:r>
    </w:p>
    <w:p>
      <w:pPr>
        <w:snapToGrid w:val="0"/>
        <w:spacing w:line="520" w:lineRule="exact"/>
        <w:ind w:firstLine="480" w:firstLineChars="200"/>
        <w:rPr>
          <w:rFonts w:ascii="宋体" w:hAnsi="宋体"/>
          <w:bCs/>
          <w:sz w:val="24"/>
          <w:szCs w:val="24"/>
        </w:rPr>
      </w:pPr>
      <w:r>
        <w:rPr>
          <w:rFonts w:hint="eastAsia" w:ascii="宋体" w:hAnsi="宋体"/>
          <w:bCs/>
          <w:sz w:val="24"/>
          <w:szCs w:val="24"/>
        </w:rPr>
        <w:t>2.承包合同</w:t>
      </w:r>
      <w:r>
        <w:rPr>
          <w:rFonts w:hint="eastAsia" w:ascii="宋体" w:hAnsi="宋体"/>
          <w:sz w:val="24"/>
          <w:szCs w:val="24"/>
        </w:rPr>
        <w:t>签订后1个月内，发包方预付</w:t>
      </w:r>
      <w:r>
        <w:rPr>
          <w:rFonts w:hint="eastAsia" w:ascii="宋体" w:hAnsi="宋体"/>
          <w:bCs/>
          <w:sz w:val="24"/>
          <w:szCs w:val="24"/>
        </w:rPr>
        <w:t>年度管护分项费用的10%（即</w:t>
      </w:r>
      <w:r>
        <w:rPr>
          <w:rFonts w:hint="eastAsia" w:ascii="宋体" w:hAnsi="宋体"/>
          <w:sz w:val="24"/>
          <w:szCs w:val="24"/>
        </w:rPr>
        <w:t>半年的20%</w:t>
      </w:r>
      <w:r>
        <w:rPr>
          <w:rFonts w:hint="eastAsia" w:ascii="宋体" w:hAnsi="宋体"/>
          <w:bCs/>
          <w:sz w:val="24"/>
          <w:szCs w:val="24"/>
        </w:rPr>
        <w:t>）</w:t>
      </w:r>
      <w:r>
        <w:rPr>
          <w:rFonts w:hint="eastAsia" w:ascii="宋体" w:hAnsi="宋体"/>
          <w:sz w:val="24"/>
          <w:szCs w:val="24"/>
        </w:rPr>
        <w:t>至承包人“农民工工资专用账户”，专项用于农民工工资发放，后续在第一次养护经费拨付时扣回</w:t>
      </w:r>
      <w:r>
        <w:rPr>
          <w:rFonts w:hint="eastAsia" w:ascii="宋体" w:hAnsi="宋体"/>
          <w:bCs/>
          <w:sz w:val="24"/>
          <w:szCs w:val="24"/>
        </w:rPr>
        <w:t>。</w:t>
      </w:r>
    </w:p>
    <w:p>
      <w:pPr>
        <w:snapToGrid w:val="0"/>
        <w:spacing w:line="520" w:lineRule="exact"/>
        <w:ind w:firstLine="480" w:firstLineChars="200"/>
        <w:rPr>
          <w:rFonts w:ascii="宋体" w:hAnsi="宋体"/>
          <w:b/>
          <w:bCs/>
          <w:sz w:val="24"/>
          <w:szCs w:val="24"/>
        </w:rPr>
      </w:pPr>
      <w:r>
        <w:rPr>
          <w:rFonts w:hint="eastAsia" w:ascii="宋体" w:hAnsi="宋体"/>
          <w:bCs/>
          <w:sz w:val="24"/>
          <w:szCs w:val="24"/>
        </w:rPr>
        <w:t xml:space="preserve">3.每次养护费暂拨年度管护分项费用的40%，剩余尾款根据实际管护量、考核结果等按实调整后在下一次养护费拨付时结清。每次养护费拨付时，年度管护分项费用的10%汇入承包人农民工工资专用账户，专项用于农民工工资发放，余款汇至承包人一般账户。 </w:t>
      </w:r>
    </w:p>
    <w:p>
      <w:pPr>
        <w:snapToGrid w:val="0"/>
        <w:spacing w:line="520" w:lineRule="exact"/>
        <w:ind w:firstLine="480" w:firstLineChars="200"/>
        <w:rPr>
          <w:rFonts w:ascii="宋体" w:hAnsi="宋体"/>
          <w:bCs/>
          <w:sz w:val="24"/>
          <w:szCs w:val="24"/>
        </w:rPr>
      </w:pPr>
      <w:r>
        <w:rPr>
          <w:rFonts w:hint="eastAsia" w:ascii="宋体" w:hAnsi="宋体"/>
          <w:bCs/>
          <w:sz w:val="24"/>
          <w:szCs w:val="24"/>
        </w:rPr>
        <w:t>4. 合同期满前</w:t>
      </w:r>
      <w:r>
        <w:rPr>
          <w:rFonts w:hint="eastAsia" w:ascii="宋体" w:hAnsi="宋体"/>
          <w:b/>
          <w:bCs/>
          <w:sz w:val="24"/>
          <w:szCs w:val="24"/>
        </w:rPr>
        <w:t>3个月</w:t>
      </w:r>
      <w:r>
        <w:rPr>
          <w:rFonts w:hint="eastAsia" w:ascii="宋体" w:hAnsi="宋体"/>
          <w:bCs/>
          <w:sz w:val="24"/>
          <w:szCs w:val="24"/>
        </w:rPr>
        <w:t>暂停支付养护经费。待与下一轮养护接管单位交接手续办妥后一次性结算拨付。绿地存在问题的需在规定时间内按要求整改到位后交付接管单位，逾期整改不到位由接管单位进行整改，所需费用由原管护单位承担，从养护经费中扣除（按当期造价处发布的指导价和相关定额计取，如无指导价则按市场询价），费用不够的从履约保证金中扣除。</w:t>
      </w:r>
    </w:p>
    <w:p>
      <w:pPr>
        <w:snapToGrid w:val="0"/>
        <w:spacing w:line="520" w:lineRule="exact"/>
        <w:ind w:firstLine="480" w:firstLineChars="200"/>
        <w:rPr>
          <w:rFonts w:ascii="宋体" w:hAnsi="宋体"/>
          <w:bCs/>
          <w:sz w:val="24"/>
          <w:szCs w:val="24"/>
        </w:rPr>
      </w:pPr>
      <w:r>
        <w:rPr>
          <w:rFonts w:hint="eastAsia" w:ascii="宋体" w:hAnsi="宋体"/>
          <w:bCs/>
          <w:sz w:val="24"/>
          <w:szCs w:val="24"/>
        </w:rPr>
        <w:t>5</w:t>
      </w:r>
      <w:r>
        <w:rPr>
          <w:rFonts w:ascii="宋体" w:hAnsi="宋体"/>
          <w:bCs/>
          <w:sz w:val="24"/>
          <w:szCs w:val="24"/>
        </w:rPr>
        <w:t>.</w:t>
      </w:r>
      <w:r>
        <w:rPr>
          <w:rFonts w:hint="eastAsia" w:ascii="宋体" w:hAnsi="宋体"/>
          <w:bCs/>
          <w:sz w:val="24"/>
          <w:szCs w:val="24"/>
        </w:rPr>
        <w:t xml:space="preserve"> 养护期内因规划建设、基建移伐等政策性调整发生养护面积减少或养护等级调整的，按实调整养护费用。</w:t>
      </w:r>
    </w:p>
    <w:p>
      <w:pPr>
        <w:snapToGrid w:val="0"/>
        <w:spacing w:line="520" w:lineRule="exact"/>
        <w:ind w:firstLine="482" w:firstLineChars="200"/>
        <w:rPr>
          <w:rFonts w:ascii="宋体" w:hAnsi="宋体"/>
          <w:b/>
          <w:bCs/>
          <w:sz w:val="24"/>
          <w:szCs w:val="24"/>
        </w:rPr>
      </w:pPr>
      <w:r>
        <w:rPr>
          <w:rFonts w:hint="eastAsia" w:ascii="宋体" w:hAnsi="宋体"/>
          <w:b/>
          <w:bCs/>
          <w:sz w:val="24"/>
          <w:szCs w:val="24"/>
        </w:rPr>
        <w:t>八、合同履约保证金</w:t>
      </w:r>
    </w:p>
    <w:p>
      <w:pPr>
        <w:snapToGrid w:val="0"/>
        <w:spacing w:line="520" w:lineRule="exact"/>
        <w:ind w:firstLine="480" w:firstLineChars="200"/>
        <w:rPr>
          <w:rFonts w:ascii="宋体" w:hAnsi="宋体"/>
          <w:sz w:val="24"/>
          <w:szCs w:val="24"/>
        </w:rPr>
      </w:pPr>
      <w:r>
        <w:rPr>
          <w:rFonts w:hint="eastAsia" w:ascii="宋体" w:hAnsi="宋体"/>
          <w:sz w:val="24"/>
          <w:szCs w:val="24"/>
        </w:rPr>
        <w:t>履约保证金：</w:t>
      </w:r>
      <w:r>
        <w:rPr>
          <w:rFonts w:hint="eastAsia" w:ascii="宋体" w:hAnsi="宋体"/>
          <w:sz w:val="24"/>
          <w:szCs w:val="24"/>
          <w:u w:val="single"/>
        </w:rPr>
        <w:t xml:space="preserve">            </w:t>
      </w:r>
      <w:r>
        <w:rPr>
          <w:rFonts w:hint="eastAsia" w:ascii="宋体" w:hAnsi="宋体"/>
          <w:sz w:val="24"/>
          <w:szCs w:val="24"/>
        </w:rPr>
        <w:t>（￥</w:t>
      </w:r>
      <w:r>
        <w:rPr>
          <w:rFonts w:hint="eastAsia" w:ascii="宋体" w:hAnsi="宋体"/>
          <w:sz w:val="24"/>
          <w:szCs w:val="24"/>
          <w:u w:val="single"/>
        </w:rPr>
        <w:t xml:space="preserve">           </w:t>
      </w:r>
      <w:r>
        <w:rPr>
          <w:rFonts w:hint="eastAsia" w:ascii="宋体" w:hAnsi="宋体"/>
          <w:sz w:val="24"/>
          <w:szCs w:val="24"/>
        </w:rPr>
        <w:t>万元）</w:t>
      </w:r>
    </w:p>
    <w:p>
      <w:pPr>
        <w:spacing w:line="520" w:lineRule="exact"/>
        <w:ind w:firstLine="480" w:firstLineChars="200"/>
        <w:rPr>
          <w:rFonts w:ascii="宋体" w:hAnsi="宋体"/>
          <w:sz w:val="24"/>
          <w:szCs w:val="24"/>
        </w:rPr>
      </w:pPr>
      <w:r>
        <w:rPr>
          <w:rFonts w:hint="eastAsia" w:ascii="宋体" w:hAnsi="宋体"/>
          <w:sz w:val="24"/>
          <w:szCs w:val="24"/>
        </w:rPr>
        <w:t>签订合同前，承包方需向发包方缴纳履约保证金。</w:t>
      </w:r>
    </w:p>
    <w:p>
      <w:pPr>
        <w:spacing w:line="520" w:lineRule="exact"/>
        <w:ind w:firstLine="480" w:firstLineChars="200"/>
        <w:rPr>
          <w:rFonts w:ascii="宋体" w:hAnsi="宋体"/>
          <w:sz w:val="24"/>
          <w:szCs w:val="24"/>
        </w:rPr>
      </w:pPr>
      <w:r>
        <w:rPr>
          <w:rFonts w:hint="eastAsia" w:ascii="宋体" w:hAnsi="宋体"/>
          <w:sz w:val="24"/>
          <w:szCs w:val="24"/>
        </w:rPr>
        <w:t>履约保证金以</w:t>
      </w:r>
      <w:r>
        <w:rPr>
          <w:rFonts w:hint="eastAsia" w:ascii="宋体" w:hAnsi="宋体"/>
          <w:bCs/>
          <w:sz w:val="24"/>
          <w:szCs w:val="24"/>
        </w:rPr>
        <w:t>银行转账或银行保函等</w:t>
      </w:r>
      <w:r>
        <w:rPr>
          <w:rFonts w:hint="eastAsia" w:ascii="宋体" w:hAnsi="宋体"/>
          <w:sz w:val="24"/>
          <w:szCs w:val="24"/>
        </w:rPr>
        <w:t>非现金形式提交。按合同总价的5%（其中质量3%、安全2%）计取（四舍五入取整数），不计息。另外，承包方须按照南通市人社局官网首页工资保证金专栏内的要求办理农民工工资保证金存储及备案。</w:t>
      </w:r>
    </w:p>
    <w:p>
      <w:pPr>
        <w:snapToGrid w:val="0"/>
        <w:spacing w:line="520" w:lineRule="exact"/>
        <w:ind w:firstLine="480" w:firstLineChars="200"/>
        <w:rPr>
          <w:rFonts w:ascii="宋体" w:hAnsi="宋体"/>
          <w:sz w:val="24"/>
          <w:szCs w:val="24"/>
        </w:rPr>
      </w:pPr>
      <w:r>
        <w:rPr>
          <w:rFonts w:hint="eastAsia" w:ascii="宋体" w:hAnsi="宋体"/>
          <w:sz w:val="24"/>
          <w:szCs w:val="24"/>
        </w:rPr>
        <w:t>承包方按要求与接管单位保质保量完成移交后，发包方根据承包方提交的申请，一次性无息退还。</w:t>
      </w:r>
      <w:r>
        <w:rPr>
          <w:rFonts w:ascii="宋体" w:hAnsi="宋体"/>
          <w:sz w:val="24"/>
          <w:szCs w:val="24"/>
        </w:rPr>
        <w:t>缺陷部分按相关专业定额及当期造价信息指导价等规范文件计取后由管护单位承担</w:t>
      </w:r>
      <w:r>
        <w:rPr>
          <w:rFonts w:hint="eastAsia" w:ascii="宋体" w:hAnsi="宋体"/>
          <w:sz w:val="24"/>
          <w:szCs w:val="24"/>
        </w:rPr>
        <w:t>。</w:t>
      </w:r>
    </w:p>
    <w:p>
      <w:pPr>
        <w:spacing w:line="520" w:lineRule="exact"/>
        <w:ind w:firstLine="480" w:firstLineChars="200"/>
        <w:rPr>
          <w:rFonts w:ascii="宋体" w:hAnsi="宋体"/>
          <w:sz w:val="24"/>
          <w:szCs w:val="24"/>
        </w:rPr>
      </w:pPr>
      <w:r>
        <w:rPr>
          <w:rFonts w:hint="eastAsia" w:ascii="宋体" w:hAnsi="宋体"/>
          <w:sz w:val="24"/>
          <w:szCs w:val="24"/>
        </w:rPr>
        <w:t>由于承包方原因，在签订合同后如出现不按合同履行情况，发包方有权将履约保证金按违约比例予以扣减，同时发包方亦有权终止合同，承包方还须承担相应法律赔偿责任。履约保证金处理包括但不仅限于以下方式：</w:t>
      </w:r>
    </w:p>
    <w:p>
      <w:pPr>
        <w:spacing w:line="520" w:lineRule="exact"/>
        <w:ind w:firstLine="480" w:firstLineChars="200"/>
        <w:rPr>
          <w:rFonts w:ascii="宋体" w:hAnsi="宋体"/>
          <w:sz w:val="24"/>
          <w:szCs w:val="24"/>
        </w:rPr>
      </w:pPr>
      <w:r>
        <w:rPr>
          <w:rFonts w:hint="eastAsia" w:ascii="宋体" w:hAnsi="宋体"/>
          <w:sz w:val="24"/>
          <w:szCs w:val="24"/>
        </w:rPr>
        <w:t>1.</w:t>
      </w:r>
      <w:r>
        <w:rPr>
          <w:rFonts w:ascii="宋体" w:hAnsi="宋体"/>
          <w:sz w:val="24"/>
          <w:szCs w:val="24"/>
        </w:rPr>
        <w:t>如</w:t>
      </w:r>
      <w:r>
        <w:rPr>
          <w:rFonts w:hint="eastAsia" w:ascii="宋体" w:hAnsi="宋体"/>
          <w:sz w:val="24"/>
          <w:szCs w:val="24"/>
        </w:rPr>
        <w:t>承包方</w:t>
      </w:r>
      <w:r>
        <w:rPr>
          <w:rFonts w:ascii="宋体" w:hAnsi="宋体"/>
          <w:sz w:val="24"/>
          <w:szCs w:val="24"/>
        </w:rPr>
        <w:t>单方面解约的，全额没收履约保证金</w:t>
      </w:r>
      <w:r>
        <w:rPr>
          <w:rFonts w:hint="eastAsia" w:ascii="宋体" w:hAnsi="宋体"/>
          <w:sz w:val="24"/>
          <w:szCs w:val="24"/>
        </w:rPr>
        <w:t>；</w:t>
      </w:r>
    </w:p>
    <w:p>
      <w:pPr>
        <w:snapToGrid w:val="0"/>
        <w:spacing w:line="520" w:lineRule="exact"/>
        <w:ind w:firstLine="480" w:firstLineChars="200"/>
        <w:rPr>
          <w:rFonts w:ascii="宋体" w:hAnsi="宋体"/>
          <w:sz w:val="24"/>
          <w:szCs w:val="24"/>
        </w:rPr>
      </w:pPr>
      <w:r>
        <w:rPr>
          <w:rFonts w:hint="eastAsia" w:ascii="宋体" w:hAnsi="宋体"/>
          <w:sz w:val="24"/>
          <w:szCs w:val="24"/>
        </w:rPr>
        <w:t>2.承包期间，因承包方原因造成一般事故及以上生产安全事故的，全额没收安全履约保证金。（“一般事故”的界定，参考2007年4月9日国务院令第493号《生产安全事故报告和调查处理条例》，指造成3人以下死亡，或者10人以下重伤，或者1000万元以下直接经济损失的事故。）</w:t>
      </w:r>
    </w:p>
    <w:p>
      <w:pPr>
        <w:snapToGrid w:val="0"/>
        <w:spacing w:line="520" w:lineRule="exact"/>
        <w:ind w:firstLine="482" w:firstLineChars="200"/>
        <w:rPr>
          <w:rFonts w:ascii="宋体" w:hAnsi="宋体"/>
          <w:b/>
          <w:sz w:val="24"/>
          <w:szCs w:val="24"/>
        </w:rPr>
      </w:pPr>
      <w:r>
        <w:rPr>
          <w:rFonts w:hint="eastAsia" w:ascii="宋体" w:hAnsi="宋体"/>
          <w:b/>
          <w:sz w:val="24"/>
          <w:szCs w:val="24"/>
        </w:rPr>
        <w:t>九、承包主要工作内容及管理目标</w:t>
      </w:r>
    </w:p>
    <w:p>
      <w:pPr>
        <w:snapToGrid w:val="0"/>
        <w:spacing w:line="520" w:lineRule="exact"/>
        <w:ind w:firstLine="480" w:firstLineChars="200"/>
        <w:rPr>
          <w:rFonts w:ascii="宋体" w:hAnsi="宋体"/>
          <w:sz w:val="24"/>
          <w:szCs w:val="24"/>
        </w:rPr>
      </w:pPr>
      <w:r>
        <w:rPr>
          <w:rFonts w:hint="eastAsia" w:ascii="宋体" w:hAnsi="宋体"/>
          <w:sz w:val="24"/>
          <w:szCs w:val="24"/>
        </w:rPr>
        <w:t>按《城市园林绿化养护管理规范》（DB3206/T367-2015）、</w:t>
      </w:r>
      <w:r>
        <w:rPr>
          <w:rFonts w:ascii="宋体" w:hAnsi="宋体" w:cs="宋体"/>
          <w:sz w:val="24"/>
          <w:szCs w:val="24"/>
        </w:rPr>
        <w:t>《园林绿化养护标准》（CJJ/T287-2018）</w:t>
      </w:r>
      <w:r>
        <w:rPr>
          <w:rFonts w:hint="eastAsia" w:ascii="宋体" w:hAnsi="宋体" w:cs="宋体"/>
          <w:sz w:val="24"/>
          <w:szCs w:val="24"/>
        </w:rPr>
        <w:t>、</w:t>
      </w:r>
      <w:r>
        <w:rPr>
          <w:rFonts w:hint="eastAsia" w:ascii="宋体" w:hAnsi="宋体"/>
          <w:sz w:val="24"/>
          <w:szCs w:val="24"/>
        </w:rPr>
        <w:t>《南通市城市绿化养护质量等级标准（试行）》（通政园管〔2020〕43号）、《南通市区绿化养护管理绩效评价办法的通知》通绿评【2024】1号文、《南通市园林绿化管理处绿地精细化养护技术导则（试行）》、《南通市园林绿化管理处绿地管护考核办法》、《南通市园林绿化管理处防台防汛应急预案》等文件规定执行。行业内如有新规范新标准新文件出台，则遵照执行。</w:t>
      </w:r>
    </w:p>
    <w:p>
      <w:pPr>
        <w:snapToGrid w:val="0"/>
        <w:spacing w:line="520" w:lineRule="exact"/>
        <w:ind w:firstLine="482" w:firstLineChars="200"/>
        <w:rPr>
          <w:rFonts w:ascii="宋体" w:hAnsi="宋体"/>
          <w:b/>
          <w:sz w:val="24"/>
          <w:szCs w:val="24"/>
        </w:rPr>
      </w:pPr>
      <w:r>
        <w:rPr>
          <w:rFonts w:hint="eastAsia" w:ascii="宋体" w:hAnsi="宋体"/>
          <w:b/>
          <w:sz w:val="24"/>
          <w:szCs w:val="24"/>
        </w:rPr>
        <w:t>（一）人员管理</w:t>
      </w:r>
    </w:p>
    <w:p>
      <w:pPr>
        <w:snapToGrid w:val="0"/>
        <w:spacing w:line="520" w:lineRule="exact"/>
        <w:ind w:firstLine="482" w:firstLineChars="200"/>
        <w:rPr>
          <w:rFonts w:ascii="宋体" w:hAnsi="宋体"/>
          <w:b/>
          <w:sz w:val="24"/>
          <w:szCs w:val="24"/>
        </w:rPr>
      </w:pPr>
      <w:r>
        <w:rPr>
          <w:rFonts w:ascii="宋体" w:hAnsi="宋体"/>
          <w:b/>
          <w:sz w:val="24"/>
          <w:szCs w:val="24"/>
        </w:rPr>
        <w:t>1</w:t>
      </w:r>
      <w:r>
        <w:rPr>
          <w:rFonts w:hint="eastAsia" w:ascii="宋体" w:hAnsi="宋体"/>
          <w:b/>
          <w:sz w:val="24"/>
          <w:szCs w:val="24"/>
        </w:rPr>
        <w:t>.</w:t>
      </w:r>
      <w:r>
        <w:rPr>
          <w:rFonts w:ascii="宋体" w:hAnsi="宋体"/>
          <w:b/>
          <w:sz w:val="24"/>
          <w:szCs w:val="24"/>
        </w:rPr>
        <w:t>主要人员</w:t>
      </w:r>
      <w:r>
        <w:rPr>
          <w:rFonts w:hint="eastAsia" w:ascii="宋体" w:hAnsi="宋体"/>
          <w:b/>
          <w:sz w:val="24"/>
          <w:szCs w:val="24"/>
        </w:rPr>
        <w:t>（根据投标函承诺配置）</w:t>
      </w:r>
    </w:p>
    <w:p>
      <w:pPr>
        <w:snapToGrid w:val="0"/>
        <w:spacing w:line="520" w:lineRule="exact"/>
        <w:ind w:firstLine="480" w:firstLineChars="200"/>
        <w:rPr>
          <w:rFonts w:ascii="宋体" w:hAnsi="宋体"/>
          <w:sz w:val="24"/>
          <w:szCs w:val="24"/>
          <w:u w:val="single"/>
        </w:rPr>
      </w:pPr>
      <w:r>
        <w:rPr>
          <w:rFonts w:hint="eastAsia" w:ascii="宋体" w:hAnsi="宋体"/>
          <w:sz w:val="24"/>
          <w:szCs w:val="24"/>
        </w:rPr>
        <w:t>①项目负责人：姓名</w:t>
      </w:r>
      <w:r>
        <w:rPr>
          <w:rFonts w:hint="eastAsia" w:ascii="宋体" w:hAnsi="宋体"/>
          <w:sz w:val="24"/>
          <w:szCs w:val="24"/>
          <w:u w:val="single"/>
        </w:rPr>
        <w:t xml:space="preserve">      </w:t>
      </w:r>
      <w:r>
        <w:rPr>
          <w:rFonts w:hint="eastAsia" w:ascii="宋体" w:hAnsi="宋体"/>
          <w:sz w:val="24"/>
          <w:szCs w:val="24"/>
        </w:rPr>
        <w:t xml:space="preserve"> 职称</w:t>
      </w:r>
      <w:r>
        <w:rPr>
          <w:rFonts w:hint="eastAsia" w:ascii="宋体" w:hAnsi="宋体"/>
          <w:sz w:val="24"/>
          <w:szCs w:val="24"/>
          <w:u w:val="single"/>
        </w:rPr>
        <w:t xml:space="preserve">             </w:t>
      </w:r>
      <w:r>
        <w:rPr>
          <w:rFonts w:hint="eastAsia" w:ascii="宋体" w:hAnsi="宋体"/>
          <w:sz w:val="24"/>
          <w:szCs w:val="24"/>
        </w:rPr>
        <w:t>身份证号码</w:t>
      </w:r>
      <w:r>
        <w:rPr>
          <w:rFonts w:hint="eastAsia" w:ascii="宋体" w:hAnsi="宋体"/>
          <w:sz w:val="24"/>
          <w:szCs w:val="24"/>
          <w:u w:val="single"/>
        </w:rPr>
        <w:t xml:space="preserve">           </w:t>
      </w:r>
    </w:p>
    <w:p>
      <w:pPr>
        <w:snapToGrid w:val="0"/>
        <w:spacing w:line="520" w:lineRule="exact"/>
        <w:ind w:firstLine="480" w:firstLineChars="200"/>
        <w:rPr>
          <w:rFonts w:ascii="宋体" w:hAnsi="宋体"/>
          <w:sz w:val="24"/>
          <w:szCs w:val="24"/>
        </w:rPr>
      </w:pPr>
      <w:r>
        <w:rPr>
          <w:rFonts w:hint="eastAsia" w:ascii="宋体" w:hAnsi="宋体"/>
          <w:sz w:val="24"/>
          <w:szCs w:val="24"/>
        </w:rPr>
        <w:t>②现场负责人：姓名</w:t>
      </w:r>
      <w:r>
        <w:rPr>
          <w:rFonts w:hint="eastAsia" w:ascii="宋体" w:hAnsi="宋体"/>
          <w:sz w:val="24"/>
          <w:szCs w:val="24"/>
          <w:u w:val="single"/>
        </w:rPr>
        <w:t xml:space="preserve">       </w:t>
      </w:r>
      <w:r>
        <w:rPr>
          <w:rFonts w:hint="eastAsia" w:ascii="宋体" w:hAnsi="宋体"/>
          <w:sz w:val="24"/>
          <w:szCs w:val="24"/>
        </w:rPr>
        <w:t>职称或资格</w:t>
      </w:r>
      <w:r>
        <w:rPr>
          <w:rFonts w:hint="eastAsia" w:ascii="宋体" w:hAnsi="宋体"/>
          <w:sz w:val="24"/>
          <w:szCs w:val="24"/>
          <w:u w:val="single"/>
        </w:rPr>
        <w:t xml:space="preserve">       </w:t>
      </w:r>
      <w:r>
        <w:rPr>
          <w:rFonts w:hint="eastAsia" w:ascii="宋体" w:hAnsi="宋体"/>
          <w:sz w:val="24"/>
          <w:szCs w:val="24"/>
        </w:rPr>
        <w:t>身份证号码</w:t>
      </w:r>
      <w:r>
        <w:rPr>
          <w:rFonts w:hint="eastAsia" w:ascii="宋体" w:hAnsi="宋体"/>
          <w:sz w:val="24"/>
          <w:szCs w:val="24"/>
          <w:u w:val="single"/>
        </w:rPr>
        <w:t xml:space="preserve">           </w:t>
      </w:r>
    </w:p>
    <w:p>
      <w:pPr>
        <w:snapToGrid w:val="0"/>
        <w:spacing w:line="520" w:lineRule="exact"/>
        <w:ind w:firstLine="480" w:firstLineChars="200"/>
        <w:rPr>
          <w:rFonts w:ascii="宋体" w:hAnsi="宋体"/>
          <w:sz w:val="24"/>
          <w:szCs w:val="24"/>
        </w:rPr>
      </w:pPr>
      <w:r>
        <w:rPr>
          <w:rFonts w:hint="eastAsia" w:ascii="宋体" w:hAnsi="宋体"/>
          <w:sz w:val="24"/>
          <w:szCs w:val="24"/>
        </w:rPr>
        <w:t>③技术工：</w:t>
      </w:r>
    </w:p>
    <w:p>
      <w:pPr>
        <w:snapToGrid w:val="0"/>
        <w:spacing w:line="520" w:lineRule="exact"/>
        <w:ind w:firstLine="480" w:firstLineChars="200"/>
        <w:rPr>
          <w:rFonts w:ascii="宋体" w:hAnsi="宋体"/>
          <w:sz w:val="24"/>
          <w:szCs w:val="24"/>
        </w:rPr>
      </w:pPr>
      <w:r>
        <w:rPr>
          <w:rFonts w:hint="eastAsia" w:ascii="宋体" w:hAnsi="宋体"/>
          <w:sz w:val="24"/>
          <w:szCs w:val="24"/>
        </w:rPr>
        <w:t>姓名</w:t>
      </w:r>
      <w:r>
        <w:rPr>
          <w:rFonts w:hint="eastAsia" w:ascii="宋体" w:hAnsi="宋体"/>
          <w:sz w:val="24"/>
          <w:szCs w:val="24"/>
          <w:u w:val="single"/>
        </w:rPr>
        <w:t xml:space="preserve">             </w:t>
      </w:r>
      <w:r>
        <w:rPr>
          <w:rFonts w:hint="eastAsia" w:ascii="宋体" w:hAnsi="宋体"/>
          <w:sz w:val="24"/>
          <w:szCs w:val="24"/>
        </w:rPr>
        <w:t>资格</w:t>
      </w:r>
      <w:r>
        <w:rPr>
          <w:rFonts w:hint="eastAsia" w:ascii="宋体" w:hAnsi="宋体"/>
          <w:sz w:val="24"/>
          <w:szCs w:val="24"/>
          <w:u w:val="single"/>
        </w:rPr>
        <w:t xml:space="preserve">               </w:t>
      </w:r>
      <w:r>
        <w:rPr>
          <w:rFonts w:hint="eastAsia" w:ascii="宋体" w:hAnsi="宋体"/>
          <w:sz w:val="24"/>
          <w:szCs w:val="24"/>
        </w:rPr>
        <w:t>身份证号码</w:t>
      </w:r>
      <w:r>
        <w:rPr>
          <w:rFonts w:hint="eastAsia" w:ascii="宋体" w:hAnsi="宋体"/>
          <w:sz w:val="24"/>
          <w:szCs w:val="24"/>
          <w:u w:val="single"/>
        </w:rPr>
        <w:t xml:space="preserve">                </w:t>
      </w:r>
    </w:p>
    <w:p>
      <w:pPr>
        <w:snapToGrid w:val="0"/>
        <w:spacing w:line="520" w:lineRule="exact"/>
        <w:ind w:firstLine="480" w:firstLineChars="200"/>
        <w:rPr>
          <w:rFonts w:ascii="宋体" w:hAnsi="宋体"/>
          <w:sz w:val="24"/>
          <w:szCs w:val="24"/>
          <w:u w:val="single"/>
        </w:rPr>
      </w:pPr>
      <w:r>
        <w:rPr>
          <w:rFonts w:hint="eastAsia" w:ascii="宋体" w:hAnsi="宋体"/>
          <w:sz w:val="24"/>
          <w:szCs w:val="24"/>
        </w:rPr>
        <w:t>姓名</w:t>
      </w:r>
      <w:r>
        <w:rPr>
          <w:rFonts w:hint="eastAsia" w:ascii="宋体" w:hAnsi="宋体"/>
          <w:sz w:val="24"/>
          <w:szCs w:val="24"/>
          <w:u w:val="single"/>
        </w:rPr>
        <w:t xml:space="preserve">             </w:t>
      </w:r>
      <w:r>
        <w:rPr>
          <w:rFonts w:hint="eastAsia" w:ascii="宋体" w:hAnsi="宋体"/>
          <w:sz w:val="24"/>
          <w:szCs w:val="24"/>
        </w:rPr>
        <w:t>资格</w:t>
      </w:r>
      <w:r>
        <w:rPr>
          <w:rFonts w:hint="eastAsia" w:ascii="宋体" w:hAnsi="宋体"/>
          <w:sz w:val="24"/>
          <w:szCs w:val="24"/>
          <w:u w:val="single"/>
        </w:rPr>
        <w:t xml:space="preserve">             </w:t>
      </w:r>
      <w:r>
        <w:rPr>
          <w:rFonts w:hint="eastAsia" w:ascii="宋体" w:hAnsi="宋体"/>
          <w:sz w:val="24"/>
          <w:szCs w:val="24"/>
        </w:rPr>
        <w:t xml:space="preserve">  身份证号码</w:t>
      </w:r>
      <w:r>
        <w:rPr>
          <w:rFonts w:hint="eastAsia" w:ascii="宋体" w:hAnsi="宋体"/>
          <w:sz w:val="24"/>
          <w:szCs w:val="24"/>
          <w:u w:val="single"/>
        </w:rPr>
        <w:t xml:space="preserve">                </w:t>
      </w:r>
    </w:p>
    <w:p>
      <w:pPr>
        <w:snapToGrid w:val="0"/>
        <w:spacing w:line="520" w:lineRule="exact"/>
        <w:ind w:firstLine="480" w:firstLineChars="200"/>
        <w:rPr>
          <w:rFonts w:ascii="宋体" w:hAnsi="宋体"/>
          <w:sz w:val="24"/>
          <w:szCs w:val="24"/>
          <w:u w:val="single"/>
        </w:rPr>
      </w:pPr>
      <w:r>
        <w:rPr>
          <w:rFonts w:hint="eastAsia" w:ascii="宋体" w:hAnsi="宋体"/>
          <w:sz w:val="24"/>
          <w:szCs w:val="24"/>
        </w:rPr>
        <w:t>姓名</w:t>
      </w:r>
      <w:r>
        <w:rPr>
          <w:rFonts w:hint="eastAsia" w:ascii="宋体" w:hAnsi="宋体"/>
          <w:sz w:val="24"/>
          <w:szCs w:val="24"/>
          <w:u w:val="single"/>
        </w:rPr>
        <w:t xml:space="preserve">             </w:t>
      </w:r>
      <w:r>
        <w:rPr>
          <w:rFonts w:hint="eastAsia" w:ascii="宋体" w:hAnsi="宋体"/>
          <w:sz w:val="24"/>
          <w:szCs w:val="24"/>
        </w:rPr>
        <w:t>资格</w:t>
      </w:r>
      <w:r>
        <w:rPr>
          <w:rFonts w:hint="eastAsia" w:ascii="宋体" w:hAnsi="宋体"/>
          <w:sz w:val="24"/>
          <w:szCs w:val="24"/>
          <w:u w:val="single"/>
        </w:rPr>
        <w:t xml:space="preserve">             </w:t>
      </w:r>
      <w:r>
        <w:rPr>
          <w:rFonts w:hint="eastAsia" w:ascii="宋体" w:hAnsi="宋体"/>
          <w:sz w:val="24"/>
          <w:szCs w:val="24"/>
        </w:rPr>
        <w:t xml:space="preserve">  身份证号码</w:t>
      </w:r>
      <w:r>
        <w:rPr>
          <w:rFonts w:hint="eastAsia" w:ascii="宋体" w:hAnsi="宋体"/>
          <w:sz w:val="24"/>
          <w:szCs w:val="24"/>
          <w:u w:val="single"/>
        </w:rPr>
        <w:t xml:space="preserve">                </w:t>
      </w:r>
    </w:p>
    <w:p>
      <w:pPr>
        <w:snapToGrid w:val="0"/>
        <w:spacing w:line="520" w:lineRule="exact"/>
        <w:ind w:firstLine="480" w:firstLineChars="200"/>
        <w:rPr>
          <w:rFonts w:ascii="宋体" w:hAnsi="宋体"/>
          <w:sz w:val="24"/>
          <w:szCs w:val="24"/>
          <w:u w:val="single"/>
        </w:rPr>
      </w:pPr>
      <w:r>
        <w:rPr>
          <w:rFonts w:hint="eastAsia" w:ascii="宋体" w:hAnsi="宋体"/>
          <w:sz w:val="24"/>
          <w:szCs w:val="24"/>
        </w:rPr>
        <w:t>姓名</w:t>
      </w:r>
      <w:r>
        <w:rPr>
          <w:rFonts w:hint="eastAsia" w:ascii="宋体" w:hAnsi="宋体"/>
          <w:sz w:val="24"/>
          <w:szCs w:val="24"/>
          <w:u w:val="single"/>
        </w:rPr>
        <w:t xml:space="preserve">             </w:t>
      </w:r>
      <w:r>
        <w:rPr>
          <w:rFonts w:hint="eastAsia" w:ascii="宋体" w:hAnsi="宋体"/>
          <w:sz w:val="24"/>
          <w:szCs w:val="24"/>
        </w:rPr>
        <w:t>资格</w:t>
      </w:r>
      <w:r>
        <w:rPr>
          <w:rFonts w:hint="eastAsia" w:ascii="宋体" w:hAnsi="宋体"/>
          <w:sz w:val="24"/>
          <w:szCs w:val="24"/>
          <w:u w:val="single"/>
        </w:rPr>
        <w:t xml:space="preserve">             </w:t>
      </w:r>
      <w:r>
        <w:rPr>
          <w:rFonts w:hint="eastAsia" w:ascii="宋体" w:hAnsi="宋体"/>
          <w:sz w:val="24"/>
          <w:szCs w:val="24"/>
        </w:rPr>
        <w:t xml:space="preserve">  身份证号码</w:t>
      </w:r>
      <w:r>
        <w:rPr>
          <w:rFonts w:hint="eastAsia" w:ascii="宋体" w:hAnsi="宋体"/>
          <w:sz w:val="24"/>
          <w:szCs w:val="24"/>
          <w:u w:val="single"/>
        </w:rPr>
        <w:t xml:space="preserve">                </w:t>
      </w:r>
    </w:p>
    <w:p>
      <w:pPr>
        <w:snapToGrid w:val="0"/>
        <w:spacing w:line="520" w:lineRule="exact"/>
        <w:ind w:firstLine="480" w:firstLineChars="200"/>
        <w:rPr>
          <w:rFonts w:ascii="宋体" w:hAnsi="宋体"/>
          <w:sz w:val="24"/>
          <w:szCs w:val="24"/>
          <w:u w:val="single"/>
        </w:rPr>
      </w:pPr>
      <w:r>
        <w:rPr>
          <w:rFonts w:hint="eastAsia" w:ascii="宋体" w:hAnsi="宋体"/>
          <w:sz w:val="24"/>
          <w:szCs w:val="24"/>
        </w:rPr>
        <w:t>姓名</w:t>
      </w:r>
      <w:r>
        <w:rPr>
          <w:rFonts w:hint="eastAsia" w:ascii="宋体" w:hAnsi="宋体"/>
          <w:sz w:val="24"/>
          <w:szCs w:val="24"/>
          <w:u w:val="single"/>
        </w:rPr>
        <w:t xml:space="preserve">             </w:t>
      </w:r>
      <w:r>
        <w:rPr>
          <w:rFonts w:hint="eastAsia" w:ascii="宋体" w:hAnsi="宋体"/>
          <w:sz w:val="24"/>
          <w:szCs w:val="24"/>
        </w:rPr>
        <w:t>资格</w:t>
      </w:r>
      <w:r>
        <w:rPr>
          <w:rFonts w:hint="eastAsia" w:ascii="宋体" w:hAnsi="宋体"/>
          <w:sz w:val="24"/>
          <w:szCs w:val="24"/>
          <w:u w:val="single"/>
        </w:rPr>
        <w:t xml:space="preserve">             </w:t>
      </w:r>
      <w:r>
        <w:rPr>
          <w:rFonts w:hint="eastAsia" w:ascii="宋体" w:hAnsi="宋体"/>
          <w:sz w:val="24"/>
          <w:szCs w:val="24"/>
        </w:rPr>
        <w:t xml:space="preserve">  身份证号码</w:t>
      </w:r>
      <w:r>
        <w:rPr>
          <w:rFonts w:hint="eastAsia" w:ascii="宋体" w:hAnsi="宋体"/>
          <w:sz w:val="24"/>
          <w:szCs w:val="24"/>
          <w:u w:val="single"/>
        </w:rPr>
        <w:t xml:space="preserve">                </w:t>
      </w:r>
    </w:p>
    <w:p>
      <w:pPr>
        <w:pStyle w:val="2"/>
        <w:ind w:left="63" w:right="63"/>
      </w:pPr>
    </w:p>
    <w:p>
      <w:pPr>
        <w:snapToGrid w:val="0"/>
        <w:spacing w:line="360" w:lineRule="auto"/>
        <w:ind w:firstLine="482" w:firstLineChars="200"/>
        <w:rPr>
          <w:rFonts w:ascii="宋体" w:hAnsi="宋体"/>
          <w:b/>
          <w:sz w:val="24"/>
          <w:szCs w:val="24"/>
        </w:rPr>
      </w:pPr>
      <w:r>
        <w:rPr>
          <w:rFonts w:ascii="宋体" w:hAnsi="宋体"/>
          <w:b/>
          <w:sz w:val="24"/>
          <w:szCs w:val="24"/>
        </w:rPr>
        <w:t>2</w:t>
      </w:r>
      <w:r>
        <w:rPr>
          <w:rFonts w:hint="eastAsia" w:ascii="宋体" w:hAnsi="宋体"/>
          <w:b/>
          <w:sz w:val="24"/>
          <w:szCs w:val="24"/>
        </w:rPr>
        <w:t>.</w:t>
      </w:r>
      <w:r>
        <w:rPr>
          <w:rFonts w:ascii="宋体" w:hAnsi="宋体"/>
          <w:b/>
          <w:sz w:val="24"/>
          <w:szCs w:val="24"/>
        </w:rPr>
        <w:t>管理要求</w:t>
      </w:r>
    </w:p>
    <w:p>
      <w:pPr>
        <w:snapToGrid w:val="0"/>
        <w:spacing w:line="520" w:lineRule="exact"/>
        <w:ind w:firstLine="482" w:firstLineChars="200"/>
        <w:rPr>
          <w:rFonts w:ascii="宋体" w:hAnsi="宋体"/>
          <w:b/>
          <w:sz w:val="24"/>
          <w:szCs w:val="24"/>
        </w:rPr>
      </w:pPr>
      <w:r>
        <w:rPr>
          <w:rFonts w:hint="eastAsia" w:ascii="宋体" w:hAnsi="宋体"/>
          <w:b/>
          <w:sz w:val="24"/>
          <w:szCs w:val="24"/>
        </w:rPr>
        <w:t>（</w:t>
      </w:r>
      <w:r>
        <w:rPr>
          <w:rFonts w:ascii="宋体" w:hAnsi="宋体"/>
          <w:b/>
          <w:sz w:val="24"/>
          <w:szCs w:val="24"/>
        </w:rPr>
        <w:t>1）</w:t>
      </w:r>
      <w:r>
        <w:rPr>
          <w:rFonts w:hint="eastAsia" w:ascii="宋体" w:hAnsi="宋体"/>
          <w:b/>
          <w:sz w:val="24"/>
          <w:szCs w:val="24"/>
        </w:rPr>
        <w:t>项目负责人、现场负责人</w:t>
      </w:r>
    </w:p>
    <w:p>
      <w:pPr>
        <w:snapToGrid w:val="0"/>
        <w:spacing w:line="520" w:lineRule="exact"/>
        <w:ind w:firstLine="480" w:firstLineChars="200"/>
        <w:rPr>
          <w:rFonts w:ascii="宋体" w:hAnsi="宋体"/>
          <w:strike/>
          <w:sz w:val="24"/>
          <w:szCs w:val="24"/>
        </w:rPr>
      </w:pPr>
      <w:r>
        <w:rPr>
          <w:rFonts w:hint="eastAsia" w:ascii="宋体" w:hAnsi="宋体"/>
          <w:sz w:val="24"/>
          <w:szCs w:val="24"/>
        </w:rPr>
        <w:t>项目负责人每月出勤不得少于</w:t>
      </w:r>
      <w:r>
        <w:rPr>
          <w:rFonts w:ascii="宋体" w:hAnsi="宋体"/>
          <w:sz w:val="24"/>
          <w:szCs w:val="24"/>
        </w:rPr>
        <w:t>12</w:t>
      </w:r>
      <w:r>
        <w:rPr>
          <w:rFonts w:hint="eastAsia" w:ascii="宋体" w:hAnsi="宋体"/>
          <w:sz w:val="24"/>
          <w:szCs w:val="24"/>
        </w:rPr>
        <w:t>天、项目现场负责人每月出勤不得少于22天，项目负责人、项目现场负责人每天至少一人在岗。项目负责人、项目现场负责人不得擅自变更，如确因生病、离职等原因需要变更的，应提前一周以书面形式向发包人提出变更申请，拟替换人员资格不得低于原人员资格条件。变更申请经发包人同意后生效，并在变更后一周内，向市园林绿化行政主管部门备案。</w:t>
      </w:r>
    </w:p>
    <w:p>
      <w:pPr>
        <w:snapToGrid w:val="0"/>
        <w:spacing w:line="520" w:lineRule="exact"/>
        <w:ind w:firstLine="480" w:firstLineChars="200"/>
        <w:rPr>
          <w:rFonts w:ascii="宋体" w:hAnsi="宋体"/>
          <w:sz w:val="24"/>
          <w:szCs w:val="24"/>
        </w:rPr>
      </w:pPr>
      <w:r>
        <w:rPr>
          <w:rFonts w:hint="eastAsia" w:ascii="宋体" w:hAnsi="宋体"/>
          <w:sz w:val="24"/>
          <w:szCs w:val="24"/>
        </w:rPr>
        <w:t>合同期间，</w:t>
      </w:r>
      <w:r>
        <w:rPr>
          <w:rFonts w:hint="eastAsia" w:ascii="宋体" w:hAnsi="宋体"/>
          <w:b/>
          <w:sz w:val="24"/>
          <w:szCs w:val="24"/>
        </w:rPr>
        <w:t>项目负责人或项目现场负责人除离职等不可抗力因素，不得随意变更</w:t>
      </w:r>
      <w:r>
        <w:rPr>
          <w:rFonts w:hint="eastAsia" w:ascii="宋体" w:hAnsi="宋体"/>
          <w:sz w:val="24"/>
          <w:szCs w:val="24"/>
        </w:rPr>
        <w:t>。确需变更的，原则上不得超过</w:t>
      </w:r>
      <w:r>
        <w:rPr>
          <w:rFonts w:ascii="宋体" w:hAnsi="宋体"/>
          <w:sz w:val="24"/>
          <w:szCs w:val="24"/>
        </w:rPr>
        <w:t>2次。变更前的</w:t>
      </w:r>
      <w:r>
        <w:rPr>
          <w:rFonts w:hint="eastAsia" w:ascii="宋体" w:hAnsi="宋体"/>
          <w:sz w:val="24"/>
          <w:szCs w:val="24"/>
        </w:rPr>
        <w:t>项目负责人、项目现场负责人自变更审核通过后一年内，不得参与发包人组织的任何养护招标活动。</w:t>
      </w:r>
    </w:p>
    <w:p>
      <w:pPr>
        <w:snapToGrid w:val="0"/>
        <w:spacing w:line="520" w:lineRule="exact"/>
        <w:ind w:firstLine="482" w:firstLineChars="200"/>
        <w:rPr>
          <w:rFonts w:ascii="宋体" w:hAnsi="宋体"/>
          <w:b/>
          <w:sz w:val="24"/>
          <w:szCs w:val="24"/>
        </w:rPr>
      </w:pPr>
      <w:r>
        <w:rPr>
          <w:rFonts w:hint="eastAsia" w:ascii="宋体" w:hAnsi="宋体"/>
          <w:b/>
          <w:sz w:val="24"/>
          <w:szCs w:val="24"/>
        </w:rPr>
        <w:t>（2）专职巡查员：</w:t>
      </w:r>
      <w:r>
        <w:rPr>
          <w:rFonts w:hint="eastAsia" w:ascii="宋体" w:hAnsi="宋体"/>
          <w:sz w:val="24"/>
          <w:szCs w:val="24"/>
        </w:rPr>
        <w:t>合同期间除离职等不可抗力因素，不得随意变更。</w:t>
      </w:r>
    </w:p>
    <w:p>
      <w:pPr>
        <w:snapToGrid w:val="0"/>
        <w:spacing w:line="520" w:lineRule="exact"/>
        <w:ind w:firstLine="482" w:firstLineChars="200"/>
        <w:rPr>
          <w:rFonts w:ascii="宋体" w:hAnsi="宋体"/>
          <w:sz w:val="24"/>
          <w:szCs w:val="24"/>
        </w:rPr>
      </w:pPr>
      <w:r>
        <w:rPr>
          <w:rFonts w:hint="eastAsia" w:ascii="宋体" w:hAnsi="宋体"/>
          <w:b/>
          <w:sz w:val="24"/>
          <w:szCs w:val="24"/>
        </w:rPr>
        <w:t>（3</w:t>
      </w:r>
      <w:r>
        <w:rPr>
          <w:rFonts w:ascii="宋体" w:hAnsi="宋体"/>
          <w:b/>
          <w:sz w:val="24"/>
          <w:szCs w:val="24"/>
        </w:rPr>
        <w:t>）</w:t>
      </w:r>
      <w:r>
        <w:rPr>
          <w:rFonts w:hint="eastAsia" w:ascii="宋体" w:hAnsi="宋体"/>
          <w:b/>
          <w:sz w:val="24"/>
          <w:szCs w:val="24"/>
        </w:rPr>
        <w:t>养护作业人员</w:t>
      </w:r>
      <w:r>
        <w:rPr>
          <w:rFonts w:hint="eastAsia" w:ascii="宋体" w:hAnsi="宋体"/>
          <w:bCs/>
          <w:sz w:val="24"/>
          <w:szCs w:val="24"/>
        </w:rPr>
        <w:t>（含上述5名技术工）</w:t>
      </w:r>
    </w:p>
    <w:p>
      <w:pPr>
        <w:snapToGrid w:val="0"/>
        <w:spacing w:line="520" w:lineRule="exact"/>
        <w:ind w:firstLine="480" w:firstLineChars="200"/>
        <w:rPr>
          <w:rFonts w:ascii="宋体" w:hAnsi="宋体"/>
          <w:sz w:val="24"/>
          <w:szCs w:val="24"/>
        </w:rPr>
      </w:pPr>
      <w:r>
        <w:rPr>
          <w:rFonts w:hint="eastAsia" w:ascii="宋体" w:hAnsi="宋体"/>
          <w:sz w:val="24"/>
          <w:szCs w:val="24"/>
        </w:rPr>
        <w:t>一线养护作业人员配备数量：</w:t>
      </w:r>
    </w:p>
    <w:p>
      <w:pPr>
        <w:snapToGrid w:val="0"/>
        <w:spacing w:line="520" w:lineRule="exact"/>
        <w:ind w:firstLine="480" w:firstLineChars="200"/>
        <w:rPr>
          <w:rFonts w:ascii="宋体" w:hAnsi="宋体"/>
          <w:sz w:val="24"/>
          <w:szCs w:val="24"/>
        </w:rPr>
      </w:pPr>
      <w:r>
        <w:rPr>
          <w:rFonts w:hint="eastAsia" w:ascii="宋体" w:hAnsi="宋体"/>
          <w:sz w:val="24"/>
          <w:szCs w:val="24"/>
        </w:rPr>
        <w:t>生长季不得少于15人；休眠期不得少于生长季的60%即9人。</w:t>
      </w:r>
    </w:p>
    <w:p>
      <w:pPr>
        <w:snapToGrid w:val="0"/>
        <w:spacing w:line="520" w:lineRule="exact"/>
        <w:ind w:firstLine="480" w:firstLineChars="200"/>
        <w:rPr>
          <w:rFonts w:ascii="宋体" w:hAnsi="宋体"/>
          <w:bCs/>
          <w:sz w:val="24"/>
          <w:szCs w:val="24"/>
        </w:rPr>
      </w:pPr>
      <w:r>
        <w:rPr>
          <w:rFonts w:hint="eastAsia" w:ascii="宋体" w:hAnsi="宋体"/>
          <w:bCs/>
          <w:sz w:val="24"/>
          <w:szCs w:val="24"/>
        </w:rPr>
        <w:t>上述所有人员均须配备移动终端或专用手环，支持对接我处园林绿化养护精细化管理平台，实行在线在岗考勤，人员信息录入智慧园林系统，接受动态监管。根据市场调研，满足我处平台系统要求的手环价格不低于250元/只，流量费约20元/只·年，维护费10元/只·年。费用由管护单位承担，投标报价时应予充分考虑。</w:t>
      </w:r>
      <w:r>
        <w:rPr>
          <w:rFonts w:hint="eastAsia" w:ascii="宋体" w:hAnsi="宋体"/>
          <w:sz w:val="24"/>
          <w:szCs w:val="24"/>
        </w:rPr>
        <w:t>项目负责人、现场负责人必须保持手机</w:t>
      </w:r>
      <w:r>
        <w:rPr>
          <w:rFonts w:ascii="宋体" w:hAnsi="宋体"/>
          <w:sz w:val="24"/>
          <w:szCs w:val="24"/>
        </w:rPr>
        <w:t>24小时畅通</w:t>
      </w:r>
      <w:r>
        <w:rPr>
          <w:rFonts w:hint="eastAsia" w:ascii="宋体" w:hAnsi="宋体"/>
          <w:sz w:val="24"/>
          <w:szCs w:val="24"/>
        </w:rPr>
        <w:t>。</w:t>
      </w:r>
    </w:p>
    <w:p>
      <w:pPr>
        <w:snapToGrid w:val="0"/>
        <w:spacing w:line="520" w:lineRule="exact"/>
        <w:ind w:firstLine="480" w:firstLineChars="200"/>
        <w:rPr>
          <w:rFonts w:ascii="宋体" w:hAnsi="宋体"/>
          <w:sz w:val="24"/>
          <w:szCs w:val="24"/>
        </w:rPr>
      </w:pPr>
      <w:r>
        <w:rPr>
          <w:rFonts w:hint="eastAsia" w:ascii="宋体" w:hAnsi="宋体"/>
          <w:sz w:val="24"/>
          <w:szCs w:val="24"/>
        </w:rPr>
        <w:t>①项目负责人（现场负责人）按规定要求在系统内考勤，考勤时间原则上上午8:30之前、下午5:00以后，具体时间以我处通知为准，不在规定时间考勤的，视为缺勤。</w:t>
      </w:r>
    </w:p>
    <w:p>
      <w:pPr>
        <w:snapToGrid w:val="0"/>
        <w:spacing w:line="520" w:lineRule="exact"/>
        <w:ind w:firstLine="480" w:firstLineChars="200"/>
        <w:rPr>
          <w:rFonts w:ascii="宋体" w:hAnsi="宋体"/>
          <w:sz w:val="24"/>
          <w:szCs w:val="24"/>
        </w:rPr>
      </w:pPr>
      <w:r>
        <w:rPr>
          <w:rFonts w:hint="eastAsia" w:ascii="宋体" w:hAnsi="宋体"/>
          <w:sz w:val="24"/>
          <w:szCs w:val="24"/>
        </w:rPr>
        <w:t>②考勤必须在所管辖的绿地现场有明显识别特征的地方，以自拍照为准，考勤照片未显示人员头像信息的，视为缺勤。如遇开会、外出办事等特殊情况，无法在管护绿地打卡的，需在考勤时备注。</w:t>
      </w:r>
    </w:p>
    <w:p>
      <w:pPr>
        <w:snapToGrid w:val="0"/>
        <w:spacing w:line="520" w:lineRule="exact"/>
        <w:ind w:firstLine="480" w:firstLineChars="200"/>
        <w:rPr>
          <w:rFonts w:ascii="宋体" w:hAnsi="宋体"/>
          <w:bCs/>
          <w:sz w:val="24"/>
          <w:szCs w:val="24"/>
        </w:rPr>
      </w:pPr>
      <w:r>
        <w:rPr>
          <w:rFonts w:hint="eastAsia" w:ascii="宋体" w:hAnsi="宋体"/>
          <w:sz w:val="24"/>
          <w:szCs w:val="24"/>
        </w:rPr>
        <w:t>③因故请假的，须在系统内及时提交申请并联系业主代表审核。无特殊原因，不接受书面请假申请。</w:t>
      </w:r>
    </w:p>
    <w:p>
      <w:pPr>
        <w:snapToGrid w:val="0"/>
        <w:spacing w:line="520" w:lineRule="exact"/>
        <w:ind w:firstLine="480" w:firstLineChars="200"/>
        <w:rPr>
          <w:rFonts w:ascii="宋体" w:hAnsi="宋体"/>
          <w:sz w:val="24"/>
          <w:szCs w:val="24"/>
        </w:rPr>
      </w:pPr>
      <w:r>
        <w:rPr>
          <w:rFonts w:hint="eastAsia" w:ascii="宋体" w:hAnsi="宋体"/>
          <w:sz w:val="24"/>
          <w:szCs w:val="24"/>
        </w:rPr>
        <w:t>④同一标段所有养护作业人员需统一着装、统一标识，所需费用由管护单位自理。</w:t>
      </w:r>
    </w:p>
    <w:p>
      <w:pPr>
        <w:snapToGrid w:val="0"/>
        <w:spacing w:line="520" w:lineRule="exact"/>
        <w:ind w:firstLine="480" w:firstLineChars="200"/>
        <w:rPr>
          <w:rFonts w:ascii="宋体" w:hAnsi="宋体"/>
          <w:sz w:val="24"/>
          <w:szCs w:val="24"/>
        </w:rPr>
      </w:pPr>
      <w:r>
        <w:rPr>
          <w:rFonts w:hint="eastAsia" w:ascii="宋体" w:hAnsi="宋体"/>
          <w:sz w:val="24"/>
          <w:szCs w:val="24"/>
        </w:rPr>
        <w:t>（4）管护单位应安排专人，对绿地内损绿毁绿、养护情况进行全面巡查；管护单位巡查员与绿化处专职巡查员应密切配合，确保每日（特别是节假日）有专人全覆盖巡查。</w:t>
      </w:r>
    </w:p>
    <w:p>
      <w:pPr>
        <w:snapToGrid w:val="0"/>
        <w:spacing w:line="520" w:lineRule="exact"/>
        <w:ind w:firstLine="482" w:firstLineChars="200"/>
        <w:rPr>
          <w:rFonts w:ascii="宋体" w:hAnsi="宋体"/>
          <w:b/>
          <w:sz w:val="24"/>
          <w:szCs w:val="24"/>
        </w:rPr>
      </w:pPr>
      <w:r>
        <w:rPr>
          <w:rFonts w:hint="eastAsia" w:ascii="宋体" w:hAnsi="宋体"/>
          <w:b/>
          <w:sz w:val="24"/>
          <w:szCs w:val="24"/>
        </w:rPr>
        <w:t>（二）机械设备管理</w:t>
      </w:r>
    </w:p>
    <w:p>
      <w:pPr>
        <w:snapToGrid w:val="0"/>
        <w:spacing w:line="520" w:lineRule="exact"/>
        <w:ind w:firstLine="480" w:firstLineChars="200"/>
        <w:rPr>
          <w:rFonts w:ascii="宋体" w:hAnsi="宋体"/>
          <w:sz w:val="24"/>
          <w:szCs w:val="24"/>
        </w:rPr>
      </w:pPr>
      <w:r>
        <w:rPr>
          <w:rFonts w:hint="eastAsia" w:ascii="宋体" w:hAnsi="宋体"/>
          <w:sz w:val="24"/>
          <w:szCs w:val="24"/>
        </w:rPr>
        <w:t>根据《南通市城市绿化养护质量等级标准（试行）》《南通市园林绿化管理处防台防汛应急预案》相关规定和投标文件承诺，承包人应在合同签订前，向发包人提供本项目投入机械设备清单（巡查车、洒水车、吊车或随车吊、高空作业车、绿篱修剪机、草坪修剪机等必要的机械、工具）；防台防汛、高温抗旱、防寒防冻等应急期间，承包人应按</w:t>
      </w:r>
      <w:r>
        <w:rPr>
          <w:rFonts w:ascii="宋体" w:hAnsi="宋体"/>
          <w:sz w:val="24"/>
          <w:szCs w:val="24"/>
        </w:rPr>
        <w:t>发包人统一要求，对</w:t>
      </w:r>
      <w:r>
        <w:rPr>
          <w:rFonts w:hint="eastAsia" w:ascii="宋体" w:hAnsi="宋体"/>
          <w:sz w:val="24"/>
          <w:szCs w:val="24"/>
        </w:rPr>
        <w:t>指定机械</w:t>
      </w:r>
      <w:r>
        <w:rPr>
          <w:rFonts w:ascii="宋体" w:hAnsi="宋体"/>
          <w:sz w:val="24"/>
          <w:szCs w:val="24"/>
        </w:rPr>
        <w:t>设备集中管理</w:t>
      </w:r>
      <w:r>
        <w:rPr>
          <w:rFonts w:hint="eastAsia" w:ascii="宋体" w:hAnsi="宋体"/>
          <w:sz w:val="24"/>
          <w:szCs w:val="24"/>
        </w:rPr>
        <w:t>。</w:t>
      </w:r>
    </w:p>
    <w:p>
      <w:pPr>
        <w:snapToGrid w:val="0"/>
        <w:spacing w:line="520" w:lineRule="exact"/>
        <w:ind w:firstLine="480" w:firstLineChars="200"/>
        <w:rPr>
          <w:rFonts w:ascii="宋体" w:hAnsi="宋体"/>
          <w:sz w:val="24"/>
          <w:szCs w:val="24"/>
        </w:rPr>
      </w:pPr>
      <w:r>
        <w:rPr>
          <w:rFonts w:hint="eastAsia" w:ascii="宋体" w:hAnsi="宋体"/>
          <w:sz w:val="24"/>
          <w:szCs w:val="24"/>
        </w:rPr>
        <w:t>机动车辆及主要设备不得无故变更，如确因报废、受损等原因需要变更的，承包人应书面提出变更申请，经发包人同意后调整到位。变更设备相关技术参数和性能状况不得低于原备案设备性能。</w:t>
      </w:r>
    </w:p>
    <w:p>
      <w:pPr>
        <w:snapToGrid w:val="0"/>
        <w:spacing w:line="520" w:lineRule="exact"/>
        <w:ind w:firstLine="480" w:firstLineChars="200"/>
        <w:rPr>
          <w:rFonts w:ascii="宋体" w:hAnsi="宋体"/>
          <w:sz w:val="24"/>
          <w:szCs w:val="24"/>
        </w:rPr>
      </w:pPr>
      <w:r>
        <w:rPr>
          <w:rFonts w:hint="eastAsia" w:ascii="宋体" w:hAnsi="宋体"/>
          <w:sz w:val="24"/>
          <w:szCs w:val="24"/>
        </w:rPr>
        <w:t>必须配备吊车（或随车吊）1辆，中标后向发包方提供自有发票或租赁合同。</w:t>
      </w:r>
    </w:p>
    <w:p>
      <w:pPr>
        <w:snapToGrid w:val="0"/>
        <w:spacing w:line="520" w:lineRule="exact"/>
        <w:ind w:firstLine="480" w:firstLineChars="200"/>
        <w:rPr>
          <w:rFonts w:ascii="宋体" w:hAnsi="宋体"/>
          <w:sz w:val="24"/>
          <w:szCs w:val="24"/>
        </w:rPr>
      </w:pPr>
      <w:r>
        <w:rPr>
          <w:rFonts w:hint="eastAsia" w:ascii="宋体" w:hAnsi="宋体"/>
          <w:sz w:val="24"/>
          <w:szCs w:val="24"/>
        </w:rPr>
        <w:t>承包人在签订合同前必须配备一台功率不小于</w:t>
      </w:r>
      <w:r>
        <w:rPr>
          <w:rFonts w:ascii="宋体" w:hAnsi="宋体"/>
          <w:sz w:val="24"/>
          <w:szCs w:val="24"/>
        </w:rPr>
        <w:t>13马力的移动式树枝粉碎机</w:t>
      </w:r>
      <w:r>
        <w:rPr>
          <w:rFonts w:hint="eastAsia" w:ascii="宋体" w:hAnsi="宋体"/>
          <w:sz w:val="24"/>
          <w:szCs w:val="24"/>
        </w:rPr>
        <w:t>。</w:t>
      </w:r>
    </w:p>
    <w:p>
      <w:pPr>
        <w:snapToGrid w:val="0"/>
        <w:spacing w:line="520" w:lineRule="exact"/>
        <w:ind w:firstLine="482" w:firstLineChars="200"/>
        <w:rPr>
          <w:rFonts w:ascii="宋体" w:hAnsi="宋体"/>
          <w:sz w:val="24"/>
          <w:szCs w:val="24"/>
        </w:rPr>
      </w:pPr>
      <w:r>
        <w:rPr>
          <w:rFonts w:hint="eastAsia" w:ascii="宋体" w:hAnsi="宋体"/>
          <w:b/>
          <w:sz w:val="24"/>
          <w:szCs w:val="24"/>
        </w:rPr>
        <w:t>（三）绿化养护管理</w:t>
      </w:r>
    </w:p>
    <w:p>
      <w:pPr>
        <w:snapToGrid w:val="0"/>
        <w:spacing w:line="520" w:lineRule="exact"/>
        <w:ind w:firstLine="480" w:firstLineChars="200"/>
        <w:rPr>
          <w:rFonts w:ascii="宋体" w:hAnsi="宋体"/>
          <w:sz w:val="24"/>
          <w:szCs w:val="24"/>
        </w:rPr>
      </w:pPr>
      <w:r>
        <w:rPr>
          <w:rFonts w:hint="eastAsia" w:ascii="宋体" w:hAnsi="宋体"/>
          <w:sz w:val="24"/>
          <w:szCs w:val="24"/>
        </w:rPr>
        <w:t>绿化养护主要包括叶面除积尘、浇水、中耕松土、除草、修剪、切边、涂白、支撑加固、扶正、抗旱、排涝、病虫害防治、施肥、防寒、树木补植、绿地保洁、园林废弃物处置等。要求绿地无杂草、树木生长旺盛、无缺株（块），无明显斜倒，无明显病虫害、适时修剪，无枯枝死树，绿地无黄土露天现象，树木无缺株断线等。部分专项管理条款如下：</w:t>
      </w:r>
    </w:p>
    <w:p>
      <w:pPr>
        <w:snapToGrid w:val="0"/>
        <w:spacing w:line="520" w:lineRule="exact"/>
        <w:ind w:firstLine="482" w:firstLineChars="200"/>
        <w:rPr>
          <w:rFonts w:ascii="宋体" w:hAnsi="宋体"/>
          <w:b/>
          <w:sz w:val="24"/>
          <w:szCs w:val="24"/>
        </w:rPr>
      </w:pPr>
      <w:r>
        <w:rPr>
          <w:rFonts w:hint="eastAsia" w:ascii="宋体" w:hAnsi="宋体"/>
          <w:b/>
          <w:sz w:val="24"/>
          <w:szCs w:val="24"/>
        </w:rPr>
        <w:t>1.草坪养护</w:t>
      </w:r>
    </w:p>
    <w:p>
      <w:pPr>
        <w:snapToGrid w:val="0"/>
        <w:spacing w:line="520" w:lineRule="exact"/>
        <w:ind w:firstLine="480" w:firstLineChars="200"/>
        <w:rPr>
          <w:rFonts w:ascii="宋体" w:hAnsi="宋体"/>
          <w:sz w:val="24"/>
          <w:szCs w:val="24"/>
        </w:rPr>
      </w:pPr>
      <w:r>
        <w:rPr>
          <w:rFonts w:hint="eastAsia" w:ascii="宋体" w:hAnsi="宋体"/>
          <w:sz w:val="24"/>
          <w:szCs w:val="24"/>
        </w:rPr>
        <w:t>保持草地色泽正常、地形优美，草坪修剪应根据草坪功能和草种习性定期进行，保持高度一致、边缘整齐；禁止以草坪修剪代替除草作业，避免草坪杂化影响景观效果。5-10月期间，草坪每10-15天应修剪1次，剪草的高度应以功能、草种、季节等因素而定，修剪后高度一般不得低于3cm，且不得明显枯黄；复播草坪应在每年春季底草萌芽时及秋季复播前进行低修剪；</w:t>
      </w:r>
      <w:bookmarkStart w:id="139" w:name="OLE_LINK59"/>
      <w:bookmarkStart w:id="140" w:name="OLE_LINK62"/>
      <w:r>
        <w:rPr>
          <w:rFonts w:hint="eastAsia" w:ascii="宋体" w:hAnsi="宋体"/>
          <w:sz w:val="24"/>
          <w:szCs w:val="24"/>
        </w:rPr>
        <w:t>不复播黑麦草的草坪，冬季枯黄期应尽量低修剪，防止火灾发生。</w:t>
      </w:r>
      <w:bookmarkEnd w:id="139"/>
      <w:bookmarkEnd w:id="140"/>
      <w:r>
        <w:rPr>
          <w:rFonts w:hint="eastAsia" w:ascii="宋体" w:hAnsi="宋体"/>
          <w:sz w:val="24"/>
          <w:szCs w:val="24"/>
        </w:rPr>
        <w:t>草坪机修剪时，应采用条纹状交叉方式修剪，使草坪生长均匀。每年生长季梳草 2-3 次，适时进行打孔，应及时清除打出的芯土、草根，并撒入营养土或沙粒。</w:t>
      </w:r>
    </w:p>
    <w:p>
      <w:pPr>
        <w:snapToGrid w:val="0"/>
        <w:spacing w:line="520" w:lineRule="exact"/>
        <w:ind w:firstLine="480" w:firstLineChars="200"/>
        <w:rPr>
          <w:rFonts w:ascii="宋体" w:hAnsi="宋体"/>
          <w:sz w:val="24"/>
          <w:szCs w:val="24"/>
        </w:rPr>
      </w:pPr>
      <w:bookmarkStart w:id="141" w:name="OLE_LINK67"/>
      <w:bookmarkStart w:id="142" w:name="OLE_LINK72"/>
      <w:r>
        <w:rPr>
          <w:rFonts w:hint="eastAsia" w:ascii="宋体" w:hAnsi="宋体"/>
          <w:sz w:val="24"/>
          <w:szCs w:val="24"/>
        </w:rPr>
        <w:t>原则上在草坪生长期每修剪一次施肥一次，肥料以速效N、P、K三元复合肥为主，生长旺期可以速效N肥为主</w:t>
      </w:r>
      <w:bookmarkEnd w:id="141"/>
      <w:bookmarkEnd w:id="142"/>
      <w:r>
        <w:rPr>
          <w:rFonts w:hint="eastAsia" w:ascii="宋体" w:hAnsi="宋体"/>
          <w:sz w:val="24"/>
          <w:szCs w:val="24"/>
        </w:rPr>
        <w:t>。及时防治病虫害，确保草坪无大面积病虫害发生，草坪与乔灌木、球类、色块、花境边缘应及时切边，保持界沟清晰，线型流畅。</w:t>
      </w:r>
    </w:p>
    <w:p>
      <w:pPr>
        <w:snapToGrid w:val="0"/>
        <w:spacing w:line="360" w:lineRule="auto"/>
        <w:ind w:firstLine="480" w:firstLineChars="200"/>
        <w:rPr>
          <w:rFonts w:ascii="宋体" w:hAnsi="宋体"/>
          <w:sz w:val="24"/>
          <w:szCs w:val="24"/>
        </w:rPr>
      </w:pPr>
      <w:r>
        <w:rPr>
          <w:rFonts w:hint="eastAsia" w:ascii="宋体" w:hAnsi="宋体"/>
          <w:sz w:val="24"/>
          <w:szCs w:val="24"/>
        </w:rPr>
        <w:t>管护单位应制订黑麦草复播计划，报发包方同意后组织实施，10月上旬前完成。11-12月期间，发包方组织对黑麦草复播工作进行验收，成坪率不得低于85%，且成坪均匀。</w:t>
      </w:r>
    </w:p>
    <w:p>
      <w:pPr>
        <w:snapToGrid w:val="0"/>
        <w:spacing w:line="360" w:lineRule="auto"/>
        <w:ind w:firstLine="482" w:firstLineChars="200"/>
        <w:rPr>
          <w:rFonts w:ascii="宋体" w:hAnsi="宋体"/>
          <w:b/>
          <w:sz w:val="24"/>
          <w:szCs w:val="24"/>
        </w:rPr>
      </w:pPr>
      <w:r>
        <w:rPr>
          <w:rFonts w:hint="eastAsia" w:ascii="宋体" w:hAnsi="宋体"/>
          <w:b/>
          <w:sz w:val="24"/>
          <w:szCs w:val="24"/>
        </w:rPr>
        <w:t>2.草花布置</w:t>
      </w:r>
    </w:p>
    <w:p>
      <w:pPr>
        <w:snapToGrid w:val="0"/>
        <w:spacing w:line="520" w:lineRule="exact"/>
        <w:ind w:firstLine="482" w:firstLineChars="200"/>
        <w:rPr>
          <w:rFonts w:ascii="宋体" w:hAnsi="宋体"/>
          <w:b/>
          <w:color w:val="0000FF"/>
          <w:sz w:val="24"/>
          <w:szCs w:val="24"/>
        </w:rPr>
      </w:pPr>
      <w:r>
        <w:rPr>
          <w:rFonts w:hint="eastAsia" w:ascii="宋体" w:hAnsi="宋体"/>
          <w:b/>
          <w:color w:val="0000FF"/>
          <w:sz w:val="24"/>
          <w:szCs w:val="24"/>
        </w:rPr>
        <w:t>（1）现有草花点位进场后将根据区位重要性或机关事务局要求作适当调整，进场后一个月内编制草花点位调整方案，报发包方及机关事务局审核同意后实施，调整后原有草花区域复绿费用不再另计。</w:t>
      </w:r>
    </w:p>
    <w:p>
      <w:pPr>
        <w:snapToGrid w:val="0"/>
        <w:spacing w:line="520" w:lineRule="exact"/>
        <w:ind w:firstLine="480" w:firstLineChars="200"/>
        <w:rPr>
          <w:rFonts w:ascii="宋体" w:hAnsi="宋体"/>
          <w:sz w:val="24"/>
          <w:szCs w:val="24"/>
        </w:rPr>
      </w:pPr>
      <w:r>
        <w:rPr>
          <w:rFonts w:hint="eastAsia" w:ascii="宋体" w:hAnsi="宋体"/>
          <w:sz w:val="24"/>
          <w:szCs w:val="24"/>
        </w:rPr>
        <w:t>（2）草花布置以考核现场景观效果为主，全年均须保持花繁叶茂、景观优良；为充分保证草花盛花期景观，不要求同一点位不同品种进行同批次换花。五一、国庆等重要节日，政府办公楼前等节点需增配新优花境植物品种和点缀观赏小乔或灌木球作花境式种植布置，确保最佳观赏效果。每次布置前将方案报送发包人及机关事务局审定后实施。</w:t>
      </w:r>
    </w:p>
    <w:p>
      <w:pPr>
        <w:snapToGrid w:val="0"/>
        <w:spacing w:line="520" w:lineRule="exact"/>
        <w:ind w:firstLine="480" w:firstLineChars="200"/>
        <w:rPr>
          <w:rFonts w:ascii="宋体" w:hAnsi="宋体"/>
          <w:sz w:val="24"/>
          <w:szCs w:val="24"/>
        </w:rPr>
      </w:pPr>
      <w:r>
        <w:rPr>
          <w:rFonts w:hint="eastAsia" w:ascii="宋体" w:hAnsi="宋体"/>
          <w:sz w:val="24"/>
          <w:szCs w:val="24"/>
        </w:rPr>
        <w:t>（3）草花布置前做好填土、取土、耕翻、清杂、施肥、整地形等前期作业。换花空置期应控制在2天内，如需对土壤翻晒或药物消毒杀菌，经确认可适当延长空置期，但最长不宜超过7天。冬11月、春3月两季换花时结合翻土施用有机肥，耕翻施肥过程做好影像资料台账备查。草花更换前应向绿化处报备。</w:t>
      </w:r>
    </w:p>
    <w:p>
      <w:pPr>
        <w:snapToGrid w:val="0"/>
        <w:spacing w:line="520" w:lineRule="exact"/>
        <w:ind w:firstLine="480" w:firstLineChars="200"/>
        <w:rPr>
          <w:rFonts w:ascii="宋体" w:hAnsi="宋体"/>
          <w:sz w:val="24"/>
          <w:szCs w:val="24"/>
        </w:rPr>
      </w:pPr>
      <w:r>
        <w:rPr>
          <w:rFonts w:hint="eastAsia" w:ascii="宋体" w:hAnsi="宋体"/>
          <w:sz w:val="24"/>
          <w:szCs w:val="24"/>
        </w:rPr>
        <w:t>（4）草花布置必须使用优良品种，株型丰满、分枝匀称、生长健壮、无病虫害、初花率不得小于70%。布置图案优美、花色鲜艳、品种搭配合理、覆盖率98%。布置后落实专人巡查，全日动态保洁，及时中耕除草。全年景观效果良好，确保五一、国庆、春节等重大节日期间处于最佳观赏期。9、10月更换的，全部采用菊科草花，其中小菊占比不少于60%，景观效果确保至10月底。</w:t>
      </w:r>
    </w:p>
    <w:p>
      <w:pPr>
        <w:snapToGrid w:val="0"/>
        <w:spacing w:line="520" w:lineRule="exact"/>
        <w:ind w:firstLine="480" w:firstLineChars="200"/>
        <w:rPr>
          <w:rFonts w:ascii="宋体" w:hAnsi="宋体"/>
          <w:sz w:val="24"/>
          <w:szCs w:val="24"/>
        </w:rPr>
      </w:pPr>
      <w:r>
        <w:rPr>
          <w:rFonts w:hint="eastAsia" w:ascii="宋体" w:hAnsi="宋体"/>
          <w:sz w:val="24"/>
          <w:szCs w:val="24"/>
        </w:rPr>
        <w:t>羽衣甘蓝布置时间不得早于10月底，布置量不超过总量的60%，冬季不得使用红甜菜。鼓励使用羽扇豆、矾根、向日葵、超级凤仙等丰富草花布置，提高景观效果。同一地段前后两次不得布置相同品种。</w:t>
      </w:r>
    </w:p>
    <w:p>
      <w:pPr>
        <w:snapToGrid w:val="0"/>
        <w:spacing w:line="520" w:lineRule="exact"/>
        <w:ind w:firstLine="480" w:firstLineChars="200"/>
        <w:rPr>
          <w:rFonts w:ascii="宋体" w:hAnsi="宋体"/>
          <w:sz w:val="24"/>
          <w:szCs w:val="24"/>
        </w:rPr>
      </w:pPr>
      <w:r>
        <w:rPr>
          <w:rFonts w:hint="eastAsia" w:ascii="宋体" w:hAnsi="宋体"/>
          <w:sz w:val="24"/>
          <w:szCs w:val="24"/>
        </w:rPr>
        <w:t>发包人每年委托城维监理对各草花布置点位进行全覆盖随机复测，如实测面积小于合同数，则以实测面积计算当年已布置草花工程量，并督促按合同数整改到位。</w:t>
      </w:r>
    </w:p>
    <w:p>
      <w:pPr>
        <w:snapToGrid w:val="0"/>
        <w:spacing w:line="520" w:lineRule="exact"/>
        <w:ind w:left="480"/>
        <w:rPr>
          <w:rFonts w:ascii="宋体" w:hAnsi="宋体"/>
          <w:sz w:val="24"/>
          <w:szCs w:val="24"/>
        </w:rPr>
      </w:pPr>
      <w:r>
        <w:rPr>
          <w:rFonts w:hint="eastAsia" w:ascii="宋体" w:hAnsi="宋体"/>
          <w:b/>
          <w:sz w:val="24"/>
          <w:szCs w:val="24"/>
        </w:rPr>
        <w:t>3.病虫害防治</w:t>
      </w:r>
    </w:p>
    <w:p>
      <w:pPr>
        <w:snapToGrid w:val="0"/>
        <w:spacing w:line="520" w:lineRule="exact"/>
        <w:ind w:firstLine="480" w:firstLineChars="200"/>
        <w:rPr>
          <w:rFonts w:ascii="宋体" w:hAnsi="宋体"/>
          <w:sz w:val="24"/>
          <w:szCs w:val="24"/>
        </w:rPr>
      </w:pPr>
      <w:r>
        <w:rPr>
          <w:rFonts w:hint="eastAsia" w:ascii="宋体" w:hAnsi="宋体"/>
          <w:bCs/>
          <w:sz w:val="24"/>
          <w:szCs w:val="24"/>
        </w:rPr>
        <w:t>根据绿化养护病虫害季节性特点，结合绿地植物品种类型，制订年度病虫害防治方案报我处同意后实施。配备植保人员积极配合《南通市园林植物病虫害监测与治理》项目组，进行相关的实地操作，以保证研究工作的有效开展，同时密切关注绿地内病虫迹象，一旦发现，立即上报智慧园林病虫害监测系统，并视其情形及时做好防治工作。</w:t>
      </w:r>
    </w:p>
    <w:p>
      <w:pPr>
        <w:snapToGrid w:val="0"/>
        <w:spacing w:line="520" w:lineRule="exact"/>
        <w:ind w:firstLine="480" w:firstLineChars="200"/>
        <w:rPr>
          <w:rFonts w:ascii="宋体" w:hAnsi="宋体"/>
          <w:bCs/>
          <w:sz w:val="24"/>
          <w:szCs w:val="24"/>
        </w:rPr>
      </w:pPr>
      <w:r>
        <w:rPr>
          <w:rFonts w:hint="eastAsia" w:ascii="宋体" w:hAnsi="宋体"/>
          <w:bCs/>
          <w:sz w:val="24"/>
          <w:szCs w:val="24"/>
        </w:rPr>
        <w:t>病虫害防治应抓住植物生长关键期，做到防治及时、有效、用药正确、配比科学、操作安全，确保不发生药物危害，无大面积病虫害危害现象，无大面积树干蛀空、树皮腐蚀等现象，用药时，宜轮换使用杀虫机理不同的药剂，防止害虫产生抗药性。鼓励采用生物、物理防治措施进行病虫害防治，严禁使用剧毒类或国家明令制止类药物进行病虫害防治。植物休眠期应选用喷、涂、清、剪、刮、敲、摘、钩、挖等方法重点清除可越冬害虫和病残体。</w:t>
      </w:r>
    </w:p>
    <w:p>
      <w:pPr>
        <w:snapToGrid w:val="0"/>
        <w:spacing w:line="360" w:lineRule="auto"/>
        <w:ind w:firstLine="482" w:firstLineChars="200"/>
        <w:rPr>
          <w:rFonts w:ascii="宋体" w:hAnsi="宋体"/>
          <w:b/>
          <w:sz w:val="24"/>
          <w:szCs w:val="24"/>
        </w:rPr>
      </w:pPr>
      <w:r>
        <w:rPr>
          <w:rFonts w:hint="eastAsia" w:ascii="宋体" w:hAnsi="宋体"/>
          <w:b/>
          <w:sz w:val="24"/>
          <w:szCs w:val="24"/>
        </w:rPr>
        <w:t xml:space="preserve"> 4.树木施肥</w:t>
      </w:r>
    </w:p>
    <w:p>
      <w:pPr>
        <w:snapToGrid w:val="0"/>
        <w:spacing w:line="360" w:lineRule="auto"/>
        <w:ind w:firstLine="480" w:firstLineChars="200"/>
      </w:pPr>
      <w:r>
        <w:rPr>
          <w:rFonts w:hint="eastAsia" w:ascii="宋体" w:hAnsi="宋体"/>
          <w:sz w:val="24"/>
          <w:szCs w:val="24"/>
        </w:rPr>
        <w:t>应根据植物特性、生长状态、生长季节、土壤特性，遵循“分类施肥，因苗施肥、薄肥勤施、用量合理、不发生肥害”等原则进行施肥。</w:t>
      </w:r>
    </w:p>
    <w:p>
      <w:pPr>
        <w:snapToGrid w:val="0"/>
        <w:spacing w:line="360" w:lineRule="auto"/>
        <w:ind w:firstLine="480" w:firstLineChars="200"/>
        <w:rPr>
          <w:rFonts w:ascii="宋体" w:hAnsi="宋体"/>
          <w:bCs/>
          <w:sz w:val="24"/>
          <w:szCs w:val="24"/>
        </w:rPr>
      </w:pPr>
      <w:r>
        <w:rPr>
          <w:rFonts w:hint="eastAsia" w:ascii="宋体" w:hAnsi="宋体"/>
          <w:sz w:val="24"/>
          <w:szCs w:val="24"/>
        </w:rPr>
        <w:t>重点对长势瘦弱的进行施肥，可选择水溶解后浇灌或叶面喷雾等形式施用有效成分NPK含量各15%以上的三元复合肥，冬季集中施用一次有机质含量45%以上、NPK总养分5%以上有机肥，承包方提前半个月制定详细施肥方案及计划，经发包方认定</w:t>
      </w:r>
      <w:r>
        <w:rPr>
          <w:rFonts w:hint="eastAsia" w:ascii="宋体" w:hAnsi="宋体"/>
          <w:color w:val="000000" w:themeColor="text1"/>
          <w:sz w:val="24"/>
          <w:szCs w:val="24"/>
        </w:rPr>
        <w:t>、机关事务局同意后实施</w:t>
      </w:r>
      <w:r>
        <w:rPr>
          <w:rFonts w:hint="eastAsia" w:ascii="宋体" w:hAnsi="宋体"/>
          <w:sz w:val="24"/>
          <w:szCs w:val="24"/>
        </w:rPr>
        <w:t>。绿地乔灌木，下层为草坪的采用穴施法，其余乔灌木、色块、地被可采用撒施法。穴施用量不少于2.5公斤/次·株、撒施用量不少于0.75公斤/次·平方米，穴施的应在树冠垂直投影外缘开穴施用，施后覆土恢复原样，施肥位置应每年轮换。</w:t>
      </w:r>
    </w:p>
    <w:p>
      <w:pPr>
        <w:snapToGrid w:val="0"/>
        <w:spacing w:line="360" w:lineRule="auto"/>
        <w:ind w:firstLine="480" w:firstLineChars="200"/>
      </w:pPr>
      <w:r>
        <w:rPr>
          <w:rFonts w:hint="eastAsia" w:ascii="宋体" w:hAnsi="宋体"/>
          <w:sz w:val="24"/>
          <w:szCs w:val="24"/>
        </w:rPr>
        <w:t>应根据植物长势和个体差异，灵活采用各种追肥措施，原则上生长季节，各类植物至少追肥1次，花灌木花后追肥一次，香樟、毛鹃等喜酸性树种另外每年应增施2%-5%的硫酸亚铁等酸性肥料1-2次。</w:t>
      </w:r>
    </w:p>
    <w:p>
      <w:pPr>
        <w:snapToGrid w:val="0"/>
        <w:spacing w:line="360" w:lineRule="auto"/>
        <w:ind w:firstLine="480" w:firstLineChars="200"/>
      </w:pPr>
      <w:r>
        <w:rPr>
          <w:rFonts w:hint="eastAsia" w:ascii="宋体" w:hAnsi="宋体"/>
          <w:sz w:val="24"/>
          <w:szCs w:val="24"/>
        </w:rPr>
        <w:t>施肥采取“结果导向为主，计量导向为辅”的管理方式，绿地施有机肥需由发包方城维项目监理现场跟踪监管、按实计量，承包人应做好肥料供应商供货原始票据如出厂验货单复印件、产品合格证（由监理核查与原件一致后签字确认）等台账记录和施肥相关影像资料归档；施肥效果纳入月度考核，对未达到要求的进行扣分、扣款。</w:t>
      </w:r>
    </w:p>
    <w:p>
      <w:pPr>
        <w:snapToGrid w:val="0"/>
        <w:spacing w:line="360" w:lineRule="auto"/>
        <w:ind w:firstLine="482" w:firstLineChars="200"/>
        <w:rPr>
          <w:rFonts w:ascii="宋体" w:hAnsi="宋体"/>
          <w:b/>
          <w:sz w:val="24"/>
          <w:szCs w:val="24"/>
        </w:rPr>
      </w:pPr>
      <w:r>
        <w:rPr>
          <w:rFonts w:hint="eastAsia" w:ascii="宋体" w:hAnsi="宋体"/>
          <w:b/>
          <w:sz w:val="24"/>
          <w:szCs w:val="24"/>
        </w:rPr>
        <w:t>5.树木修剪</w:t>
      </w:r>
    </w:p>
    <w:p>
      <w:pPr>
        <w:snapToGrid w:val="0"/>
        <w:spacing w:line="360" w:lineRule="auto"/>
        <w:ind w:firstLine="480" w:firstLineChars="200"/>
        <w:rPr>
          <w:rFonts w:ascii="宋体" w:hAnsi="宋体"/>
          <w:sz w:val="24"/>
          <w:szCs w:val="24"/>
        </w:rPr>
      </w:pPr>
      <w:r>
        <w:rPr>
          <w:rFonts w:hint="eastAsia" w:ascii="宋体" w:hAnsi="宋体"/>
          <w:bCs/>
          <w:color w:val="000000" w:themeColor="text1"/>
          <w:sz w:val="24"/>
          <w:szCs w:val="24"/>
        </w:rPr>
        <w:t>乔木每年整形修剪，以确保园路沿线乔木枝下高、总高及冠幅基本一致，树冠完整，树枝合理均匀，通风透光良好，树冠树形基本优美。树冠与各类公共设施以及周边建筑之间无矛盾枝，保持必要的安全距离。乔灌木、色块、绿篱、球类、地被修剪应充分体现原有设计意图，保持植株间轮廓清晰层次分明。</w:t>
      </w:r>
    </w:p>
    <w:p>
      <w:pPr>
        <w:snapToGrid w:val="0"/>
        <w:spacing w:line="360" w:lineRule="auto"/>
        <w:ind w:firstLine="482" w:firstLineChars="200"/>
        <w:rPr>
          <w:rFonts w:ascii="宋体" w:hAnsi="宋体"/>
          <w:b/>
          <w:sz w:val="24"/>
          <w:szCs w:val="24"/>
        </w:rPr>
      </w:pPr>
      <w:r>
        <w:rPr>
          <w:rFonts w:hint="eastAsia" w:ascii="宋体" w:hAnsi="宋体"/>
          <w:b/>
          <w:sz w:val="24"/>
          <w:szCs w:val="24"/>
        </w:rPr>
        <w:t>6.树洞修补</w:t>
      </w:r>
    </w:p>
    <w:p>
      <w:pPr>
        <w:snapToGrid w:val="0"/>
        <w:spacing w:line="360" w:lineRule="auto"/>
        <w:ind w:firstLine="480" w:firstLineChars="200"/>
        <w:rPr>
          <w:rFonts w:ascii="宋体" w:hAnsi="宋体"/>
          <w:sz w:val="24"/>
          <w:szCs w:val="24"/>
        </w:rPr>
      </w:pPr>
      <w:r>
        <w:rPr>
          <w:rFonts w:hint="eastAsia" w:ascii="宋体" w:hAnsi="宋体"/>
          <w:sz w:val="24"/>
          <w:szCs w:val="24"/>
        </w:rPr>
        <w:t>补树洞时间宜于春秋二季，若气温低于0℃以下应停止补洞。</w:t>
      </w:r>
    </w:p>
    <w:p>
      <w:pPr>
        <w:snapToGrid w:val="0"/>
        <w:spacing w:line="360" w:lineRule="auto"/>
        <w:ind w:firstLine="480" w:firstLineChars="200"/>
        <w:rPr>
          <w:rFonts w:ascii="宋体" w:hAnsi="宋体"/>
          <w:sz w:val="24"/>
          <w:szCs w:val="24"/>
        </w:rPr>
      </w:pPr>
      <w:r>
        <w:rPr>
          <w:rFonts w:hint="eastAsia" w:ascii="宋体" w:hAnsi="宋体"/>
          <w:sz w:val="24"/>
          <w:szCs w:val="24"/>
        </w:rPr>
        <w:t>（1）树洞修补要求如下:①直径大于 5cm的树木树洞和创面应修补或采取保护措施；②树洞填充物应选择对人体、树体无害，有利于伤口愈合，有利于树木生长，但不影响道路景观；③保护剂应具有容易涂抹、粘着性好、受热不融化的特性，不应伤害树体组织，有防腐作用。</w:t>
      </w:r>
    </w:p>
    <w:p>
      <w:pPr>
        <w:snapToGrid w:val="0"/>
        <w:spacing w:line="360" w:lineRule="auto"/>
        <w:ind w:firstLine="480" w:firstLineChars="200"/>
        <w:rPr>
          <w:rFonts w:ascii="宋体" w:hAnsi="宋体"/>
          <w:sz w:val="24"/>
          <w:szCs w:val="24"/>
        </w:rPr>
      </w:pPr>
      <w:r>
        <w:rPr>
          <w:rFonts w:hint="eastAsia" w:ascii="宋体" w:hAnsi="宋体"/>
          <w:sz w:val="24"/>
          <w:szCs w:val="24"/>
        </w:rPr>
        <w:t>（2）树洞修补方法如下:①开放法:主要适用于处理较浅的树木伤口，用锯锯平残桩，用刀刮净腐烂组织，用杀菌药剂消毒后涂上防腐剂，必要时应开设引流孔；②填充法:先去掉树洞内腐烂物，直至活体组织，后用锋利的刀削平伤口四周，用立克菌(1:2000)消毒，用水泥、小石砾、黄沙混合，加上纸筋石灰，比例为2:1或3:2填充，大树洞先用铁钉以加强填料与木质部连接，小树洞可直接填料填充，填充物边缘不得超出形成层，涂上近似树皮条纹和颜色的保护剂。</w:t>
      </w:r>
    </w:p>
    <w:p>
      <w:pPr>
        <w:snapToGrid w:val="0"/>
        <w:spacing w:line="360" w:lineRule="auto"/>
        <w:ind w:firstLine="482" w:firstLineChars="200"/>
        <w:rPr>
          <w:rFonts w:ascii="宋体" w:hAnsi="宋体"/>
          <w:b/>
          <w:sz w:val="24"/>
          <w:szCs w:val="24"/>
        </w:rPr>
      </w:pPr>
      <w:r>
        <w:rPr>
          <w:rFonts w:hint="eastAsia" w:ascii="宋体" w:hAnsi="宋体"/>
          <w:b/>
          <w:sz w:val="24"/>
          <w:szCs w:val="24"/>
        </w:rPr>
        <w:t xml:space="preserve"> 7.绿化补植</w:t>
      </w:r>
    </w:p>
    <w:p>
      <w:pPr>
        <w:snapToGrid w:val="0"/>
        <w:spacing w:line="360" w:lineRule="auto"/>
        <w:ind w:firstLine="480" w:firstLineChars="200"/>
      </w:pPr>
      <w:r>
        <w:rPr>
          <w:rFonts w:hint="eastAsia" w:ascii="宋体" w:hAnsi="宋体"/>
          <w:sz w:val="24"/>
          <w:szCs w:val="24"/>
        </w:rPr>
        <w:t>合同期间，由于承包人养护不当、管护不力以及台风等恶劣天气（</w:t>
      </w:r>
      <w:r>
        <w:rPr>
          <w:rFonts w:hint="eastAsia" w:ascii="宋体" w:hAnsi="宋体"/>
          <w:color w:val="000000" w:themeColor="text1"/>
          <w:sz w:val="24"/>
          <w:szCs w:val="24"/>
        </w:rPr>
        <w:t>气象灾害预警级别橙色及以上且管护措施到位的除外）影响造成苗木死亡、残疾、缺失等，应当在发生之日起10天内清除、更换或进行补植，费用自理。非种植季节无法补植的，需经发包人同意后，按补植计划在规定期限内完成。树木补植应按现状品种、规格补齐。乔木应采用规格相近的全冠</w:t>
      </w:r>
      <w:r>
        <w:rPr>
          <w:rFonts w:hint="eastAsia" w:ascii="宋体" w:hAnsi="宋体"/>
          <w:sz w:val="24"/>
          <w:szCs w:val="24"/>
        </w:rPr>
        <w:t>苗，胸径一般不宜超过20cm。成荫树林内的缺株经确认后可不予补植。</w:t>
      </w:r>
    </w:p>
    <w:p>
      <w:pPr>
        <w:spacing w:line="360" w:lineRule="auto"/>
        <w:ind w:firstLine="480" w:firstLineChars="200"/>
        <w:rPr>
          <w:rFonts w:asciiTheme="minorEastAsia" w:hAnsiTheme="minorEastAsia"/>
          <w:color w:val="000000" w:themeColor="text1"/>
          <w:sz w:val="24"/>
          <w:szCs w:val="24"/>
        </w:rPr>
      </w:pPr>
      <w:r>
        <w:rPr>
          <w:rFonts w:hint="eastAsia" w:asciiTheme="minorEastAsia" w:hAnsiTheme="minorEastAsia"/>
          <w:color w:val="000000" w:themeColor="text1"/>
          <w:sz w:val="24"/>
          <w:szCs w:val="24"/>
        </w:rPr>
        <w:t>未经发包方同意，合同截止日前 6个月内，管护单位不得补植乔木；3个月内，不得补植灌木地被类。如在此期间私自补植的，交接时，补植苗木一律不予认可。</w:t>
      </w:r>
    </w:p>
    <w:p>
      <w:pPr>
        <w:snapToGrid w:val="0"/>
        <w:spacing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合同期满验收时，因养护责任造成的苗木缺失，按现状规格及当期指导价套定额后赔付补植费。</w:t>
      </w:r>
    </w:p>
    <w:p>
      <w:pPr>
        <w:tabs>
          <w:tab w:val="left" w:pos="2020"/>
          <w:tab w:val="center" w:pos="4535"/>
        </w:tabs>
        <w:spacing w:line="360" w:lineRule="auto"/>
        <w:ind w:firstLine="482" w:firstLineChars="200"/>
        <w:outlineLvl w:val="0"/>
        <w:rPr>
          <w:rFonts w:ascii="宋体" w:hAnsi="宋体"/>
          <w:sz w:val="24"/>
          <w:szCs w:val="24"/>
        </w:rPr>
      </w:pPr>
      <w:r>
        <w:rPr>
          <w:rFonts w:hint="eastAsia" w:ascii="宋体" w:hAnsi="宋体"/>
          <w:b/>
          <w:sz w:val="24"/>
          <w:szCs w:val="24"/>
        </w:rPr>
        <w:t>8.绿化调整</w:t>
      </w:r>
    </w:p>
    <w:p>
      <w:pPr>
        <w:snapToGrid w:val="0"/>
        <w:spacing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承包期内对大院绿地外侧密林深处无法正常生长的苗木，进场后由承包方根据现场情况编制既有苗木疏苗调整方案，报甲方及机关事务局审核通过后实施，迁移苗木确保成活率95%以上；疏苗后一周内完成树坑回填、绿地平整、栽植周边相近品种规格地被的复绿工作，费用不另计（基建移伐除外）。疏苗供给新建工程的，承包方须做好配合工作。</w:t>
      </w:r>
    </w:p>
    <w:p>
      <w:pPr>
        <w:snapToGrid w:val="0"/>
        <w:spacing w:line="360" w:lineRule="auto"/>
        <w:ind w:firstLine="482" w:firstLineChars="200"/>
        <w:rPr>
          <w:rFonts w:ascii="宋体" w:hAnsi="宋体"/>
          <w:b/>
          <w:color w:val="000000" w:themeColor="text1"/>
          <w:sz w:val="24"/>
          <w:szCs w:val="24"/>
        </w:rPr>
      </w:pPr>
      <w:r>
        <w:rPr>
          <w:rFonts w:hint="eastAsia" w:ascii="宋体" w:hAnsi="宋体"/>
          <w:b/>
          <w:color w:val="000000" w:themeColor="text1"/>
          <w:sz w:val="24"/>
          <w:szCs w:val="24"/>
        </w:rPr>
        <w:t>8.老绿地缺陷完善</w:t>
      </w:r>
    </w:p>
    <w:p>
      <w:pPr>
        <w:snapToGrid w:val="0"/>
        <w:spacing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招标文件已将绿地主要缺陷统计标出，并单列分项报价。投标单位在投标前应自行仔细踏勘现场，绿地管护分项报价时，一并考虑其它未列明的现场缺陷和后续养护过程中可能产生的死苗、空缺、脱脚等缺陷，以及台风等恶劣气候引起苗木缺失（气象灾害预警级别橙色及以上并且管护措施到位的除外）整改等，进场后除缺陷完善过渡期外均列入承包期内考核范围。</w:t>
      </w:r>
    </w:p>
    <w:p>
      <w:pPr>
        <w:snapToGrid w:val="0"/>
        <w:spacing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针对招标文件列明的缺陷完善清单，承包方应在管护进场一个月内，制定缺陷恢复方案，经发包方确认后在约定时间内完成。工序和质量按照绿化工程专业标准和规范要求执行，做到安全施工文明施工。该部分工程量以监理签证量为准，单价以投标函报价综合单价为固定单价，按实计量、按实结算。完工后，承包方提出验收申请，发包方及时组织验收。竣工验收合格后支付监理审核价的80%，余款待审计审定后一次性付清。</w:t>
      </w:r>
    </w:p>
    <w:p>
      <w:pPr>
        <w:snapToGrid w:val="0"/>
        <w:spacing w:line="360" w:lineRule="auto"/>
        <w:ind w:firstLine="482" w:firstLineChars="200"/>
        <w:rPr>
          <w:rFonts w:ascii="宋体" w:hAnsi="宋体"/>
          <w:b/>
          <w:sz w:val="24"/>
          <w:szCs w:val="24"/>
        </w:rPr>
      </w:pPr>
      <w:r>
        <w:rPr>
          <w:rFonts w:hint="eastAsia" w:ascii="宋体" w:hAnsi="宋体"/>
          <w:b/>
          <w:sz w:val="24"/>
          <w:szCs w:val="24"/>
        </w:rPr>
        <w:t>10.园林废弃物处置</w:t>
      </w:r>
    </w:p>
    <w:p>
      <w:pPr>
        <w:snapToGrid w:val="0"/>
        <w:spacing w:line="360" w:lineRule="auto"/>
        <w:ind w:firstLine="480" w:firstLineChars="200"/>
        <w:rPr>
          <w:rFonts w:ascii="宋体" w:hAnsi="宋体"/>
          <w:sz w:val="24"/>
          <w:szCs w:val="24"/>
        </w:rPr>
      </w:pPr>
      <w:r>
        <w:rPr>
          <w:rFonts w:ascii="宋体" w:hAnsi="宋体"/>
          <w:sz w:val="24"/>
          <w:szCs w:val="24"/>
        </w:rPr>
        <w:t>为规范园林废弃物处理方式，提高园林废弃物资源化利用，承包方需将养护管理中所产生的枯枝败叶、树枝枝干、草屑等园林绿化垃圾送至发包方</w:t>
      </w:r>
      <w:r>
        <w:rPr>
          <w:rFonts w:hint="eastAsia" w:ascii="宋体" w:hAnsi="宋体"/>
          <w:sz w:val="24"/>
          <w:szCs w:val="24"/>
        </w:rPr>
        <w:t>（</w:t>
      </w:r>
      <w:r>
        <w:rPr>
          <w:rFonts w:ascii="宋体" w:hAnsi="宋体"/>
          <w:sz w:val="24"/>
          <w:szCs w:val="24"/>
        </w:rPr>
        <w:t>或处</w:t>
      </w:r>
      <w:r>
        <w:rPr>
          <w:rFonts w:hint="eastAsia" w:ascii="宋体" w:hAnsi="宋体"/>
          <w:sz w:val="24"/>
          <w:szCs w:val="24"/>
        </w:rPr>
        <w:t>置</w:t>
      </w:r>
      <w:r>
        <w:rPr>
          <w:rFonts w:ascii="宋体" w:hAnsi="宋体"/>
          <w:sz w:val="24"/>
          <w:szCs w:val="24"/>
        </w:rPr>
        <w:t>单位</w:t>
      </w:r>
      <w:r>
        <w:rPr>
          <w:rFonts w:hint="eastAsia" w:ascii="宋体" w:hAnsi="宋体"/>
          <w:sz w:val="24"/>
          <w:szCs w:val="24"/>
        </w:rPr>
        <w:t>）确定的收集点</w:t>
      </w:r>
      <w:r>
        <w:rPr>
          <w:rFonts w:ascii="宋体" w:hAnsi="宋体"/>
          <w:sz w:val="24"/>
          <w:szCs w:val="24"/>
        </w:rPr>
        <w:t>集中处理，</w:t>
      </w:r>
      <w:r>
        <w:rPr>
          <w:rFonts w:hint="eastAsia" w:ascii="宋体" w:hAnsi="宋体"/>
          <w:sz w:val="24"/>
          <w:szCs w:val="24"/>
        </w:rPr>
        <w:t>尚未确定处置单位前的过渡期内，由中标人按园林废弃物处理利用相关要求自行处置，严禁随意弃置，相应费用在投标报价时应予考虑</w:t>
      </w:r>
      <w:r>
        <w:rPr>
          <w:rFonts w:ascii="宋体" w:hAnsi="宋体"/>
          <w:sz w:val="24"/>
          <w:szCs w:val="24"/>
        </w:rPr>
        <w:t>。</w:t>
      </w:r>
    </w:p>
    <w:p>
      <w:pPr>
        <w:snapToGrid w:val="0"/>
        <w:spacing w:line="360" w:lineRule="auto"/>
        <w:ind w:firstLine="482" w:firstLineChars="200"/>
        <w:rPr>
          <w:rFonts w:ascii="宋体" w:hAnsi="宋体"/>
          <w:b/>
          <w:sz w:val="24"/>
          <w:szCs w:val="24"/>
        </w:rPr>
      </w:pPr>
      <w:r>
        <w:rPr>
          <w:rFonts w:hint="eastAsia" w:ascii="宋体" w:hAnsi="宋体"/>
          <w:b/>
          <w:sz w:val="24"/>
          <w:szCs w:val="24"/>
        </w:rPr>
        <w:t>（四）园林设施维护</w:t>
      </w:r>
    </w:p>
    <w:p>
      <w:pPr>
        <w:snapToGrid w:val="0"/>
        <w:spacing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本项目接管范围园林设施有木桥、园路、廊架、汀步等，均须保持功能完好、安装牢固、运转正常。完好无缺损、整洁无乱涂乱画，常年见新，无安全隐患。景观树穴内无杂草杂物，盖板（或砖）安装平整、无缺失。</w:t>
      </w:r>
    </w:p>
    <w:p>
      <w:pPr>
        <w:snapToGrid w:val="0"/>
        <w:spacing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如有损坏或缺失，单项造价1万元(含)以内的，承包人必须按原样及时修复，费用自行承担，投标报价时应予考虑。</w:t>
      </w:r>
    </w:p>
    <w:p>
      <w:pPr>
        <w:snapToGrid w:val="0"/>
        <w:spacing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维修造价超过1万元，由于使用年限、设计缺陷、材质老化等客观原因造成，非养护合同履约不到位所致，可列入大修范围。由承包人提出书面申请，编制维修方案和预算，报发包人初审后邀请园林绿化主管部门现场察看确认。1万元-10万元（含）的，承包人负责实施，按指导价套定额后下浮8%计费；10万元-20万元（不含）的，承包人负责实施，按指导价套定额后下浮15%计费；20万元（含）以上，由发包人另行组织招标，承包人应做好配合工作。</w:t>
      </w:r>
    </w:p>
    <w:p>
      <w:pPr>
        <w:snapToGrid w:val="0"/>
        <w:spacing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管护区域内景观照明等由其他权属单位管理的设备设施，发现破损的应及时通知管理单位维修。</w:t>
      </w:r>
    </w:p>
    <w:p>
      <w:pPr>
        <w:snapToGrid w:val="0"/>
        <w:spacing w:line="360" w:lineRule="auto"/>
        <w:ind w:firstLine="482" w:firstLineChars="200"/>
        <w:rPr>
          <w:rFonts w:ascii="宋体" w:hAnsi="宋体"/>
          <w:b/>
          <w:color w:val="000000" w:themeColor="text1"/>
          <w:sz w:val="24"/>
          <w:szCs w:val="24"/>
        </w:rPr>
      </w:pPr>
      <w:r>
        <w:rPr>
          <w:rFonts w:hint="eastAsia" w:ascii="宋体" w:hAnsi="宋体"/>
          <w:b/>
          <w:color w:val="000000" w:themeColor="text1"/>
          <w:sz w:val="24"/>
          <w:szCs w:val="24"/>
        </w:rPr>
        <w:t>（五）绿地保洁</w:t>
      </w:r>
    </w:p>
    <w:p>
      <w:pPr>
        <w:snapToGrid w:val="0"/>
        <w:spacing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24小时全天候保洁。做到环境卫生整洁、美观。绿地及配套设施外表洁净美观；无垃圾、杂物、烟头、动物便溺，无乱涂乱画、乱张贴悬挂等；园路、铺装、广场无坑洼积水、积土、污渍；及时制止乱扔、乱排、乱倒行为；排水明暗沟及时清淤。桥底板、桥孔内无杂物，无明显蜘蛛网。</w:t>
      </w:r>
    </w:p>
    <w:p>
      <w:pPr>
        <w:snapToGrid w:val="0"/>
        <w:spacing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垃圾箱应满足垃圾分类回收需求，合理设置。应保持外观整洁完整，及时擦拭；箱内无沉积垃圾，做到日产日清。临时垃圾堆放点须隐蔽、无焚烧现象等。</w:t>
      </w:r>
    </w:p>
    <w:p>
      <w:pPr>
        <w:snapToGrid w:val="0"/>
        <w:spacing w:line="360" w:lineRule="auto"/>
        <w:ind w:firstLine="482" w:firstLineChars="200"/>
        <w:rPr>
          <w:rFonts w:ascii="宋体" w:hAnsi="宋体"/>
          <w:b/>
          <w:color w:val="000000" w:themeColor="text1"/>
          <w:sz w:val="24"/>
          <w:szCs w:val="24"/>
        </w:rPr>
      </w:pPr>
      <w:r>
        <w:rPr>
          <w:rFonts w:hint="eastAsia" w:ascii="宋体" w:hAnsi="宋体"/>
          <w:b/>
          <w:color w:val="000000" w:themeColor="text1"/>
          <w:sz w:val="24"/>
          <w:szCs w:val="24"/>
        </w:rPr>
        <w:t>（七）行业管理</w:t>
      </w:r>
    </w:p>
    <w:p>
      <w:pPr>
        <w:snapToGrid w:val="0"/>
        <w:spacing w:line="360" w:lineRule="auto"/>
        <w:ind w:firstLine="480" w:firstLineChars="200"/>
        <w:rPr>
          <w:rFonts w:ascii="宋体" w:hAnsi="宋体"/>
          <w:color w:val="000000" w:themeColor="text1"/>
          <w:sz w:val="24"/>
          <w:szCs w:val="24"/>
        </w:rPr>
      </w:pPr>
      <w:r>
        <w:rPr>
          <w:rFonts w:ascii="宋体" w:hAnsi="宋体"/>
          <w:color w:val="000000" w:themeColor="text1"/>
          <w:sz w:val="24"/>
          <w:szCs w:val="24"/>
        </w:rPr>
        <w:t>1</w:t>
      </w:r>
      <w:r>
        <w:rPr>
          <w:rFonts w:hint="eastAsia" w:ascii="宋体" w:hAnsi="宋体"/>
          <w:color w:val="000000" w:themeColor="text1"/>
          <w:sz w:val="24"/>
          <w:szCs w:val="24"/>
        </w:rPr>
        <w:t>.落实专人每日实行不少于1次的全覆盖护绿巡查，休息日、法定假日等加大巡查频次，如遇恶劣天气需24小时巡查。</w:t>
      </w:r>
    </w:p>
    <w:p>
      <w:pPr>
        <w:snapToGrid w:val="0"/>
        <w:spacing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2.</w:t>
      </w:r>
      <w:r>
        <w:rPr>
          <w:rFonts w:ascii="宋体" w:hAnsi="宋体"/>
          <w:color w:val="000000" w:themeColor="text1"/>
          <w:sz w:val="24"/>
          <w:szCs w:val="24"/>
        </w:rPr>
        <w:t>护绿巡查</w:t>
      </w:r>
      <w:r>
        <w:rPr>
          <w:rFonts w:hint="eastAsia" w:ascii="宋体" w:hAnsi="宋体"/>
          <w:color w:val="000000" w:themeColor="text1"/>
          <w:sz w:val="24"/>
          <w:szCs w:val="24"/>
        </w:rPr>
        <w:t>执行动态管护制度，对养护中存在的问题做到自查自纠，并做好每日巡查记录和移动巡查轨迹</w:t>
      </w:r>
      <w:r>
        <w:rPr>
          <w:rFonts w:ascii="宋体" w:hAnsi="宋体"/>
          <w:color w:val="000000" w:themeColor="text1"/>
          <w:sz w:val="24"/>
          <w:szCs w:val="24"/>
        </w:rPr>
        <w:t>考勤。</w:t>
      </w:r>
    </w:p>
    <w:p>
      <w:pPr>
        <w:snapToGrid w:val="0"/>
        <w:spacing w:line="360" w:lineRule="auto"/>
        <w:ind w:firstLine="480" w:firstLineChars="200"/>
        <w:rPr>
          <w:rFonts w:ascii="宋体" w:hAnsi="宋体"/>
          <w:color w:val="000000" w:themeColor="text1"/>
          <w:sz w:val="24"/>
          <w:szCs w:val="24"/>
        </w:rPr>
      </w:pPr>
      <w:r>
        <w:rPr>
          <w:rFonts w:ascii="宋体" w:hAnsi="宋体"/>
          <w:color w:val="000000" w:themeColor="text1"/>
          <w:sz w:val="24"/>
          <w:szCs w:val="24"/>
        </w:rPr>
        <w:t>3</w:t>
      </w:r>
      <w:r>
        <w:rPr>
          <w:rFonts w:hint="eastAsia" w:ascii="宋体" w:hAnsi="宋体"/>
          <w:color w:val="000000" w:themeColor="text1"/>
          <w:sz w:val="24"/>
          <w:szCs w:val="24"/>
        </w:rPr>
        <w:t>.</w:t>
      </w:r>
      <w:r>
        <w:rPr>
          <w:rFonts w:ascii="宋体" w:hAnsi="宋体"/>
          <w:color w:val="000000" w:themeColor="text1"/>
          <w:sz w:val="24"/>
          <w:szCs w:val="24"/>
        </w:rPr>
        <w:t>发现占绿毁绿现象，</w:t>
      </w:r>
      <w:r>
        <w:rPr>
          <w:rFonts w:hint="eastAsia" w:ascii="宋体" w:hAnsi="宋体"/>
          <w:color w:val="000000" w:themeColor="text1"/>
          <w:sz w:val="24"/>
          <w:szCs w:val="24"/>
        </w:rPr>
        <w:t>承包人</w:t>
      </w:r>
      <w:r>
        <w:rPr>
          <w:rFonts w:ascii="宋体" w:hAnsi="宋体"/>
          <w:color w:val="000000" w:themeColor="text1"/>
          <w:sz w:val="24"/>
          <w:szCs w:val="24"/>
        </w:rPr>
        <w:t>应第一时间制止，并及时上报</w:t>
      </w:r>
      <w:r>
        <w:rPr>
          <w:rFonts w:hint="eastAsia" w:ascii="宋体" w:hAnsi="宋体"/>
          <w:color w:val="000000" w:themeColor="text1"/>
          <w:sz w:val="24"/>
          <w:szCs w:val="24"/>
        </w:rPr>
        <w:t>发</w:t>
      </w:r>
      <w:r>
        <w:rPr>
          <w:rFonts w:ascii="宋体" w:hAnsi="宋体"/>
          <w:color w:val="000000" w:themeColor="text1"/>
          <w:sz w:val="24"/>
          <w:szCs w:val="24"/>
        </w:rPr>
        <w:t>包人，</w:t>
      </w:r>
      <w:r>
        <w:rPr>
          <w:rFonts w:hint="eastAsia" w:ascii="宋体" w:hAnsi="宋体"/>
          <w:color w:val="000000" w:themeColor="text1"/>
          <w:sz w:val="24"/>
          <w:szCs w:val="24"/>
        </w:rPr>
        <w:t>同时</w:t>
      </w:r>
      <w:r>
        <w:rPr>
          <w:rFonts w:ascii="宋体" w:hAnsi="宋体"/>
          <w:color w:val="000000" w:themeColor="text1"/>
          <w:sz w:val="24"/>
          <w:szCs w:val="24"/>
        </w:rPr>
        <w:t>协助</w:t>
      </w:r>
      <w:r>
        <w:rPr>
          <w:rFonts w:hint="eastAsia" w:ascii="宋体" w:hAnsi="宋体"/>
          <w:color w:val="000000" w:themeColor="text1"/>
          <w:sz w:val="24"/>
          <w:szCs w:val="24"/>
        </w:rPr>
        <w:t>发包人或执法部门做好现场调查工作。现场受损的</w:t>
      </w:r>
      <w:r>
        <w:rPr>
          <w:rFonts w:ascii="宋体" w:hAnsi="宋体"/>
          <w:color w:val="000000" w:themeColor="text1"/>
          <w:sz w:val="24"/>
          <w:szCs w:val="24"/>
        </w:rPr>
        <w:t>，</w:t>
      </w:r>
      <w:r>
        <w:rPr>
          <w:rFonts w:hint="eastAsia" w:ascii="宋体" w:hAnsi="宋体"/>
          <w:color w:val="000000" w:themeColor="text1"/>
          <w:sz w:val="24"/>
          <w:szCs w:val="24"/>
        </w:rPr>
        <w:t>承包人</w:t>
      </w:r>
      <w:r>
        <w:rPr>
          <w:rFonts w:ascii="宋体" w:hAnsi="宋体"/>
          <w:color w:val="000000" w:themeColor="text1"/>
          <w:sz w:val="24"/>
          <w:szCs w:val="24"/>
        </w:rPr>
        <w:t>自行保留证据</w:t>
      </w:r>
      <w:r>
        <w:rPr>
          <w:rFonts w:hint="eastAsia" w:ascii="宋体" w:hAnsi="宋体"/>
          <w:color w:val="000000" w:themeColor="text1"/>
          <w:sz w:val="24"/>
          <w:szCs w:val="24"/>
        </w:rPr>
        <w:t>并</w:t>
      </w:r>
      <w:r>
        <w:rPr>
          <w:rFonts w:ascii="宋体" w:hAnsi="宋体"/>
          <w:color w:val="000000" w:themeColor="text1"/>
          <w:sz w:val="24"/>
          <w:szCs w:val="24"/>
        </w:rPr>
        <w:t>整理受损清单，</w:t>
      </w:r>
      <w:r>
        <w:rPr>
          <w:rFonts w:hint="eastAsia" w:ascii="宋体" w:hAnsi="宋体"/>
          <w:color w:val="000000" w:themeColor="text1"/>
          <w:sz w:val="24"/>
          <w:szCs w:val="24"/>
        </w:rPr>
        <w:t>经发包人或执法部门确认</w:t>
      </w:r>
      <w:r>
        <w:rPr>
          <w:rFonts w:ascii="宋体" w:hAnsi="宋体"/>
          <w:color w:val="000000" w:themeColor="text1"/>
          <w:sz w:val="24"/>
          <w:szCs w:val="24"/>
        </w:rPr>
        <w:t>后一周内，</w:t>
      </w:r>
      <w:r>
        <w:rPr>
          <w:rFonts w:hint="eastAsia" w:ascii="宋体" w:hAnsi="宋体"/>
          <w:color w:val="000000" w:themeColor="text1"/>
          <w:sz w:val="24"/>
          <w:szCs w:val="24"/>
        </w:rPr>
        <w:t>自</w:t>
      </w:r>
      <w:r>
        <w:rPr>
          <w:rFonts w:ascii="宋体" w:hAnsi="宋体"/>
          <w:color w:val="000000" w:themeColor="text1"/>
          <w:sz w:val="24"/>
          <w:szCs w:val="24"/>
        </w:rPr>
        <w:t>行恢复原状，恢复费</w:t>
      </w:r>
      <w:r>
        <w:rPr>
          <w:rFonts w:hint="eastAsia" w:ascii="宋体" w:hAnsi="宋体"/>
          <w:color w:val="000000" w:themeColor="text1"/>
          <w:sz w:val="24"/>
          <w:szCs w:val="24"/>
        </w:rPr>
        <w:t>用可依法</w:t>
      </w:r>
      <w:r>
        <w:rPr>
          <w:rFonts w:ascii="宋体" w:hAnsi="宋体"/>
          <w:color w:val="000000" w:themeColor="text1"/>
          <w:sz w:val="24"/>
          <w:szCs w:val="24"/>
        </w:rPr>
        <w:t>从案件</w:t>
      </w:r>
      <w:r>
        <w:rPr>
          <w:rFonts w:hint="eastAsia" w:ascii="宋体" w:hAnsi="宋体"/>
          <w:color w:val="000000" w:themeColor="text1"/>
          <w:sz w:val="24"/>
          <w:szCs w:val="24"/>
        </w:rPr>
        <w:t>查</w:t>
      </w:r>
      <w:r>
        <w:rPr>
          <w:rFonts w:ascii="宋体" w:hAnsi="宋体"/>
          <w:color w:val="000000" w:themeColor="text1"/>
          <w:sz w:val="24"/>
          <w:szCs w:val="24"/>
        </w:rPr>
        <w:t>处或理赔款中列支；</w:t>
      </w:r>
      <w:r>
        <w:rPr>
          <w:rFonts w:hint="eastAsia" w:ascii="宋体" w:hAnsi="宋体"/>
          <w:color w:val="000000" w:themeColor="text1"/>
          <w:sz w:val="24"/>
          <w:szCs w:val="24"/>
        </w:rPr>
        <w:t>无</w:t>
      </w:r>
      <w:r>
        <w:rPr>
          <w:rFonts w:ascii="宋体" w:hAnsi="宋体"/>
          <w:color w:val="000000" w:themeColor="text1"/>
          <w:sz w:val="24"/>
          <w:szCs w:val="24"/>
        </w:rPr>
        <w:t>法查处的</w:t>
      </w:r>
      <w:r>
        <w:rPr>
          <w:rFonts w:hint="eastAsia" w:ascii="宋体" w:hAnsi="宋体"/>
          <w:color w:val="000000" w:themeColor="text1"/>
          <w:sz w:val="24"/>
          <w:szCs w:val="24"/>
        </w:rPr>
        <w:t>，则由承包人自行承担。</w:t>
      </w:r>
      <w:r>
        <w:rPr>
          <w:rFonts w:ascii="宋体" w:hAnsi="宋体"/>
          <w:color w:val="000000" w:themeColor="text1"/>
          <w:sz w:val="24"/>
          <w:szCs w:val="24"/>
        </w:rPr>
        <w:t>毁绿</w:t>
      </w:r>
      <w:r>
        <w:rPr>
          <w:rFonts w:hint="eastAsia" w:ascii="宋体" w:hAnsi="宋体"/>
          <w:color w:val="000000" w:themeColor="text1"/>
          <w:sz w:val="24"/>
          <w:szCs w:val="24"/>
        </w:rPr>
        <w:t>事项</w:t>
      </w:r>
      <w:r>
        <w:rPr>
          <w:rFonts w:ascii="宋体" w:hAnsi="宋体"/>
          <w:color w:val="000000" w:themeColor="text1"/>
          <w:sz w:val="24"/>
          <w:szCs w:val="24"/>
        </w:rPr>
        <w:t>10天内完成绿化恢复，临时占绿</w:t>
      </w:r>
      <w:r>
        <w:rPr>
          <w:rFonts w:hint="eastAsia" w:ascii="宋体" w:hAnsi="宋体"/>
          <w:color w:val="000000" w:themeColor="text1"/>
          <w:sz w:val="24"/>
          <w:szCs w:val="24"/>
        </w:rPr>
        <w:t>事项在</w:t>
      </w:r>
      <w:r>
        <w:rPr>
          <w:rFonts w:ascii="宋体" w:hAnsi="宋体"/>
          <w:color w:val="000000" w:themeColor="text1"/>
          <w:sz w:val="24"/>
          <w:szCs w:val="24"/>
        </w:rPr>
        <w:t>期满</w:t>
      </w:r>
      <w:r>
        <w:rPr>
          <w:rFonts w:hint="eastAsia" w:ascii="宋体" w:hAnsi="宋体"/>
          <w:color w:val="000000" w:themeColor="text1"/>
          <w:sz w:val="24"/>
          <w:szCs w:val="24"/>
        </w:rPr>
        <w:t>后</w:t>
      </w:r>
      <w:r>
        <w:rPr>
          <w:rFonts w:ascii="宋体" w:hAnsi="宋体"/>
          <w:color w:val="000000" w:themeColor="text1"/>
          <w:sz w:val="24"/>
          <w:szCs w:val="24"/>
        </w:rPr>
        <w:t>一个月内完成绿化恢复</w:t>
      </w:r>
      <w:r>
        <w:rPr>
          <w:rFonts w:hint="eastAsia" w:ascii="宋体" w:hAnsi="宋体"/>
          <w:color w:val="000000" w:themeColor="text1"/>
          <w:sz w:val="24"/>
          <w:szCs w:val="24"/>
        </w:rPr>
        <w:t>。</w:t>
      </w:r>
    </w:p>
    <w:p>
      <w:pPr>
        <w:snapToGrid w:val="0"/>
        <w:spacing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4. 接到城市树木迁移、临时占用绿地审批事项交办单后，需派标段项目负责人或项目现场负责人及时到现场协助发包人进行拍照、测量、统计及确定基建移伐点位与周边的准确位置（点位与周边固定物的方位），如实填写现场勘察记录表。</w:t>
      </w:r>
    </w:p>
    <w:p>
      <w:pPr>
        <w:snapToGrid w:val="0"/>
        <w:spacing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5.行政事项许可后，承包人必须在约定时间内完成基建移伐预决算编制、绿化移植及场地交割单办理，并对基建移伐现场的范围、时效做好监管工作。</w:t>
      </w:r>
    </w:p>
    <w:p>
      <w:pPr>
        <w:snapToGrid w:val="0"/>
        <w:spacing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6.根据发包人要求，及时清理和恢复被损、被毁绿地，</w:t>
      </w:r>
      <w:r>
        <w:rPr>
          <w:rFonts w:ascii="宋体" w:hAnsi="宋体"/>
          <w:color w:val="000000" w:themeColor="text1"/>
          <w:sz w:val="24"/>
          <w:szCs w:val="24"/>
        </w:rPr>
        <w:t>10日内</w:t>
      </w:r>
      <w:r>
        <w:rPr>
          <w:rFonts w:hint="eastAsia" w:ascii="宋体" w:hAnsi="宋体"/>
          <w:color w:val="000000" w:themeColor="text1"/>
          <w:sz w:val="24"/>
          <w:szCs w:val="24"/>
        </w:rPr>
        <w:t>完成。绿化恢复需监理全程监管，绿化恢复竣工后承包人需在</w:t>
      </w:r>
      <w:r>
        <w:rPr>
          <w:rFonts w:ascii="宋体" w:hAnsi="宋体"/>
          <w:color w:val="000000" w:themeColor="text1"/>
          <w:sz w:val="24"/>
          <w:szCs w:val="24"/>
        </w:rPr>
        <w:t>1周内将相关材料报送监理，申请竣工验收，未进行验收的项目不得进行竣工结算。</w:t>
      </w:r>
    </w:p>
    <w:p>
      <w:pPr>
        <w:snapToGrid w:val="0"/>
        <w:spacing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7.管护单位对绿地内非发包方所辖的路灯、供电等也应巡查，如存在损坏、被盗、保洁不到位等现象的，及时通知权属单位。</w:t>
      </w:r>
    </w:p>
    <w:p>
      <w:pPr>
        <w:snapToGrid w:val="0"/>
        <w:spacing w:line="360" w:lineRule="auto"/>
        <w:ind w:firstLine="482" w:firstLineChars="200"/>
        <w:rPr>
          <w:rFonts w:ascii="宋体" w:hAnsi="宋体"/>
          <w:b/>
          <w:color w:val="000000" w:themeColor="text1"/>
          <w:sz w:val="24"/>
          <w:szCs w:val="24"/>
        </w:rPr>
      </w:pPr>
      <w:r>
        <w:rPr>
          <w:rFonts w:hint="eastAsia" w:ascii="宋体" w:hAnsi="宋体"/>
          <w:b/>
          <w:color w:val="000000" w:themeColor="text1"/>
          <w:sz w:val="24"/>
          <w:szCs w:val="24"/>
        </w:rPr>
        <w:t>（八）秩序管理</w:t>
      </w:r>
    </w:p>
    <w:p>
      <w:pPr>
        <w:snapToGrid w:val="0"/>
        <w:spacing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1.绿地内无摊点和流动摊贩。车辆停放在指定位置、整齐有序。</w:t>
      </w:r>
    </w:p>
    <w:p>
      <w:pPr>
        <w:snapToGrid w:val="0"/>
        <w:spacing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2.对不文明行为要坚决制止劝告，对有可能发生意外状况的要立即处置，并及时向相关部门报告。</w:t>
      </w:r>
    </w:p>
    <w:p>
      <w:pPr>
        <w:snapToGrid w:val="0"/>
        <w:spacing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3.发现打架斗殴、疑似非法集会等行为立即劝阻并及时报警。</w:t>
      </w:r>
    </w:p>
    <w:p>
      <w:pPr>
        <w:snapToGrid w:val="0"/>
        <w:spacing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4.临时占用绿地进行经营或举办活动，必须事先取得有关行政机构许可，并报发包方备案。经许可的活动，要有效监管。对于发包方安排的活动，要积极配合做好相关工作。</w:t>
      </w:r>
    </w:p>
    <w:p>
      <w:pPr>
        <w:snapToGrid w:val="0"/>
        <w:spacing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5.</w:t>
      </w:r>
      <w:r>
        <w:rPr>
          <w:rFonts w:ascii="宋体" w:hAnsi="宋体"/>
          <w:color w:val="000000" w:themeColor="text1"/>
          <w:sz w:val="24"/>
          <w:szCs w:val="24"/>
        </w:rPr>
        <w:t>管护单位必须派专人每日</w:t>
      </w:r>
      <w:r>
        <w:rPr>
          <w:rFonts w:hint="eastAsia" w:ascii="宋体" w:hAnsi="宋体"/>
          <w:color w:val="000000" w:themeColor="text1"/>
          <w:sz w:val="24"/>
          <w:szCs w:val="24"/>
        </w:rPr>
        <w:t>巡查</w:t>
      </w:r>
      <w:r>
        <w:rPr>
          <w:rFonts w:ascii="宋体" w:hAnsi="宋体"/>
          <w:color w:val="000000" w:themeColor="text1"/>
          <w:sz w:val="24"/>
          <w:szCs w:val="24"/>
        </w:rPr>
        <w:t>（</w:t>
      </w:r>
      <w:r>
        <w:rPr>
          <w:rFonts w:hint="eastAsia" w:ascii="宋体" w:hAnsi="宋体"/>
          <w:color w:val="000000" w:themeColor="text1"/>
          <w:sz w:val="24"/>
          <w:szCs w:val="24"/>
        </w:rPr>
        <w:t>早上5:30-晚上22：30），对设施的安全性和功能性进行检查，及时消除安全隐患。</w:t>
      </w:r>
      <w:r>
        <w:rPr>
          <w:rFonts w:ascii="宋体" w:hAnsi="宋体"/>
          <w:color w:val="000000" w:themeColor="text1"/>
          <w:sz w:val="24"/>
          <w:szCs w:val="24"/>
        </w:rPr>
        <w:t>劝导市民安全文明健身</w:t>
      </w:r>
      <w:r>
        <w:rPr>
          <w:rFonts w:hint="eastAsia" w:ascii="宋体" w:hAnsi="宋体"/>
          <w:color w:val="000000" w:themeColor="text1"/>
          <w:sz w:val="24"/>
          <w:szCs w:val="24"/>
        </w:rPr>
        <w:t>，并对不</w:t>
      </w:r>
      <w:r>
        <w:rPr>
          <w:rFonts w:ascii="宋体" w:hAnsi="宋体"/>
          <w:color w:val="000000" w:themeColor="text1"/>
          <w:sz w:val="24"/>
          <w:szCs w:val="24"/>
        </w:rPr>
        <w:t>牵绳遛狗、宠物狗聚集嬉戏、电瓶车乱停放、音量过高扰民等不文明行为进行劝阻。</w:t>
      </w:r>
    </w:p>
    <w:p>
      <w:pPr>
        <w:snapToGrid w:val="0"/>
        <w:spacing w:line="360" w:lineRule="auto"/>
        <w:ind w:firstLine="482" w:firstLineChars="200"/>
        <w:rPr>
          <w:rFonts w:ascii="宋体" w:hAnsi="宋体"/>
          <w:b/>
          <w:color w:val="000000" w:themeColor="text1"/>
          <w:sz w:val="24"/>
          <w:szCs w:val="24"/>
        </w:rPr>
      </w:pPr>
      <w:r>
        <w:rPr>
          <w:rFonts w:hint="eastAsia" w:ascii="宋体" w:hAnsi="宋体"/>
          <w:b/>
          <w:color w:val="000000" w:themeColor="text1"/>
          <w:sz w:val="24"/>
          <w:szCs w:val="24"/>
        </w:rPr>
        <w:t>（九）应急抢险、各类重大活动迎查</w:t>
      </w:r>
    </w:p>
    <w:p>
      <w:pPr>
        <w:snapToGrid w:val="0"/>
        <w:spacing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1.做好各类突发事件应对预案，按要求储备各类应急物资，做好交通事故、</w:t>
      </w:r>
      <w:r>
        <w:rPr>
          <w:rFonts w:ascii="宋体" w:hAnsi="宋体"/>
          <w:color w:val="000000" w:themeColor="text1"/>
          <w:sz w:val="24"/>
          <w:szCs w:val="24"/>
        </w:rPr>
        <w:t>110联动报警和其他不可抗拒因素引起的树木倾倒、伤人、伤物、碰线等应急处置和台风、暴雪、暴雨等灾害性天气的防范、抢险，以及各类重大活动迎查突击性工作。</w:t>
      </w:r>
    </w:p>
    <w:p>
      <w:pPr>
        <w:snapToGrid w:val="0"/>
        <w:spacing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2.</w:t>
      </w:r>
      <w:r>
        <w:rPr>
          <w:rFonts w:ascii="宋体" w:hAnsi="宋体"/>
          <w:color w:val="000000" w:themeColor="text1"/>
          <w:sz w:val="24"/>
          <w:szCs w:val="24"/>
        </w:rPr>
        <w:t>台风、暴雨等特殊天气，</w:t>
      </w:r>
      <w:r>
        <w:rPr>
          <w:rFonts w:hint="eastAsia" w:ascii="宋体" w:hAnsi="宋体"/>
          <w:color w:val="000000" w:themeColor="text1"/>
          <w:sz w:val="24"/>
          <w:szCs w:val="24"/>
        </w:rPr>
        <w:t>根据发包方</w:t>
      </w:r>
      <w:r>
        <w:rPr>
          <w:rFonts w:ascii="宋体" w:hAnsi="宋体"/>
          <w:color w:val="000000" w:themeColor="text1"/>
          <w:sz w:val="24"/>
          <w:szCs w:val="24"/>
        </w:rPr>
        <w:t>应急</w:t>
      </w:r>
      <w:r>
        <w:rPr>
          <w:rFonts w:hint="eastAsia" w:ascii="宋体" w:hAnsi="宋体"/>
          <w:color w:val="000000" w:themeColor="text1"/>
          <w:sz w:val="24"/>
          <w:szCs w:val="24"/>
        </w:rPr>
        <w:t>预案执行。</w:t>
      </w:r>
      <w:r>
        <w:rPr>
          <w:rFonts w:ascii="宋体" w:hAnsi="宋体"/>
          <w:color w:val="000000" w:themeColor="text1"/>
          <w:sz w:val="24"/>
          <w:szCs w:val="24"/>
        </w:rPr>
        <w:t>实行24小时巡查值班，</w:t>
      </w:r>
      <w:r>
        <w:rPr>
          <w:rFonts w:hint="eastAsia" w:ascii="宋体" w:hAnsi="宋体"/>
          <w:color w:val="000000" w:themeColor="text1"/>
          <w:sz w:val="24"/>
          <w:szCs w:val="24"/>
        </w:rPr>
        <w:t>及时根据预警等级组织相应的应急抢险队伍并上报工作动态，</w:t>
      </w:r>
      <w:r>
        <w:rPr>
          <w:rFonts w:ascii="宋体" w:hAnsi="宋体"/>
          <w:color w:val="000000" w:themeColor="text1"/>
          <w:sz w:val="24"/>
          <w:szCs w:val="24"/>
        </w:rPr>
        <w:t>一旦发生险情，随时处置，并及时向有关部门回复处理情况。</w:t>
      </w:r>
    </w:p>
    <w:p>
      <w:pPr>
        <w:snapToGrid w:val="0"/>
        <w:spacing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3.在各类重大活动迎查期间，应强化组织领导，建立高效的快速反应机制，及时处置上级交办的事项，保质保量完成临时性、突击性工作任务。</w:t>
      </w:r>
    </w:p>
    <w:p>
      <w:pPr>
        <w:snapToGrid w:val="0"/>
        <w:spacing w:line="360" w:lineRule="auto"/>
        <w:ind w:firstLine="482" w:firstLineChars="200"/>
        <w:rPr>
          <w:rFonts w:ascii="宋体" w:hAnsi="宋体"/>
          <w:b/>
          <w:color w:val="000000" w:themeColor="text1"/>
          <w:sz w:val="24"/>
          <w:szCs w:val="24"/>
        </w:rPr>
      </w:pPr>
      <w:r>
        <w:rPr>
          <w:rFonts w:hint="eastAsia" w:ascii="宋体" w:hAnsi="宋体"/>
          <w:b/>
          <w:color w:val="000000" w:themeColor="text1"/>
          <w:sz w:val="24"/>
          <w:szCs w:val="24"/>
        </w:rPr>
        <w:t>（十）事件处置</w:t>
      </w:r>
    </w:p>
    <w:p>
      <w:pPr>
        <w:snapToGrid w:val="0"/>
        <w:spacing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及时处置政府热线、OA办公平台等转办案件，以及相关部门交办、政协提案、人大建议和各类群众来电来访等案件，并按发包人要求在规定时间内回复处置结果。</w:t>
      </w:r>
    </w:p>
    <w:p>
      <w:pPr>
        <w:snapToGrid w:val="0"/>
        <w:spacing w:line="360" w:lineRule="auto"/>
        <w:ind w:firstLine="482" w:firstLineChars="200"/>
        <w:rPr>
          <w:rFonts w:ascii="宋体" w:hAnsi="宋体"/>
          <w:b/>
          <w:color w:val="000000" w:themeColor="text1"/>
          <w:sz w:val="24"/>
          <w:szCs w:val="24"/>
        </w:rPr>
      </w:pPr>
      <w:r>
        <w:rPr>
          <w:rFonts w:hint="eastAsia" w:ascii="宋体" w:hAnsi="宋体"/>
          <w:b/>
          <w:color w:val="000000" w:themeColor="text1"/>
          <w:sz w:val="24"/>
          <w:szCs w:val="24"/>
        </w:rPr>
        <w:t>（十一）安全生产、综合治理、文明作业</w:t>
      </w:r>
    </w:p>
    <w:p>
      <w:pPr>
        <w:snapToGrid w:val="0"/>
        <w:spacing w:line="360" w:lineRule="auto"/>
        <w:ind w:firstLine="480" w:firstLineChars="200"/>
        <w:rPr>
          <w:rFonts w:ascii="宋体" w:hAnsi="宋体"/>
          <w:color w:val="000000" w:themeColor="text1"/>
          <w:sz w:val="24"/>
          <w:szCs w:val="24"/>
        </w:rPr>
      </w:pPr>
      <w:r>
        <w:rPr>
          <w:rFonts w:ascii="宋体" w:hAnsi="宋体"/>
          <w:color w:val="000000" w:themeColor="text1"/>
          <w:sz w:val="24"/>
          <w:szCs w:val="24"/>
        </w:rPr>
        <w:t>1</w:t>
      </w:r>
      <w:r>
        <w:rPr>
          <w:rFonts w:hint="eastAsia" w:ascii="宋体" w:hAnsi="宋体"/>
          <w:color w:val="000000" w:themeColor="text1"/>
          <w:sz w:val="24"/>
          <w:szCs w:val="24"/>
        </w:rPr>
        <w:t>.建立健全单位、部门、作业班组三级安全生产组织体系，切实加强对安全生产的组织领导。安全生产工作应与其他各项业务工作同安排、同布置、同检查、同考核。</w:t>
      </w:r>
    </w:p>
    <w:p>
      <w:pPr>
        <w:snapToGrid w:val="0"/>
        <w:spacing w:line="360" w:lineRule="auto"/>
        <w:ind w:firstLine="480" w:firstLineChars="200"/>
        <w:rPr>
          <w:rFonts w:ascii="宋体" w:hAnsi="宋体"/>
          <w:color w:val="000000" w:themeColor="text1"/>
          <w:sz w:val="24"/>
          <w:szCs w:val="24"/>
        </w:rPr>
      </w:pPr>
      <w:r>
        <w:rPr>
          <w:rFonts w:ascii="宋体" w:hAnsi="宋体"/>
          <w:color w:val="000000" w:themeColor="text1"/>
          <w:sz w:val="24"/>
          <w:szCs w:val="24"/>
        </w:rPr>
        <w:t>2</w:t>
      </w:r>
      <w:r>
        <w:rPr>
          <w:rFonts w:hint="eastAsia" w:ascii="宋体" w:hAnsi="宋体"/>
          <w:color w:val="000000" w:themeColor="text1"/>
          <w:sz w:val="24"/>
          <w:szCs w:val="24"/>
        </w:rPr>
        <w:t>.制订科学合理的安全生产规章制度及相关应急预案，分级负责，责任到人。</w:t>
      </w:r>
    </w:p>
    <w:p>
      <w:pPr>
        <w:snapToGrid w:val="0"/>
        <w:spacing w:line="360" w:lineRule="auto"/>
        <w:ind w:firstLine="480" w:firstLineChars="200"/>
        <w:rPr>
          <w:rFonts w:ascii="宋体" w:hAnsi="宋体"/>
          <w:color w:val="000000" w:themeColor="text1"/>
          <w:sz w:val="24"/>
          <w:szCs w:val="24"/>
        </w:rPr>
      </w:pPr>
      <w:r>
        <w:rPr>
          <w:rFonts w:ascii="宋体" w:hAnsi="宋体"/>
          <w:color w:val="000000" w:themeColor="text1"/>
          <w:sz w:val="24"/>
          <w:szCs w:val="24"/>
        </w:rPr>
        <w:t>3</w:t>
      </w:r>
      <w:r>
        <w:rPr>
          <w:rFonts w:hint="eastAsia" w:ascii="宋体" w:hAnsi="宋体"/>
          <w:color w:val="000000" w:themeColor="text1"/>
          <w:sz w:val="24"/>
          <w:szCs w:val="24"/>
        </w:rPr>
        <w:t>.配备必要的安全防护设施设备，操作人员应经过岗前培训合格后方可上岗。</w:t>
      </w:r>
    </w:p>
    <w:p>
      <w:pPr>
        <w:snapToGrid w:val="0"/>
        <w:spacing w:line="360" w:lineRule="auto"/>
        <w:ind w:firstLine="480" w:firstLineChars="200"/>
        <w:rPr>
          <w:rFonts w:ascii="宋体" w:hAnsi="宋体"/>
          <w:color w:val="000000" w:themeColor="text1"/>
          <w:sz w:val="24"/>
          <w:szCs w:val="24"/>
        </w:rPr>
      </w:pPr>
      <w:r>
        <w:rPr>
          <w:rFonts w:ascii="宋体" w:hAnsi="宋体"/>
          <w:color w:val="000000" w:themeColor="text1"/>
          <w:sz w:val="24"/>
          <w:szCs w:val="24"/>
        </w:rPr>
        <w:t>4</w:t>
      </w:r>
      <w:r>
        <w:rPr>
          <w:rFonts w:hint="eastAsia" w:ascii="宋体" w:hAnsi="宋体"/>
          <w:color w:val="000000" w:themeColor="text1"/>
          <w:sz w:val="24"/>
          <w:szCs w:val="24"/>
        </w:rPr>
        <w:t>.作业人员应身体健康，掌握作业技能，做好个人防护，严禁吸烟和酒后作业。</w:t>
      </w:r>
    </w:p>
    <w:p>
      <w:pPr>
        <w:snapToGrid w:val="0"/>
        <w:spacing w:line="360" w:lineRule="auto"/>
        <w:ind w:firstLine="480" w:firstLineChars="200"/>
        <w:rPr>
          <w:rFonts w:ascii="宋体" w:hAnsi="宋体"/>
          <w:color w:val="000000" w:themeColor="text1"/>
          <w:sz w:val="24"/>
          <w:szCs w:val="24"/>
        </w:rPr>
      </w:pPr>
      <w:r>
        <w:rPr>
          <w:rFonts w:ascii="宋体" w:hAnsi="宋体"/>
          <w:color w:val="000000" w:themeColor="text1"/>
          <w:sz w:val="24"/>
          <w:szCs w:val="24"/>
        </w:rPr>
        <w:t>5</w:t>
      </w:r>
      <w:r>
        <w:rPr>
          <w:rFonts w:hint="eastAsia" w:ascii="宋体" w:hAnsi="宋体"/>
          <w:color w:val="000000" w:themeColor="text1"/>
          <w:sz w:val="24"/>
          <w:szCs w:val="24"/>
        </w:rPr>
        <w:t>.做好高空、梯具、机械、高温等作业，以及消防安全，化肥、农药、汽油存放与使用等方面的安全生产工作。</w:t>
      </w:r>
    </w:p>
    <w:p>
      <w:pPr>
        <w:snapToGrid w:val="0"/>
        <w:spacing w:line="360" w:lineRule="auto"/>
        <w:ind w:firstLine="482" w:firstLineChars="200"/>
        <w:rPr>
          <w:rFonts w:ascii="宋体" w:hAnsi="宋体"/>
          <w:color w:val="000000" w:themeColor="text1"/>
          <w:sz w:val="24"/>
          <w:szCs w:val="24"/>
        </w:rPr>
      </w:pPr>
      <w:r>
        <w:rPr>
          <w:rFonts w:hint="eastAsia" w:ascii="宋体" w:hAnsi="宋体"/>
          <w:b/>
          <w:color w:val="0000FF"/>
          <w:sz w:val="24"/>
          <w:szCs w:val="24"/>
        </w:rPr>
        <w:t>6.</w:t>
      </w:r>
      <w:r>
        <w:rPr>
          <w:rFonts w:ascii="宋体" w:hAnsi="宋体"/>
          <w:b/>
          <w:color w:val="0000FF"/>
          <w:sz w:val="24"/>
          <w:szCs w:val="24"/>
        </w:rPr>
        <w:t>本项目位于行政中心和信访局大院内，因办公需要，日常养护作业、现场人员安排、机械使用等</w:t>
      </w:r>
      <w:r>
        <w:rPr>
          <w:rFonts w:hint="eastAsia" w:ascii="宋体" w:hAnsi="宋体"/>
          <w:b/>
          <w:color w:val="0000FF"/>
          <w:sz w:val="24"/>
          <w:szCs w:val="24"/>
        </w:rPr>
        <w:t>均须</w:t>
      </w:r>
      <w:r>
        <w:rPr>
          <w:rFonts w:ascii="宋体" w:hAnsi="宋体"/>
          <w:b/>
          <w:color w:val="0000FF"/>
          <w:sz w:val="24"/>
          <w:szCs w:val="24"/>
        </w:rPr>
        <w:t>服从机关事务局的</w:t>
      </w:r>
      <w:r>
        <w:rPr>
          <w:rFonts w:hint="eastAsia" w:ascii="宋体" w:hAnsi="宋体"/>
          <w:b/>
          <w:color w:val="0000FF"/>
          <w:sz w:val="24"/>
          <w:szCs w:val="24"/>
        </w:rPr>
        <w:t>管理和</w:t>
      </w:r>
      <w:r>
        <w:rPr>
          <w:rFonts w:ascii="宋体" w:hAnsi="宋体"/>
          <w:b/>
          <w:color w:val="0000FF"/>
          <w:sz w:val="24"/>
          <w:szCs w:val="24"/>
        </w:rPr>
        <w:t>监督。修剪、施肥、病虫害防治、</w:t>
      </w:r>
      <w:r>
        <w:rPr>
          <w:rFonts w:hint="eastAsia" w:ascii="宋体" w:hAnsi="宋体"/>
          <w:b/>
          <w:color w:val="0000FF"/>
          <w:sz w:val="24"/>
          <w:szCs w:val="24"/>
        </w:rPr>
        <w:t>草</w:t>
      </w:r>
      <w:r>
        <w:rPr>
          <w:rFonts w:ascii="宋体" w:hAnsi="宋体"/>
          <w:b/>
          <w:color w:val="0000FF"/>
          <w:sz w:val="24"/>
          <w:szCs w:val="24"/>
        </w:rPr>
        <w:t>花更换等专项作业养护单位</w:t>
      </w:r>
      <w:r>
        <w:rPr>
          <w:rFonts w:hint="eastAsia" w:ascii="宋体" w:hAnsi="宋体"/>
          <w:b/>
          <w:color w:val="0000FF"/>
          <w:sz w:val="24"/>
          <w:szCs w:val="24"/>
        </w:rPr>
        <w:t>应</w:t>
      </w:r>
      <w:r>
        <w:rPr>
          <w:rFonts w:ascii="宋体" w:hAnsi="宋体"/>
          <w:b/>
          <w:color w:val="0000FF"/>
          <w:sz w:val="24"/>
          <w:szCs w:val="24"/>
        </w:rPr>
        <w:t>提前上报作业计划，经机关事务局和业主方确认同意后才可进场作业；养护期间各项安全文明措施</w:t>
      </w:r>
      <w:r>
        <w:rPr>
          <w:rFonts w:hint="eastAsia" w:ascii="宋体" w:hAnsi="宋体"/>
          <w:b/>
          <w:color w:val="0000FF"/>
          <w:sz w:val="24"/>
          <w:szCs w:val="24"/>
        </w:rPr>
        <w:t>必</w:t>
      </w:r>
      <w:r>
        <w:rPr>
          <w:rFonts w:ascii="宋体" w:hAnsi="宋体"/>
          <w:b/>
          <w:color w:val="0000FF"/>
          <w:sz w:val="24"/>
          <w:szCs w:val="24"/>
        </w:rPr>
        <w:t>须到位，</w:t>
      </w:r>
      <w:r>
        <w:rPr>
          <w:rFonts w:hint="eastAsia" w:ascii="宋体" w:hAnsi="宋体"/>
          <w:b/>
          <w:color w:val="0000FF"/>
          <w:sz w:val="24"/>
          <w:szCs w:val="24"/>
        </w:rPr>
        <w:t>并</w:t>
      </w:r>
      <w:r>
        <w:rPr>
          <w:rFonts w:ascii="宋体" w:hAnsi="宋体"/>
          <w:b/>
          <w:color w:val="0000FF"/>
          <w:sz w:val="24"/>
          <w:szCs w:val="24"/>
        </w:rPr>
        <w:t>遵循机关事务局管理。</w:t>
      </w:r>
    </w:p>
    <w:p>
      <w:pPr>
        <w:snapToGrid w:val="0"/>
        <w:spacing w:line="360" w:lineRule="auto"/>
        <w:ind w:firstLine="482" w:firstLineChars="200"/>
        <w:rPr>
          <w:rFonts w:ascii="宋体" w:hAnsi="宋体"/>
          <w:b/>
          <w:color w:val="0000FF"/>
          <w:sz w:val="24"/>
          <w:szCs w:val="24"/>
        </w:rPr>
      </w:pPr>
      <w:r>
        <w:rPr>
          <w:rFonts w:hint="eastAsia" w:ascii="宋体" w:hAnsi="宋体"/>
          <w:b/>
          <w:color w:val="0000FF"/>
          <w:sz w:val="24"/>
          <w:szCs w:val="24"/>
        </w:rPr>
        <w:t>（十二）精细化管护试点</w:t>
      </w:r>
    </w:p>
    <w:p>
      <w:pPr>
        <w:snapToGrid w:val="0"/>
        <w:spacing w:line="360" w:lineRule="auto"/>
        <w:ind w:firstLine="482" w:firstLineChars="200"/>
        <w:rPr>
          <w:rFonts w:ascii="宋体" w:hAnsi="宋体"/>
          <w:b/>
          <w:color w:val="0000FF"/>
          <w:sz w:val="24"/>
          <w:szCs w:val="24"/>
        </w:rPr>
      </w:pPr>
      <w:r>
        <w:rPr>
          <w:rFonts w:hint="eastAsia" w:ascii="宋体" w:hAnsi="宋体"/>
          <w:b/>
          <w:color w:val="0000FF"/>
          <w:sz w:val="24"/>
          <w:szCs w:val="24"/>
        </w:rPr>
        <w:t>本标段为市管绿地精细化管护点位，需严格按照但不仅限于绿化处《绿地精细化养护技术导则》实行精细化管护，为我市绿地精细化管护做示范、表率。</w:t>
      </w:r>
    </w:p>
    <w:p>
      <w:pPr>
        <w:snapToGrid w:val="0"/>
        <w:spacing w:line="360" w:lineRule="auto"/>
        <w:ind w:firstLine="482" w:firstLineChars="200"/>
        <w:rPr>
          <w:rFonts w:ascii="宋体" w:hAnsi="宋体"/>
          <w:b/>
          <w:color w:val="000000" w:themeColor="text1"/>
          <w:sz w:val="24"/>
          <w:szCs w:val="24"/>
        </w:rPr>
      </w:pPr>
      <w:r>
        <w:rPr>
          <w:rFonts w:hint="eastAsia" w:ascii="宋体" w:hAnsi="宋体"/>
          <w:b/>
          <w:color w:val="000000" w:themeColor="text1"/>
          <w:sz w:val="24"/>
          <w:szCs w:val="24"/>
        </w:rPr>
        <w:t>（十三）其它</w:t>
      </w:r>
    </w:p>
    <w:p>
      <w:pPr>
        <w:snapToGrid w:val="0"/>
        <w:spacing w:line="360" w:lineRule="auto"/>
        <w:ind w:firstLine="480" w:firstLineChars="200"/>
        <w:rPr>
          <w:rFonts w:ascii="宋体" w:hAnsi="宋体"/>
          <w:color w:val="000000" w:themeColor="text1"/>
          <w:sz w:val="24"/>
          <w:szCs w:val="24"/>
        </w:rPr>
      </w:pPr>
      <w:r>
        <w:rPr>
          <w:rFonts w:ascii="宋体" w:hAnsi="宋体"/>
          <w:color w:val="000000" w:themeColor="text1"/>
          <w:sz w:val="24"/>
          <w:szCs w:val="24"/>
        </w:rPr>
        <w:t>1</w:t>
      </w:r>
      <w:r>
        <w:rPr>
          <w:rFonts w:hint="eastAsia" w:ascii="宋体" w:hAnsi="宋体"/>
          <w:color w:val="000000" w:themeColor="text1"/>
          <w:sz w:val="24"/>
          <w:szCs w:val="24"/>
        </w:rPr>
        <w:t>.根据发包人要求，标段设立管护公示牌。公示牌内容、规格、材质、样式等根据发包人统一设计方案制作，进场后一个月内安装到位，费用由承包人承担。</w:t>
      </w:r>
    </w:p>
    <w:p>
      <w:pPr>
        <w:snapToGrid w:val="0"/>
        <w:spacing w:line="360" w:lineRule="auto"/>
        <w:ind w:firstLine="480" w:firstLineChars="200"/>
        <w:rPr>
          <w:rFonts w:ascii="宋体" w:hAnsi="宋体"/>
          <w:color w:val="000000" w:themeColor="text1"/>
          <w:sz w:val="24"/>
          <w:szCs w:val="24"/>
        </w:rPr>
      </w:pPr>
      <w:r>
        <w:rPr>
          <w:rFonts w:ascii="宋体" w:hAnsi="宋体"/>
          <w:color w:val="000000" w:themeColor="text1"/>
          <w:sz w:val="24"/>
          <w:szCs w:val="24"/>
        </w:rPr>
        <w:t>2</w:t>
      </w:r>
      <w:r>
        <w:rPr>
          <w:rFonts w:hint="eastAsia" w:ascii="宋体" w:hAnsi="宋体"/>
          <w:color w:val="000000" w:themeColor="text1"/>
          <w:sz w:val="24"/>
          <w:szCs w:val="24"/>
        </w:rPr>
        <w:t>.进场前3天内，报送全年养护作业计划和该标段养护管理人员组成表。结合季节特点和绿化状况，制定季度、月度养护计划。</w:t>
      </w:r>
    </w:p>
    <w:p>
      <w:pPr>
        <w:snapToGrid w:val="0"/>
        <w:spacing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每月</w:t>
      </w:r>
      <w:r>
        <w:rPr>
          <w:rFonts w:ascii="宋体" w:hAnsi="宋体"/>
          <w:color w:val="000000" w:themeColor="text1"/>
          <w:sz w:val="24"/>
          <w:szCs w:val="24"/>
        </w:rPr>
        <w:t>28日前报送本月管护工作总结及下月养护计划，每</w:t>
      </w:r>
      <w:r>
        <w:rPr>
          <w:rFonts w:hint="eastAsia" w:ascii="宋体" w:hAnsi="宋体"/>
          <w:color w:val="000000" w:themeColor="text1"/>
          <w:sz w:val="24"/>
          <w:szCs w:val="24"/>
        </w:rPr>
        <w:t>两</w:t>
      </w:r>
      <w:r>
        <w:rPr>
          <w:rFonts w:ascii="宋体" w:hAnsi="宋体"/>
          <w:color w:val="000000" w:themeColor="text1"/>
          <w:sz w:val="24"/>
          <w:szCs w:val="24"/>
        </w:rPr>
        <w:t>周报送</w:t>
      </w:r>
      <w:r>
        <w:rPr>
          <w:rFonts w:hint="eastAsia" w:ascii="宋体" w:hAnsi="宋体"/>
          <w:color w:val="000000" w:themeColor="text1"/>
          <w:sz w:val="24"/>
          <w:szCs w:val="24"/>
        </w:rPr>
        <w:t>一次工作</w:t>
      </w:r>
      <w:r>
        <w:rPr>
          <w:rFonts w:ascii="宋体" w:hAnsi="宋体"/>
          <w:color w:val="000000" w:themeColor="text1"/>
          <w:sz w:val="24"/>
          <w:szCs w:val="24"/>
        </w:rPr>
        <w:t>计划。计划需明确每个养护地段的养护目标任务、工作内容、计划完成时间和保障措施等。</w:t>
      </w:r>
    </w:p>
    <w:p>
      <w:pPr>
        <w:snapToGrid w:val="0"/>
        <w:spacing w:line="360" w:lineRule="auto"/>
        <w:ind w:firstLine="480" w:firstLineChars="200"/>
        <w:rPr>
          <w:rFonts w:ascii="宋体" w:hAnsi="宋体"/>
          <w:color w:val="000000" w:themeColor="text1"/>
          <w:sz w:val="24"/>
          <w:szCs w:val="24"/>
        </w:rPr>
      </w:pPr>
      <w:r>
        <w:rPr>
          <w:rFonts w:ascii="宋体" w:hAnsi="宋体"/>
          <w:color w:val="000000" w:themeColor="text1"/>
          <w:sz w:val="24"/>
          <w:szCs w:val="24"/>
        </w:rPr>
        <w:t>3</w:t>
      </w:r>
      <w:r>
        <w:rPr>
          <w:rFonts w:hint="eastAsia" w:ascii="宋体" w:hAnsi="宋体"/>
          <w:color w:val="000000" w:themeColor="text1"/>
          <w:sz w:val="24"/>
          <w:szCs w:val="24"/>
        </w:rPr>
        <w:t>.建立健全台帐资料，包括年、月计划，养护专项工作方案及工作小结，每日巡查存在问题自查自纠、养护量统计（含增减）、数字化城管案例处置、园林设施运行与维护、来电来访、应急抢险、安全生产、环境卫生等台账资料。</w:t>
      </w:r>
    </w:p>
    <w:p>
      <w:pPr>
        <w:snapToGrid w:val="0"/>
        <w:spacing w:line="360" w:lineRule="auto"/>
        <w:ind w:firstLine="480" w:firstLineChars="200"/>
        <w:rPr>
          <w:rFonts w:ascii="宋体" w:hAnsi="宋体"/>
          <w:color w:val="000000" w:themeColor="text1"/>
          <w:sz w:val="24"/>
          <w:szCs w:val="24"/>
        </w:rPr>
      </w:pPr>
      <w:r>
        <w:rPr>
          <w:rFonts w:ascii="宋体" w:hAnsi="宋体"/>
          <w:color w:val="000000" w:themeColor="text1"/>
          <w:sz w:val="24"/>
          <w:szCs w:val="24"/>
        </w:rPr>
        <w:t>4</w:t>
      </w:r>
      <w:r>
        <w:rPr>
          <w:rFonts w:hint="eastAsia" w:ascii="宋体" w:hAnsi="宋体"/>
          <w:color w:val="000000" w:themeColor="text1"/>
          <w:sz w:val="24"/>
          <w:szCs w:val="24"/>
        </w:rPr>
        <w:t>.按通知要求准时参加各类绿化养护会议、培训、考察活动。标段养护负责人保持</w:t>
      </w:r>
      <w:r>
        <w:rPr>
          <w:rFonts w:ascii="宋体" w:hAnsi="宋体"/>
          <w:color w:val="000000" w:themeColor="text1"/>
          <w:sz w:val="24"/>
          <w:szCs w:val="24"/>
        </w:rPr>
        <w:t>24小时通信畅通。</w:t>
      </w:r>
    </w:p>
    <w:p>
      <w:pPr>
        <w:snapToGrid w:val="0"/>
        <w:spacing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5.片区管理站所在绿地的管护标段负责管理站的安全护卫保洁管理，片区其他管护标段根据安排负责管理站卫生保洁值班等。</w:t>
      </w:r>
    </w:p>
    <w:p>
      <w:pPr>
        <w:snapToGrid w:val="0"/>
        <w:spacing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6.承包期内，发包人如将新增管护量就近委托承包方管护，承包方不得以任何理由和借口拒绝。就近委托费用按财政预算标准×（1-标段投标下浮率）计取。</w:t>
      </w:r>
    </w:p>
    <w:p>
      <w:pPr>
        <w:snapToGrid w:val="0"/>
        <w:spacing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7.根据《南通市区绿化养护管理绩效评价办法的通知》通绿评【2024】1号文要求，本标段需配备1名专职巡查员。该名巡查员由中标人自行招聘并经发包人面试合格，合同期交发包人统一管理、调配使用6个月/年。中标人委托南通市人才事务所有限公司根据发包人考核结果按月代发工资。工资不低于政府购买服务岗位人员当期薪酬标准，投标单位在管护分项报价时应考虑此因素。</w:t>
      </w:r>
    </w:p>
    <w:p>
      <w:pPr>
        <w:snapToGrid w:val="0"/>
        <w:spacing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8、管护单位在公园绿地内积极组织举办爱绿护绿等公益性活动。</w:t>
      </w:r>
    </w:p>
    <w:p>
      <w:pPr>
        <w:snapToGrid w:val="0"/>
        <w:spacing w:line="360" w:lineRule="auto"/>
        <w:ind w:firstLine="482" w:firstLineChars="200"/>
        <w:rPr>
          <w:rFonts w:ascii="宋体" w:hAnsi="宋体"/>
          <w:b/>
          <w:color w:val="000000" w:themeColor="text1"/>
          <w:sz w:val="24"/>
          <w:szCs w:val="24"/>
        </w:rPr>
      </w:pPr>
      <w:r>
        <w:rPr>
          <w:rFonts w:hint="eastAsia" w:ascii="宋体" w:hAnsi="宋体"/>
          <w:b/>
          <w:color w:val="000000" w:themeColor="text1"/>
          <w:sz w:val="24"/>
          <w:szCs w:val="24"/>
        </w:rPr>
        <w:t>十、奖惩措施</w:t>
      </w:r>
    </w:p>
    <w:p>
      <w:pPr>
        <w:snapToGrid w:val="0"/>
        <w:spacing w:line="360" w:lineRule="auto"/>
        <w:ind w:firstLine="482" w:firstLineChars="200"/>
        <w:rPr>
          <w:rFonts w:ascii="宋体" w:hAnsi="宋体"/>
          <w:b/>
          <w:color w:val="000000" w:themeColor="text1"/>
          <w:sz w:val="24"/>
          <w:szCs w:val="24"/>
        </w:rPr>
      </w:pPr>
      <w:r>
        <w:rPr>
          <w:rFonts w:hint="eastAsia" w:ascii="宋体" w:hAnsi="宋体"/>
          <w:b/>
          <w:color w:val="000000" w:themeColor="text1"/>
          <w:sz w:val="24"/>
          <w:szCs w:val="24"/>
        </w:rPr>
        <w:t>（一）优秀评比及终止合同</w:t>
      </w:r>
    </w:p>
    <w:p>
      <w:pPr>
        <w:snapToGrid w:val="0"/>
        <w:spacing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1.每年开展绿化管护优秀标段、绿化管护优秀项目负责人、护绿先进工作者评选活动。</w:t>
      </w:r>
    </w:p>
    <w:p>
      <w:pPr>
        <w:snapToGrid w:val="0"/>
        <w:spacing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1）绿化管护优秀标段、优秀项目负责人评选：当年度养护时间达到3个月及以上，且每月综合得分在及格分以上（含）的标段可参与评选。年度总平均分排名前10%的，即为优秀标段，该标段的项目负责人即为优秀管护负责人。</w:t>
      </w:r>
    </w:p>
    <w:p>
      <w:pPr>
        <w:snapToGrid w:val="0"/>
        <w:spacing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（2）护绿先进工作者评选：</w:t>
      </w:r>
      <w:r>
        <w:rPr>
          <w:rFonts w:ascii="宋体" w:hAnsi="宋体"/>
          <w:color w:val="000000" w:themeColor="text1"/>
          <w:sz w:val="24"/>
          <w:szCs w:val="24"/>
        </w:rPr>
        <w:t>所在</w:t>
      </w:r>
      <w:r>
        <w:rPr>
          <w:rFonts w:hint="eastAsia" w:ascii="宋体" w:hAnsi="宋体"/>
          <w:color w:val="000000" w:themeColor="text1"/>
          <w:sz w:val="24"/>
          <w:szCs w:val="24"/>
        </w:rPr>
        <w:t>管</w:t>
      </w:r>
      <w:r>
        <w:rPr>
          <w:rFonts w:ascii="宋体" w:hAnsi="宋体"/>
          <w:color w:val="000000" w:themeColor="text1"/>
          <w:sz w:val="24"/>
          <w:szCs w:val="24"/>
        </w:rPr>
        <w:t>护标段无重、特大毁绿案件发生；发生毁绿案件能第一时间</w:t>
      </w:r>
      <w:r>
        <w:rPr>
          <w:rFonts w:hint="eastAsia" w:ascii="宋体" w:hAnsi="宋体"/>
          <w:color w:val="000000" w:themeColor="text1"/>
          <w:sz w:val="24"/>
          <w:szCs w:val="24"/>
        </w:rPr>
        <w:t>发现并</w:t>
      </w:r>
      <w:r>
        <w:rPr>
          <w:rFonts w:ascii="宋体" w:hAnsi="宋体"/>
          <w:color w:val="000000" w:themeColor="text1"/>
          <w:sz w:val="24"/>
          <w:szCs w:val="24"/>
        </w:rPr>
        <w:t>制止，</w:t>
      </w:r>
      <w:r>
        <w:rPr>
          <w:rFonts w:hint="eastAsia" w:ascii="宋体" w:hAnsi="宋体"/>
          <w:color w:val="000000" w:themeColor="text1"/>
          <w:sz w:val="24"/>
          <w:szCs w:val="24"/>
        </w:rPr>
        <w:t>及时</w:t>
      </w:r>
      <w:r>
        <w:rPr>
          <w:rFonts w:ascii="宋体" w:hAnsi="宋体"/>
          <w:color w:val="000000" w:themeColor="text1"/>
          <w:sz w:val="24"/>
          <w:szCs w:val="24"/>
        </w:rPr>
        <w:t>向城管、公安等执法部门举报</w:t>
      </w:r>
      <w:r>
        <w:rPr>
          <w:rFonts w:hint="eastAsia" w:ascii="宋体" w:hAnsi="宋体"/>
          <w:color w:val="000000" w:themeColor="text1"/>
          <w:sz w:val="24"/>
          <w:szCs w:val="24"/>
        </w:rPr>
        <w:t>，同步</w:t>
      </w:r>
      <w:r>
        <w:rPr>
          <w:rFonts w:ascii="宋体" w:hAnsi="宋体"/>
          <w:color w:val="000000" w:themeColor="text1"/>
          <w:sz w:val="24"/>
          <w:szCs w:val="24"/>
        </w:rPr>
        <w:t>上报处行管科，</w:t>
      </w:r>
      <w:r>
        <w:rPr>
          <w:rFonts w:hint="eastAsia" w:ascii="宋体" w:hAnsi="宋体"/>
          <w:color w:val="000000" w:themeColor="text1"/>
          <w:sz w:val="24"/>
          <w:szCs w:val="24"/>
        </w:rPr>
        <w:t>并</w:t>
      </w:r>
      <w:r>
        <w:rPr>
          <w:rFonts w:ascii="宋体" w:hAnsi="宋体"/>
          <w:color w:val="000000" w:themeColor="text1"/>
          <w:sz w:val="24"/>
          <w:szCs w:val="24"/>
        </w:rPr>
        <w:t>配合做好现场勘察调查</w:t>
      </w:r>
      <w:r>
        <w:rPr>
          <w:rFonts w:hint="eastAsia" w:ascii="宋体" w:hAnsi="宋体"/>
          <w:color w:val="000000" w:themeColor="text1"/>
          <w:sz w:val="24"/>
          <w:szCs w:val="24"/>
        </w:rPr>
        <w:t>和</w:t>
      </w:r>
      <w:r>
        <w:rPr>
          <w:rFonts w:ascii="宋体" w:hAnsi="宋体"/>
          <w:color w:val="000000" w:themeColor="text1"/>
          <w:sz w:val="24"/>
          <w:szCs w:val="24"/>
        </w:rPr>
        <w:t>绿化理赔</w:t>
      </w:r>
      <w:r>
        <w:rPr>
          <w:rFonts w:hint="eastAsia" w:ascii="宋体" w:hAnsi="宋体"/>
          <w:color w:val="000000" w:themeColor="text1"/>
          <w:sz w:val="24"/>
          <w:szCs w:val="24"/>
        </w:rPr>
        <w:t>等</w:t>
      </w:r>
      <w:r>
        <w:rPr>
          <w:rFonts w:ascii="宋体" w:hAnsi="宋体"/>
          <w:color w:val="000000" w:themeColor="text1"/>
          <w:sz w:val="24"/>
          <w:szCs w:val="24"/>
        </w:rPr>
        <w:t>工作；在绿化纠违活动中表现突出。</w:t>
      </w:r>
    </w:p>
    <w:p>
      <w:pPr>
        <w:snapToGrid w:val="0"/>
        <w:spacing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评为优秀标段、优秀项目负责人及护绿先进工作者的，给予通报表彰，颁发荣誉证书、奖牌。</w:t>
      </w:r>
    </w:p>
    <w:p>
      <w:pPr>
        <w:snapToGrid w:val="0"/>
        <w:spacing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2.上年度的优秀标段，享有优先就近直接委托管护、参与基建移伐绿地恢复等特殊项目的比选资格。</w:t>
      </w:r>
    </w:p>
    <w:p>
      <w:pPr>
        <w:snapToGrid w:val="0"/>
        <w:spacing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3.实行末位淘汰制。对当年养护时间满3个月及以上的标段，月度考核平均得分排名末位且至少有1个月的月度考核低于85分的，终止该标段养护合同并重新组织公开招标。在新单位接管前，仍由原单位负责管护。</w:t>
      </w:r>
    </w:p>
    <w:p>
      <w:pPr>
        <w:snapToGrid w:val="0"/>
        <w:spacing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 xml:space="preserve">4.当年累计有三次月度考核得分低于70分的，终止该标段养护合同并重新组织公开招标，在新单位接管前，仍由原单位负责管护。   </w:t>
      </w:r>
    </w:p>
    <w:p>
      <w:pPr>
        <w:snapToGrid w:val="0"/>
        <w:spacing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5.中标后3个月内项目负责人、现场负责人无法出勤，或严重缺勤（缺勤时间超过应出勤时间二分之一的）,发包方有权终止该标段养护合同并重新组织公开招标。在新单位接管前，仍由原单位代为管护，管护要求同原合同。</w:t>
      </w:r>
    </w:p>
    <w:p>
      <w:pPr>
        <w:snapToGrid w:val="0"/>
        <w:spacing w:line="360" w:lineRule="auto"/>
        <w:ind w:firstLine="482" w:firstLineChars="200"/>
        <w:rPr>
          <w:rFonts w:ascii="宋体" w:hAnsi="宋体"/>
          <w:b/>
          <w:color w:val="000000" w:themeColor="text1"/>
          <w:sz w:val="24"/>
          <w:szCs w:val="24"/>
        </w:rPr>
      </w:pPr>
      <w:r>
        <w:rPr>
          <w:rFonts w:hint="eastAsia" w:ascii="宋体" w:hAnsi="宋体"/>
          <w:b/>
          <w:color w:val="000000" w:themeColor="text1"/>
          <w:sz w:val="24"/>
          <w:szCs w:val="24"/>
        </w:rPr>
        <w:t>（二）加减分及扣款事项</w:t>
      </w:r>
    </w:p>
    <w:p>
      <w:pPr>
        <w:snapToGrid w:val="0"/>
        <w:spacing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1.在养护合同约定的正常工作内容以外，协助发包方承担帮扶工作等突击任务，或经发包方确认方案，主动自费对绿地缺陷改造完善或对重要节点景观提升微改造，主动采取彩旗、灯笼、花境等措施，积极营造绿地节庆活动氛围，具备一定规模且效果良好的，经验收合格，审核造价为3000-5000元（含）的，当月考核得分直接加0.5分；5000-10000元（含）的，当月考核得分加1分；10000-15000元（含）的，当月考核得分加1.5分；15000元以上的，当月考核得分加2分；草花布置中选用新特优品种且成效较好的，单个点位面积20-30㎡（含）的，当月考核得分加0.5分/点位；30-50 ㎡（含）的，当月考核得分加1分/点位；50 ㎡以上的，当月考核得分加1.5分/点位。</w:t>
      </w:r>
    </w:p>
    <w:p>
      <w:pPr>
        <w:snapToGrid w:val="0"/>
        <w:spacing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2.在发包方交办的工作任务、护绿行动中表现突出，及日常管护中有见义勇为等弘扬正气的事迹，在当月综合得分的基础上加1分；受到国家、省、市级表扬或媒体报道的，年度月平均考核得分分别加0.5分、0.3分、0.2分；同一事件以最高加分计，年度月平均考核得分累计加分不得超过2分。</w:t>
      </w:r>
    </w:p>
    <w:p>
      <w:pPr>
        <w:snapToGrid w:val="0"/>
        <w:spacing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3.管护单位接到问题整改通知后拒不整改的，当月综合得分直接扣5分/次；发包方可安排第三方整改，费用按定额计取后从所在标段养护经费中扣除，后续管护仍由承包方负责。</w:t>
      </w:r>
    </w:p>
    <w:p>
      <w:pPr>
        <w:snapToGrid w:val="0"/>
        <w:spacing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整改不力或未做到举一反三，标段内存在同类问题的，当月综合得分直接扣2分/次。</w:t>
      </w:r>
    </w:p>
    <w:p>
      <w:pPr>
        <w:snapToGrid w:val="0"/>
        <w:spacing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4.有如下情况发生，除按考核细则扣分外，直接扣款。</w:t>
      </w:r>
    </w:p>
    <w:p>
      <w:pPr>
        <w:snapToGrid w:val="0"/>
        <w:spacing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（1）</w:t>
      </w:r>
      <w:r>
        <w:rPr>
          <w:rFonts w:ascii="宋体" w:hAnsi="宋体"/>
          <w:color w:val="000000" w:themeColor="text1"/>
          <w:sz w:val="24"/>
          <w:szCs w:val="24"/>
        </w:rPr>
        <w:t>发生毁绿案件，</w:t>
      </w:r>
      <w:r>
        <w:rPr>
          <w:rFonts w:hint="eastAsia" w:ascii="宋体" w:hAnsi="宋体"/>
          <w:color w:val="000000" w:themeColor="text1"/>
          <w:sz w:val="24"/>
          <w:szCs w:val="24"/>
        </w:rPr>
        <w:t>承包人未及时发现或知情不报的，当月综合得分直接扣2分/起、扣款</w:t>
      </w:r>
      <w:r>
        <w:rPr>
          <w:rFonts w:ascii="宋体" w:hAnsi="宋体"/>
          <w:color w:val="000000" w:themeColor="text1"/>
          <w:sz w:val="24"/>
          <w:szCs w:val="24"/>
        </w:rPr>
        <w:t>5000元；</w:t>
      </w:r>
      <w:r>
        <w:rPr>
          <w:rFonts w:hint="eastAsia" w:ascii="宋体" w:hAnsi="宋体"/>
          <w:color w:val="000000" w:themeColor="text1"/>
          <w:sz w:val="24"/>
          <w:szCs w:val="24"/>
        </w:rPr>
        <w:t>不及时恢复的，扣款</w:t>
      </w:r>
      <w:r>
        <w:rPr>
          <w:rFonts w:ascii="宋体" w:hAnsi="宋体"/>
          <w:color w:val="000000" w:themeColor="text1"/>
          <w:sz w:val="24"/>
          <w:szCs w:val="24"/>
        </w:rPr>
        <w:t>2000元</w:t>
      </w:r>
      <w:r>
        <w:rPr>
          <w:rFonts w:hint="eastAsia" w:ascii="宋体" w:hAnsi="宋体"/>
          <w:color w:val="000000" w:themeColor="text1"/>
          <w:sz w:val="24"/>
          <w:szCs w:val="24"/>
        </w:rPr>
        <w:t>；与违法单位或人员私下交易的，首次发现</w:t>
      </w:r>
      <w:r>
        <w:rPr>
          <w:rFonts w:ascii="宋体" w:hAnsi="宋体"/>
          <w:color w:val="000000" w:themeColor="text1"/>
          <w:sz w:val="24"/>
          <w:szCs w:val="24"/>
        </w:rPr>
        <w:t>，</w:t>
      </w:r>
      <w:r>
        <w:rPr>
          <w:rFonts w:hint="eastAsia" w:ascii="宋体" w:hAnsi="宋体"/>
          <w:color w:val="000000" w:themeColor="text1"/>
          <w:sz w:val="24"/>
          <w:szCs w:val="24"/>
        </w:rPr>
        <w:t>当月综合得分直接扣3分、扣款10000元，</w:t>
      </w:r>
      <w:r>
        <w:rPr>
          <w:rFonts w:ascii="宋体" w:hAnsi="宋体"/>
          <w:color w:val="000000" w:themeColor="text1"/>
          <w:sz w:val="24"/>
          <w:szCs w:val="24"/>
        </w:rPr>
        <w:t>没收非法所得，</w:t>
      </w:r>
      <w:r>
        <w:rPr>
          <w:rFonts w:hint="eastAsia" w:ascii="宋体" w:hAnsi="宋体"/>
          <w:color w:val="000000" w:themeColor="text1"/>
          <w:sz w:val="24"/>
          <w:szCs w:val="24"/>
        </w:rPr>
        <w:t>并由管护单位自费原样恢复，同时取消该标段当年</w:t>
      </w:r>
      <w:r>
        <w:rPr>
          <w:rFonts w:ascii="宋体" w:hAnsi="宋体"/>
          <w:color w:val="000000" w:themeColor="text1"/>
          <w:sz w:val="24"/>
          <w:szCs w:val="24"/>
        </w:rPr>
        <w:t>评优资格</w:t>
      </w:r>
      <w:r>
        <w:rPr>
          <w:rFonts w:hint="eastAsia" w:ascii="宋体" w:hAnsi="宋体"/>
          <w:color w:val="000000" w:themeColor="text1"/>
          <w:sz w:val="24"/>
          <w:szCs w:val="24"/>
        </w:rPr>
        <w:t>。</w:t>
      </w:r>
    </w:p>
    <w:p>
      <w:pPr>
        <w:snapToGrid w:val="0"/>
        <w:spacing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（2）黑麦草成坪率低于</w:t>
      </w:r>
      <w:r>
        <w:rPr>
          <w:rFonts w:ascii="宋体" w:hAnsi="宋体"/>
          <w:color w:val="000000" w:themeColor="text1"/>
          <w:sz w:val="24"/>
          <w:szCs w:val="24"/>
        </w:rPr>
        <w:t>85%、高于等于60%的，按照每平方米1.80元/年</w:t>
      </w:r>
      <w:r>
        <w:rPr>
          <w:rFonts w:hint="eastAsia" w:ascii="宋体" w:hAnsi="宋体"/>
          <w:color w:val="000000" w:themeColor="text1"/>
          <w:sz w:val="24"/>
          <w:szCs w:val="24"/>
        </w:rPr>
        <w:t>扣减不合格面积的费用，并责成立即整改到位；成坪率低于</w:t>
      </w:r>
      <w:r>
        <w:rPr>
          <w:rFonts w:ascii="宋体" w:hAnsi="宋体"/>
          <w:color w:val="000000" w:themeColor="text1"/>
          <w:sz w:val="24"/>
          <w:szCs w:val="24"/>
        </w:rPr>
        <w:t>60%的，按照每平方米1.80元/年</w:t>
      </w:r>
      <w:r>
        <w:rPr>
          <w:rFonts w:hint="eastAsia" w:ascii="宋体" w:hAnsi="宋体"/>
          <w:color w:val="000000" w:themeColor="text1"/>
          <w:sz w:val="24"/>
          <w:szCs w:val="24"/>
        </w:rPr>
        <w:t>扣减全部面积的费用，并责成立即整改到位。整改不到位的，另按每平方米</w:t>
      </w:r>
      <w:r>
        <w:rPr>
          <w:rFonts w:ascii="宋体" w:hAnsi="宋体"/>
          <w:color w:val="000000" w:themeColor="text1"/>
          <w:sz w:val="24"/>
          <w:szCs w:val="24"/>
        </w:rPr>
        <w:t>1.80元/年</w:t>
      </w:r>
      <w:r>
        <w:rPr>
          <w:rFonts w:hint="eastAsia" w:ascii="宋体" w:hAnsi="宋体"/>
          <w:color w:val="000000" w:themeColor="text1"/>
          <w:sz w:val="24"/>
          <w:szCs w:val="24"/>
        </w:rPr>
        <w:t>进行扣款。每年5月份前，黑麦草出现普遍发黄现象的，1公顷以下扣款1000元/次，1-3公顷扣款2000元/次，3公顷以上扣款3000元/次。</w:t>
      </w:r>
    </w:p>
    <w:p>
      <w:pPr>
        <w:snapToGrid w:val="0"/>
        <w:spacing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（3）草花布置质量差，覆盖率、初花率达不到要求，草花枯萎未及时更换等，由监理现场计量不合格面积，按50元/㎡·次扣减费用，并责成立即整改到位。</w:t>
      </w:r>
    </w:p>
    <w:p>
      <w:pPr>
        <w:snapToGrid w:val="0"/>
        <w:spacing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 xml:space="preserve">（4）施肥  </w:t>
      </w:r>
    </w:p>
    <w:p>
      <w:pPr>
        <w:snapToGrid w:val="0"/>
        <w:spacing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①草坪：月度考核中发现草坪由于少肥或施肥不当导致发黄或斑秃超过</w:t>
      </w:r>
      <w:r>
        <w:rPr>
          <w:rFonts w:ascii="宋体" w:hAnsi="宋体"/>
          <w:color w:val="000000" w:themeColor="text1"/>
          <w:sz w:val="24"/>
          <w:szCs w:val="24"/>
        </w:rPr>
        <w:t>50</w:t>
      </w:r>
      <w:r>
        <w:rPr>
          <w:rFonts w:hint="eastAsia" w:ascii="宋体" w:hAnsi="宋体"/>
          <w:color w:val="000000" w:themeColor="text1"/>
          <w:sz w:val="24"/>
          <w:szCs w:val="24"/>
        </w:rPr>
        <w:t>平方米的，除考核扣分扣款外，另扣除不合格面积全年施肥费用（0.74元/㎡）的1/6，并立即整改到位。</w:t>
      </w:r>
    </w:p>
    <w:p>
      <w:pPr>
        <w:snapToGrid w:val="0"/>
        <w:spacing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②树木：承包人进场养护六个月后，发包人在考核时发现因未施肥或施肥不到位，导致树木长势瘦弱的，扣除不合格管护量的全年施肥费用（绿化0.37元/㎡、行道树及绿地内大乔木1.23元/株、高架花箱0.80元/只，高架花箱轻质营养土补充不到位，造成花箱植株无法正常生长的扣除2.00元/只）。</w:t>
      </w:r>
    </w:p>
    <w:p>
      <w:pPr>
        <w:snapToGrid w:val="0"/>
        <w:spacing w:line="360" w:lineRule="auto"/>
        <w:ind w:firstLine="480" w:firstLineChars="200"/>
        <w:rPr>
          <w:rFonts w:ascii="宋体" w:hAnsi="宋体"/>
          <w:color w:val="000000" w:themeColor="text1"/>
          <w:sz w:val="24"/>
          <w:szCs w:val="24"/>
        </w:rPr>
      </w:pPr>
      <w:r>
        <w:rPr>
          <w:rFonts w:ascii="宋体" w:hAnsi="宋体"/>
          <w:color w:val="000000" w:themeColor="text1"/>
          <w:sz w:val="24"/>
          <w:szCs w:val="24"/>
        </w:rPr>
        <w:t>③</w:t>
      </w:r>
      <w:r>
        <w:rPr>
          <w:rFonts w:hint="eastAsia" w:ascii="宋体" w:hAnsi="宋体"/>
          <w:color w:val="000000" w:themeColor="text1"/>
          <w:sz w:val="24"/>
          <w:szCs w:val="24"/>
        </w:rPr>
        <w:t>未按规定实施叶面肥，扣款</w:t>
      </w:r>
      <w:r>
        <w:rPr>
          <w:rFonts w:ascii="宋体" w:hAnsi="宋体"/>
          <w:color w:val="000000" w:themeColor="text1"/>
          <w:sz w:val="24"/>
          <w:szCs w:val="24"/>
        </w:rPr>
        <w:t>5000</w:t>
      </w:r>
      <w:r>
        <w:rPr>
          <w:rFonts w:hint="eastAsia" w:ascii="宋体" w:hAnsi="宋体"/>
          <w:color w:val="000000" w:themeColor="text1"/>
          <w:sz w:val="24"/>
          <w:szCs w:val="24"/>
        </w:rPr>
        <w:t>元</w:t>
      </w:r>
      <w:r>
        <w:rPr>
          <w:rFonts w:ascii="宋体" w:hAnsi="宋体"/>
          <w:color w:val="000000" w:themeColor="text1"/>
          <w:sz w:val="24"/>
          <w:szCs w:val="24"/>
        </w:rPr>
        <w:t>/</w:t>
      </w:r>
      <w:r>
        <w:rPr>
          <w:rFonts w:hint="eastAsia" w:ascii="宋体" w:hAnsi="宋体"/>
          <w:color w:val="000000" w:themeColor="text1"/>
          <w:sz w:val="24"/>
          <w:szCs w:val="24"/>
        </w:rPr>
        <w:t>次。</w:t>
      </w:r>
    </w:p>
    <w:p>
      <w:pPr>
        <w:snapToGrid w:val="0"/>
        <w:spacing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（5）</w:t>
      </w:r>
      <w:r>
        <w:rPr>
          <w:rFonts w:ascii="宋体" w:hAnsi="宋体"/>
          <w:color w:val="000000" w:themeColor="text1"/>
          <w:sz w:val="24"/>
          <w:szCs w:val="24"/>
        </w:rPr>
        <w:t>无故缺席各类绿化</w:t>
      </w:r>
      <w:r>
        <w:rPr>
          <w:rFonts w:hint="eastAsia" w:ascii="宋体" w:hAnsi="宋体"/>
          <w:color w:val="000000" w:themeColor="text1"/>
          <w:sz w:val="24"/>
          <w:szCs w:val="24"/>
        </w:rPr>
        <w:t>管</w:t>
      </w:r>
      <w:r>
        <w:rPr>
          <w:rFonts w:ascii="宋体" w:hAnsi="宋体"/>
          <w:color w:val="000000" w:themeColor="text1"/>
          <w:sz w:val="24"/>
          <w:szCs w:val="24"/>
        </w:rPr>
        <w:t>护会议、培训等活动的，每发生一次每人</w:t>
      </w:r>
      <w:r>
        <w:rPr>
          <w:rFonts w:hint="eastAsia" w:ascii="宋体" w:hAnsi="宋体"/>
          <w:color w:val="000000" w:themeColor="text1"/>
          <w:sz w:val="24"/>
          <w:szCs w:val="24"/>
        </w:rPr>
        <w:t>扣款1000元。</w:t>
      </w:r>
    </w:p>
    <w:p>
      <w:pPr>
        <w:snapToGrid w:val="0"/>
        <w:spacing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（6）项目负责人、现场负责人无故缺勤，</w:t>
      </w:r>
      <w:bookmarkStart w:id="143" w:name="OLE_LINK82"/>
      <w:bookmarkStart w:id="144" w:name="OLE_LINK81"/>
      <w:r>
        <w:rPr>
          <w:rFonts w:hint="eastAsia" w:ascii="宋体" w:hAnsi="宋体"/>
          <w:color w:val="000000" w:themeColor="text1"/>
          <w:sz w:val="24"/>
          <w:szCs w:val="24"/>
        </w:rPr>
        <w:t>当月综合得分直接扣1分/天；除扣分外，无故缺勤</w:t>
      </w:r>
      <w:bookmarkEnd w:id="143"/>
      <w:bookmarkEnd w:id="144"/>
      <w:r>
        <w:rPr>
          <w:rFonts w:hint="eastAsia" w:ascii="宋体" w:hAnsi="宋体"/>
          <w:color w:val="000000" w:themeColor="text1"/>
          <w:sz w:val="24"/>
          <w:szCs w:val="24"/>
        </w:rPr>
        <w:t>少于3天的，扣款500元/天，无故缺勤3天及以上的，扣款1000元/天。联系不上或联系上但未到指定现场的，视为缺勤，扣款1000元/次；接到指令后未能及时到达指定现场的，扣款500元/次。</w:t>
      </w:r>
    </w:p>
    <w:p>
      <w:pPr>
        <w:snapToGrid w:val="0"/>
        <w:spacing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（7）养护单位在聘用专职巡查员时需认真审核筛选，合同期内专职巡查员由绿化处统一管理与调配，一年中因生病或离职等不可抗力原因可变更1次，每超过1次，则扣除该相应标段养护费6000元。</w:t>
      </w:r>
    </w:p>
    <w:p>
      <w:pPr>
        <w:snapToGrid w:val="0"/>
        <w:spacing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（8）养护作业人员不满足要求的，按5</w:t>
      </w:r>
      <w:r>
        <w:rPr>
          <w:rFonts w:ascii="宋体" w:hAnsi="宋体"/>
          <w:color w:val="000000" w:themeColor="text1"/>
          <w:sz w:val="24"/>
          <w:szCs w:val="24"/>
        </w:rPr>
        <w:t>00元/</w:t>
      </w:r>
      <w:r>
        <w:rPr>
          <w:rFonts w:hint="eastAsia" w:ascii="宋体" w:hAnsi="宋体"/>
          <w:color w:val="000000" w:themeColor="text1"/>
          <w:sz w:val="24"/>
          <w:szCs w:val="24"/>
        </w:rPr>
        <w:t>人.天扣款。有考勤弄虚作假情形的，视其情节严重程度，按上述扣款金额二至三倍加重扣款。车辆、人员运行轨迹弄虚作假的，扣款5000元/次。</w:t>
      </w:r>
    </w:p>
    <w:p>
      <w:pPr>
        <w:snapToGrid w:val="0"/>
        <w:spacing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（9）</w:t>
      </w:r>
      <w:r>
        <w:rPr>
          <w:rFonts w:ascii="宋体" w:hAnsi="宋体"/>
          <w:color w:val="000000" w:themeColor="text1"/>
          <w:sz w:val="24"/>
          <w:szCs w:val="24"/>
        </w:rPr>
        <w:t>未按时间节点、有关要求报送相关资料的，</w:t>
      </w:r>
      <w:r>
        <w:rPr>
          <w:rFonts w:hint="eastAsia" w:ascii="宋体" w:hAnsi="宋体"/>
          <w:color w:val="000000" w:themeColor="text1"/>
          <w:sz w:val="24"/>
          <w:szCs w:val="24"/>
        </w:rPr>
        <w:t>扣款</w:t>
      </w:r>
      <w:r>
        <w:rPr>
          <w:rFonts w:ascii="宋体" w:hAnsi="宋体"/>
          <w:color w:val="000000" w:themeColor="text1"/>
          <w:sz w:val="24"/>
          <w:szCs w:val="24"/>
        </w:rPr>
        <w:t>200</w:t>
      </w:r>
      <w:r>
        <w:rPr>
          <w:rFonts w:hint="eastAsia" w:ascii="宋体" w:hAnsi="宋体"/>
          <w:color w:val="000000" w:themeColor="text1"/>
          <w:sz w:val="24"/>
          <w:szCs w:val="24"/>
        </w:rPr>
        <w:t>元</w:t>
      </w:r>
      <w:r>
        <w:rPr>
          <w:rFonts w:ascii="宋体" w:hAnsi="宋体"/>
          <w:color w:val="000000" w:themeColor="text1"/>
          <w:sz w:val="24"/>
          <w:szCs w:val="24"/>
        </w:rPr>
        <w:t>/次；报送但资料不符合要求的，</w:t>
      </w:r>
      <w:r>
        <w:rPr>
          <w:rFonts w:hint="eastAsia" w:ascii="宋体" w:hAnsi="宋体"/>
          <w:color w:val="000000" w:themeColor="text1"/>
          <w:sz w:val="24"/>
          <w:szCs w:val="24"/>
        </w:rPr>
        <w:t>扣款</w:t>
      </w:r>
      <w:r>
        <w:rPr>
          <w:rFonts w:ascii="宋体" w:hAnsi="宋体"/>
          <w:color w:val="000000" w:themeColor="text1"/>
          <w:sz w:val="24"/>
          <w:szCs w:val="24"/>
        </w:rPr>
        <w:t>100</w:t>
      </w:r>
      <w:r>
        <w:rPr>
          <w:rFonts w:hint="eastAsia" w:ascii="宋体" w:hAnsi="宋体"/>
          <w:color w:val="000000" w:themeColor="text1"/>
          <w:sz w:val="24"/>
          <w:szCs w:val="24"/>
        </w:rPr>
        <w:t>元</w:t>
      </w:r>
      <w:r>
        <w:rPr>
          <w:rFonts w:ascii="宋体" w:hAnsi="宋体"/>
          <w:color w:val="000000" w:themeColor="text1"/>
          <w:sz w:val="24"/>
          <w:szCs w:val="24"/>
        </w:rPr>
        <w:t>/次。</w:t>
      </w:r>
    </w:p>
    <w:p>
      <w:pPr>
        <w:snapToGrid w:val="0"/>
        <w:spacing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5.市区绿化养护季度绩效评价抽中的标段，按养护等级折算后，得分高于90（含）的，按“得分-90”等分值在绩效评价结果公布当月，直接在月度综合得分中加分；得分85（含）-90（不含）分的，按“（90-得分）</w:t>
      </w:r>
      <w:r>
        <w:rPr>
          <w:rFonts w:ascii="宋体" w:hAnsi="宋体"/>
          <w:color w:val="000000" w:themeColor="text1"/>
          <w:sz w:val="24"/>
          <w:szCs w:val="24"/>
        </w:rPr>
        <w:t>×</w:t>
      </w:r>
      <w:r>
        <w:rPr>
          <w:rFonts w:hint="eastAsia" w:ascii="宋体" w:hAnsi="宋体"/>
          <w:color w:val="000000" w:themeColor="text1"/>
          <w:sz w:val="24"/>
          <w:szCs w:val="24"/>
        </w:rPr>
        <w:t>0.5”等分值在绩效评价结果公布当月，在月度综合得分中直接扣减；得分低于85分的，按“（90-得分）”等分值在绩效评价结果公布当月，在月度综合得分中直接扣减。</w:t>
      </w:r>
    </w:p>
    <w:p>
      <w:pPr>
        <w:snapToGrid w:val="0"/>
        <w:spacing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上级部门各类检查中发现问题，局级层面的，当月综合得分直接扣1分/项，市级层面的，当月综合得分直接扣2分/项；造成恶劣影响的，当月综合得分直接扣3分/项。市级以上各类专项检查考核中发现问题被通报或扣分的，当月综合得分直接扣5分/项。同类事项按最大值扣分，不重复。</w:t>
      </w:r>
    </w:p>
    <w:p>
      <w:pPr>
        <w:snapToGrid w:val="0"/>
        <w:spacing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市、局各类例行检查中发现的问题，当月综合得分直接扣1分/项。市、局各类专项检查考核中发现的问题，当月综合得分直接扣2分/项；被通报或造成负面舆论的，当月综合得分直接扣3分/项。</w:t>
      </w:r>
    </w:p>
    <w:p>
      <w:pPr>
        <w:snapToGrid w:val="0"/>
        <w:spacing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6.</w:t>
      </w:r>
      <w:r>
        <w:rPr>
          <w:rFonts w:ascii="宋体" w:hAnsi="宋体"/>
          <w:color w:val="000000" w:themeColor="text1"/>
          <w:sz w:val="24"/>
          <w:szCs w:val="24"/>
        </w:rPr>
        <w:t>及时处置并回复政府热线等反映的数字化案件，以及相关部门</w:t>
      </w:r>
      <w:r>
        <w:rPr>
          <w:rFonts w:hint="eastAsia" w:ascii="宋体" w:hAnsi="宋体"/>
          <w:bCs/>
          <w:color w:val="000000" w:themeColor="text1"/>
          <w:sz w:val="24"/>
          <w:szCs w:val="24"/>
        </w:rPr>
        <w:t>和机关事务局</w:t>
      </w:r>
      <w:r>
        <w:rPr>
          <w:rFonts w:ascii="宋体" w:hAnsi="宋体"/>
          <w:color w:val="000000" w:themeColor="text1"/>
          <w:sz w:val="24"/>
          <w:szCs w:val="24"/>
        </w:rPr>
        <w:t>交办、市民来电来访等案件。案件反映问题经现场核查确属</w:t>
      </w:r>
      <w:r>
        <w:rPr>
          <w:rFonts w:hint="eastAsia" w:ascii="宋体" w:hAnsi="宋体"/>
          <w:color w:val="000000" w:themeColor="text1"/>
          <w:sz w:val="24"/>
          <w:szCs w:val="24"/>
        </w:rPr>
        <w:t>承包人管护不到位的，当月综合得分直接扣</w:t>
      </w:r>
      <w:r>
        <w:rPr>
          <w:rFonts w:ascii="宋体" w:hAnsi="宋体"/>
          <w:color w:val="000000" w:themeColor="text1"/>
          <w:sz w:val="24"/>
          <w:szCs w:val="24"/>
        </w:rPr>
        <w:t>0.5分/</w:t>
      </w:r>
      <w:r>
        <w:rPr>
          <w:rFonts w:hint="eastAsia" w:ascii="宋体" w:hAnsi="宋体"/>
          <w:color w:val="000000" w:themeColor="text1"/>
          <w:sz w:val="24"/>
          <w:szCs w:val="24"/>
        </w:rPr>
        <w:t>起。</w:t>
      </w:r>
      <w:r>
        <w:rPr>
          <w:rFonts w:ascii="宋体" w:hAnsi="宋体"/>
          <w:color w:val="000000" w:themeColor="text1"/>
          <w:sz w:val="24"/>
          <w:szCs w:val="24"/>
        </w:rPr>
        <w:t>超时或造成返单的，</w:t>
      </w:r>
      <w:r>
        <w:rPr>
          <w:rFonts w:hint="eastAsia" w:ascii="宋体" w:hAnsi="宋体"/>
          <w:color w:val="000000" w:themeColor="text1"/>
          <w:sz w:val="24"/>
          <w:szCs w:val="24"/>
        </w:rPr>
        <w:t>另双倍扣分。</w:t>
      </w:r>
      <w:r>
        <w:rPr>
          <w:rFonts w:ascii="宋体" w:hAnsi="宋体"/>
          <w:color w:val="000000" w:themeColor="text1"/>
          <w:sz w:val="24"/>
          <w:szCs w:val="24"/>
        </w:rPr>
        <w:t>病虫害防治不及时引起居民投诉的，</w:t>
      </w:r>
      <w:r>
        <w:rPr>
          <w:rFonts w:hint="eastAsia" w:ascii="宋体" w:hAnsi="宋体"/>
          <w:color w:val="000000" w:themeColor="text1"/>
          <w:sz w:val="24"/>
          <w:szCs w:val="24"/>
        </w:rPr>
        <w:t>当月综合得分直接扣</w:t>
      </w:r>
      <w:r>
        <w:rPr>
          <w:rFonts w:ascii="宋体" w:hAnsi="宋体"/>
          <w:color w:val="000000" w:themeColor="text1"/>
          <w:sz w:val="24"/>
          <w:szCs w:val="24"/>
        </w:rPr>
        <w:t>1分/</w:t>
      </w:r>
      <w:r>
        <w:rPr>
          <w:rFonts w:hint="eastAsia" w:ascii="宋体" w:hAnsi="宋体"/>
          <w:color w:val="000000" w:themeColor="text1"/>
          <w:sz w:val="24"/>
          <w:szCs w:val="24"/>
        </w:rPr>
        <w:t>起。</w:t>
      </w:r>
    </w:p>
    <w:p>
      <w:pPr>
        <w:snapToGrid w:val="0"/>
        <w:spacing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7.因管护不到位等原因，被机关事务局或市级其他点名批评，或造成恶劣社会影响的，当月综合得分直接扣</w:t>
      </w:r>
      <w:r>
        <w:rPr>
          <w:rFonts w:ascii="宋体" w:hAnsi="宋体"/>
          <w:color w:val="000000" w:themeColor="text1"/>
          <w:sz w:val="24"/>
          <w:szCs w:val="24"/>
        </w:rPr>
        <w:t>5分/</w:t>
      </w:r>
      <w:r>
        <w:rPr>
          <w:rFonts w:hint="eastAsia" w:ascii="宋体" w:hAnsi="宋体"/>
          <w:color w:val="000000" w:themeColor="text1"/>
          <w:sz w:val="24"/>
          <w:szCs w:val="24"/>
        </w:rPr>
        <w:t>起；被重复批评或省级以上部门点名批评的，当月综合得分直接扣</w:t>
      </w:r>
      <w:r>
        <w:rPr>
          <w:rFonts w:ascii="宋体" w:hAnsi="宋体"/>
          <w:color w:val="000000" w:themeColor="text1"/>
          <w:sz w:val="24"/>
          <w:szCs w:val="24"/>
        </w:rPr>
        <w:t>10分/</w:t>
      </w:r>
      <w:r>
        <w:rPr>
          <w:rFonts w:hint="eastAsia" w:ascii="宋体" w:hAnsi="宋体"/>
          <w:color w:val="000000" w:themeColor="text1"/>
          <w:sz w:val="24"/>
          <w:szCs w:val="24"/>
        </w:rPr>
        <w:t>起；</w:t>
      </w:r>
      <w:r>
        <w:rPr>
          <w:rFonts w:ascii="宋体" w:hAnsi="宋体"/>
          <w:color w:val="000000" w:themeColor="text1"/>
          <w:sz w:val="24"/>
          <w:szCs w:val="24"/>
        </w:rPr>
        <w:t>同一事件被多部门多媒体通报或曝光的，以最高</w:t>
      </w:r>
      <w:r>
        <w:rPr>
          <w:rFonts w:hint="eastAsia" w:ascii="宋体" w:hAnsi="宋体"/>
          <w:color w:val="000000" w:themeColor="text1"/>
          <w:sz w:val="24"/>
          <w:szCs w:val="24"/>
        </w:rPr>
        <w:t>扣</w:t>
      </w:r>
      <w:r>
        <w:rPr>
          <w:rFonts w:ascii="宋体" w:hAnsi="宋体"/>
          <w:color w:val="000000" w:themeColor="text1"/>
          <w:sz w:val="24"/>
          <w:szCs w:val="24"/>
        </w:rPr>
        <w:t>分计</w:t>
      </w:r>
      <w:r>
        <w:rPr>
          <w:rFonts w:hint="eastAsia" w:ascii="宋体" w:hAnsi="宋体"/>
          <w:color w:val="000000" w:themeColor="text1"/>
          <w:sz w:val="24"/>
          <w:szCs w:val="24"/>
        </w:rPr>
        <w:t>。取消该项目当年各类</w:t>
      </w:r>
      <w:r>
        <w:rPr>
          <w:rFonts w:ascii="宋体" w:hAnsi="宋体"/>
          <w:color w:val="000000" w:themeColor="text1"/>
          <w:sz w:val="24"/>
          <w:szCs w:val="24"/>
        </w:rPr>
        <w:t>评奖资格</w:t>
      </w:r>
      <w:r>
        <w:rPr>
          <w:rFonts w:hint="eastAsia" w:ascii="宋体" w:hAnsi="宋体"/>
          <w:color w:val="000000" w:themeColor="text1"/>
          <w:sz w:val="24"/>
          <w:szCs w:val="24"/>
        </w:rPr>
        <w:t>。</w:t>
      </w:r>
    </w:p>
    <w:p>
      <w:pPr>
        <w:snapToGrid w:val="0"/>
        <w:spacing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8.</w:t>
      </w:r>
      <w:r>
        <w:rPr>
          <w:rFonts w:ascii="宋体" w:hAnsi="宋体"/>
          <w:color w:val="000000" w:themeColor="text1"/>
          <w:sz w:val="24"/>
          <w:szCs w:val="24"/>
        </w:rPr>
        <w:t>对</w:t>
      </w:r>
      <w:r>
        <w:rPr>
          <w:rFonts w:hint="eastAsia" w:ascii="宋体" w:hAnsi="宋体"/>
          <w:color w:val="000000" w:themeColor="text1"/>
          <w:sz w:val="24"/>
          <w:szCs w:val="24"/>
        </w:rPr>
        <w:t>发包人下达的整改事项或交办任务，未在规定时间内完成或完成不到位的，当月综合得分直接扣1</w:t>
      </w:r>
      <w:r>
        <w:rPr>
          <w:rFonts w:ascii="宋体" w:hAnsi="宋体"/>
          <w:color w:val="000000" w:themeColor="text1"/>
          <w:sz w:val="24"/>
          <w:szCs w:val="24"/>
        </w:rPr>
        <w:t>分/</w:t>
      </w:r>
      <w:r>
        <w:rPr>
          <w:rFonts w:hint="eastAsia" w:ascii="宋体" w:hAnsi="宋体"/>
          <w:color w:val="000000" w:themeColor="text1"/>
          <w:sz w:val="24"/>
          <w:szCs w:val="24"/>
        </w:rPr>
        <w:t>起；不执行的，当月综合得分直接扣2</w:t>
      </w:r>
      <w:r>
        <w:rPr>
          <w:rFonts w:ascii="宋体" w:hAnsi="宋体"/>
          <w:color w:val="000000" w:themeColor="text1"/>
          <w:sz w:val="24"/>
          <w:szCs w:val="24"/>
        </w:rPr>
        <w:t>分/</w:t>
      </w:r>
      <w:r>
        <w:rPr>
          <w:rFonts w:hint="eastAsia" w:ascii="宋体" w:hAnsi="宋体"/>
          <w:color w:val="000000" w:themeColor="text1"/>
          <w:sz w:val="24"/>
          <w:szCs w:val="24"/>
        </w:rPr>
        <w:t>起。</w:t>
      </w:r>
    </w:p>
    <w:p>
      <w:pPr>
        <w:snapToGrid w:val="0"/>
        <w:spacing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 xml:space="preserve">9. </w:t>
      </w:r>
      <w:r>
        <w:rPr>
          <w:rFonts w:ascii="宋体" w:hAnsi="宋体"/>
          <w:color w:val="000000" w:themeColor="text1"/>
          <w:sz w:val="24"/>
          <w:szCs w:val="24"/>
        </w:rPr>
        <w:t>管护期间</w:t>
      </w:r>
      <w:r>
        <w:rPr>
          <w:rFonts w:hint="eastAsia" w:ascii="宋体" w:hAnsi="宋体"/>
          <w:color w:val="000000" w:themeColor="text1"/>
          <w:sz w:val="24"/>
          <w:szCs w:val="24"/>
        </w:rPr>
        <w:t>若</w:t>
      </w:r>
      <w:r>
        <w:rPr>
          <w:rFonts w:ascii="宋体" w:hAnsi="宋体"/>
          <w:color w:val="000000" w:themeColor="text1"/>
          <w:sz w:val="24"/>
          <w:szCs w:val="24"/>
        </w:rPr>
        <w:t>发生安全事故，管护方必须及时处置，所发生费用和责任全部由管护方承担。</w:t>
      </w:r>
      <w:r>
        <w:rPr>
          <w:rFonts w:hint="eastAsia" w:ascii="宋体" w:hAnsi="宋体"/>
          <w:color w:val="000000" w:themeColor="text1"/>
          <w:sz w:val="24"/>
          <w:szCs w:val="24"/>
        </w:rPr>
        <w:t>因</w:t>
      </w:r>
      <w:r>
        <w:rPr>
          <w:rFonts w:ascii="宋体" w:hAnsi="宋体"/>
          <w:color w:val="000000" w:themeColor="text1"/>
          <w:sz w:val="24"/>
          <w:szCs w:val="24"/>
        </w:rPr>
        <w:t>树木断枝、倒塌、碰线、碰屋造成伤人、伤物等事件的，</w:t>
      </w:r>
      <w:r>
        <w:rPr>
          <w:rFonts w:hint="eastAsia" w:ascii="宋体" w:hAnsi="宋体"/>
          <w:color w:val="000000" w:themeColor="text1"/>
          <w:sz w:val="24"/>
          <w:szCs w:val="24"/>
        </w:rPr>
        <w:t>如</w:t>
      </w:r>
      <w:r>
        <w:rPr>
          <w:rFonts w:ascii="宋体" w:hAnsi="宋体"/>
          <w:color w:val="000000" w:themeColor="text1"/>
          <w:sz w:val="24"/>
          <w:szCs w:val="24"/>
        </w:rPr>
        <w:t>处理不当或不及时，造成不良后果的，</w:t>
      </w:r>
      <w:r>
        <w:rPr>
          <w:rFonts w:hint="eastAsia" w:ascii="宋体" w:hAnsi="宋体"/>
          <w:color w:val="000000" w:themeColor="text1"/>
          <w:sz w:val="24"/>
          <w:szCs w:val="24"/>
        </w:rPr>
        <w:t>扣</w:t>
      </w:r>
      <w:r>
        <w:rPr>
          <w:rFonts w:ascii="宋体" w:hAnsi="宋体"/>
          <w:color w:val="000000" w:themeColor="text1"/>
          <w:sz w:val="24"/>
          <w:szCs w:val="24"/>
        </w:rPr>
        <w:t>款5000元/次。</w:t>
      </w:r>
    </w:p>
    <w:p>
      <w:pPr>
        <w:snapToGrid w:val="0"/>
        <w:spacing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养护占道作业未经报备，当月综合得分直接扣2分/处，未按报备方案采取措施的，当月综合得分直接扣1分/处；养护作业和现场设施损坏，未采取安全防护措施，当月综合得分直接扣2分/处，防护措施不到位的，当月综合得分直接扣1分/处。</w:t>
      </w:r>
    </w:p>
    <w:p>
      <w:pPr>
        <w:snapToGrid w:val="0"/>
        <w:spacing w:line="360" w:lineRule="auto"/>
        <w:ind w:firstLine="480" w:firstLineChars="200"/>
        <w:rPr>
          <w:rFonts w:ascii="宋体" w:hAnsi="宋体"/>
          <w:color w:val="000000" w:themeColor="text1"/>
          <w:sz w:val="24"/>
          <w:szCs w:val="24"/>
        </w:rPr>
      </w:pPr>
      <w:r>
        <w:rPr>
          <w:rFonts w:ascii="宋体" w:hAnsi="宋体"/>
          <w:color w:val="000000" w:themeColor="text1"/>
          <w:sz w:val="24"/>
          <w:szCs w:val="24"/>
        </w:rPr>
        <w:t>1</w:t>
      </w:r>
      <w:r>
        <w:rPr>
          <w:rFonts w:hint="eastAsia" w:ascii="宋体" w:hAnsi="宋体"/>
          <w:color w:val="000000" w:themeColor="text1"/>
          <w:sz w:val="24"/>
          <w:szCs w:val="24"/>
        </w:rPr>
        <w:t xml:space="preserve">0. </w:t>
      </w:r>
      <w:r>
        <w:rPr>
          <w:rFonts w:ascii="宋体" w:hAnsi="宋体"/>
          <w:color w:val="000000" w:themeColor="text1"/>
          <w:sz w:val="24"/>
          <w:szCs w:val="24"/>
        </w:rPr>
        <w:t>防洪防汛、抗旱防冻等抗灾抢险事件处置不力，造成</w:t>
      </w:r>
      <w:r>
        <w:rPr>
          <w:rFonts w:hint="eastAsia" w:ascii="宋体" w:hAnsi="宋体"/>
          <w:color w:val="000000" w:themeColor="text1"/>
          <w:sz w:val="24"/>
          <w:szCs w:val="24"/>
        </w:rPr>
        <w:t>不良后果</w:t>
      </w:r>
      <w:r>
        <w:rPr>
          <w:rFonts w:ascii="宋体" w:hAnsi="宋体"/>
          <w:color w:val="000000" w:themeColor="text1"/>
          <w:sz w:val="24"/>
          <w:szCs w:val="24"/>
        </w:rPr>
        <w:t>的，当</w:t>
      </w:r>
      <w:r>
        <w:rPr>
          <w:rFonts w:hint="eastAsia" w:ascii="宋体" w:hAnsi="宋体"/>
          <w:color w:val="000000" w:themeColor="text1"/>
          <w:sz w:val="24"/>
          <w:szCs w:val="24"/>
        </w:rPr>
        <w:t>月综合得分直接扣5</w:t>
      </w:r>
      <w:r>
        <w:rPr>
          <w:rFonts w:ascii="宋体" w:hAnsi="宋体"/>
          <w:color w:val="000000" w:themeColor="text1"/>
          <w:sz w:val="24"/>
          <w:szCs w:val="24"/>
        </w:rPr>
        <w:t>分/</w:t>
      </w:r>
      <w:r>
        <w:rPr>
          <w:rFonts w:hint="eastAsia" w:ascii="宋体" w:hAnsi="宋体"/>
          <w:color w:val="000000" w:themeColor="text1"/>
          <w:sz w:val="24"/>
          <w:szCs w:val="24"/>
        </w:rPr>
        <w:t>起；</w:t>
      </w:r>
      <w:r>
        <w:rPr>
          <w:rFonts w:ascii="宋体" w:hAnsi="宋体"/>
          <w:color w:val="000000" w:themeColor="text1"/>
          <w:sz w:val="24"/>
          <w:szCs w:val="24"/>
        </w:rPr>
        <w:t>造成</w:t>
      </w:r>
      <w:r>
        <w:rPr>
          <w:rFonts w:hint="eastAsia" w:ascii="宋体" w:hAnsi="宋体"/>
          <w:color w:val="000000" w:themeColor="text1"/>
          <w:sz w:val="24"/>
          <w:szCs w:val="24"/>
        </w:rPr>
        <w:t>严重后果</w:t>
      </w:r>
      <w:r>
        <w:rPr>
          <w:rFonts w:ascii="宋体" w:hAnsi="宋体"/>
          <w:color w:val="000000" w:themeColor="text1"/>
          <w:sz w:val="24"/>
          <w:szCs w:val="24"/>
        </w:rPr>
        <w:t>的</w:t>
      </w:r>
      <w:r>
        <w:rPr>
          <w:rFonts w:hint="eastAsia" w:ascii="宋体" w:hAnsi="宋体"/>
          <w:color w:val="000000" w:themeColor="text1"/>
          <w:sz w:val="24"/>
          <w:szCs w:val="24"/>
        </w:rPr>
        <w:t>，</w:t>
      </w:r>
      <w:r>
        <w:rPr>
          <w:rFonts w:ascii="宋体" w:hAnsi="宋体"/>
          <w:color w:val="000000" w:themeColor="text1"/>
          <w:sz w:val="24"/>
          <w:szCs w:val="24"/>
        </w:rPr>
        <w:t>当</w:t>
      </w:r>
      <w:r>
        <w:rPr>
          <w:rFonts w:hint="eastAsia" w:ascii="宋体" w:hAnsi="宋体"/>
          <w:color w:val="000000" w:themeColor="text1"/>
          <w:sz w:val="24"/>
          <w:szCs w:val="24"/>
        </w:rPr>
        <w:t>月综合得分直接扣10</w:t>
      </w:r>
      <w:r>
        <w:rPr>
          <w:rFonts w:ascii="宋体" w:hAnsi="宋体"/>
          <w:color w:val="000000" w:themeColor="text1"/>
          <w:sz w:val="24"/>
          <w:szCs w:val="24"/>
        </w:rPr>
        <w:t>分/</w:t>
      </w:r>
      <w:r>
        <w:rPr>
          <w:rFonts w:hint="eastAsia" w:ascii="宋体" w:hAnsi="宋体"/>
          <w:color w:val="000000" w:themeColor="text1"/>
          <w:sz w:val="24"/>
          <w:szCs w:val="24"/>
        </w:rPr>
        <w:t>起。</w:t>
      </w:r>
      <w:r>
        <w:rPr>
          <w:rFonts w:ascii="宋体" w:hAnsi="宋体"/>
          <w:color w:val="000000" w:themeColor="text1"/>
          <w:sz w:val="24"/>
          <w:szCs w:val="24"/>
        </w:rPr>
        <w:t>遇台风、暴雨雪等特殊天气，抢险人员未到位的，</w:t>
      </w:r>
      <w:r>
        <w:rPr>
          <w:rFonts w:hint="eastAsia" w:ascii="宋体" w:hAnsi="宋体"/>
          <w:color w:val="000000" w:themeColor="text1"/>
          <w:sz w:val="24"/>
          <w:szCs w:val="24"/>
        </w:rPr>
        <w:t>在扣分基础上，加扣</w:t>
      </w:r>
      <w:r>
        <w:rPr>
          <w:rFonts w:ascii="宋体" w:hAnsi="宋体"/>
          <w:color w:val="000000" w:themeColor="text1"/>
          <w:sz w:val="24"/>
          <w:szCs w:val="24"/>
        </w:rPr>
        <w:t>300元/次·人。</w:t>
      </w:r>
      <w:r>
        <w:rPr>
          <w:rFonts w:hint="eastAsia" w:ascii="宋体" w:hAnsi="宋体"/>
          <w:color w:val="000000" w:themeColor="text1"/>
          <w:sz w:val="24"/>
          <w:szCs w:val="24"/>
        </w:rPr>
        <w:t>吊车（随车吊）、高空作业车等应急抢险车辆未到位的，扣款3000元/次·辆；未实行24小时巡查值班的，扣款5000元/天。</w:t>
      </w:r>
    </w:p>
    <w:p>
      <w:pPr>
        <w:snapToGrid w:val="0"/>
        <w:spacing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11.</w:t>
      </w:r>
      <w:r>
        <w:rPr>
          <w:rFonts w:ascii="宋体" w:hAnsi="宋体"/>
          <w:color w:val="000000" w:themeColor="text1"/>
          <w:sz w:val="24"/>
          <w:szCs w:val="24"/>
        </w:rPr>
        <w:t>擅自使用化学除草剂，每发生一次，</w:t>
      </w:r>
      <w:r>
        <w:rPr>
          <w:rFonts w:hint="eastAsia" w:ascii="宋体" w:hAnsi="宋体"/>
          <w:color w:val="000000" w:themeColor="text1"/>
          <w:sz w:val="24"/>
          <w:szCs w:val="24"/>
        </w:rPr>
        <w:t>当月综合得分直接</w:t>
      </w:r>
      <w:r>
        <w:rPr>
          <w:rFonts w:ascii="宋体" w:hAnsi="宋体"/>
          <w:color w:val="000000" w:themeColor="text1"/>
          <w:sz w:val="24"/>
          <w:szCs w:val="24"/>
        </w:rPr>
        <w:t>扣2分</w:t>
      </w:r>
      <w:r>
        <w:rPr>
          <w:rFonts w:hint="eastAsia" w:ascii="宋体" w:hAnsi="宋体"/>
          <w:color w:val="000000" w:themeColor="text1"/>
          <w:sz w:val="24"/>
          <w:szCs w:val="24"/>
        </w:rPr>
        <w:t>/次。造成植物长势衰弱影响绿化景观效果的，视危害程度</w:t>
      </w:r>
      <w:r>
        <w:rPr>
          <w:rFonts w:ascii="宋体" w:hAnsi="宋体"/>
          <w:color w:val="000000" w:themeColor="text1"/>
          <w:sz w:val="24"/>
          <w:szCs w:val="24"/>
        </w:rPr>
        <w:t>按20-50元/</w:t>
      </w:r>
      <w:r>
        <w:rPr>
          <w:rFonts w:hint="eastAsia" w:ascii="宋体" w:hAnsi="宋体"/>
          <w:color w:val="000000" w:themeColor="text1"/>
          <w:sz w:val="24"/>
          <w:szCs w:val="24"/>
        </w:rPr>
        <w:t>平方</w:t>
      </w:r>
      <w:r>
        <w:rPr>
          <w:rFonts w:ascii="宋体" w:hAnsi="宋体"/>
          <w:color w:val="000000" w:themeColor="text1"/>
          <w:sz w:val="24"/>
          <w:szCs w:val="24"/>
        </w:rPr>
        <w:t>米</w:t>
      </w:r>
      <w:r>
        <w:rPr>
          <w:rFonts w:hint="eastAsia" w:ascii="宋体" w:hAnsi="宋体"/>
          <w:color w:val="000000" w:themeColor="text1"/>
          <w:sz w:val="24"/>
          <w:szCs w:val="24"/>
        </w:rPr>
        <w:t>扣</w:t>
      </w:r>
      <w:r>
        <w:rPr>
          <w:rFonts w:ascii="宋体" w:hAnsi="宋体"/>
          <w:color w:val="000000" w:themeColor="text1"/>
          <w:sz w:val="24"/>
          <w:szCs w:val="24"/>
        </w:rPr>
        <w:t>款</w:t>
      </w:r>
      <w:r>
        <w:rPr>
          <w:rFonts w:hint="eastAsia" w:ascii="宋体" w:hAnsi="宋体"/>
          <w:color w:val="000000" w:themeColor="text1"/>
          <w:sz w:val="24"/>
          <w:szCs w:val="24"/>
        </w:rPr>
        <w:t>；</w:t>
      </w:r>
      <w:r>
        <w:rPr>
          <w:rFonts w:ascii="宋体" w:hAnsi="宋体"/>
          <w:color w:val="000000" w:themeColor="text1"/>
          <w:sz w:val="24"/>
          <w:szCs w:val="24"/>
        </w:rPr>
        <w:t>未及时采取防治措施，导致病虫害爆发或反复发生的，当</w:t>
      </w:r>
      <w:r>
        <w:rPr>
          <w:rFonts w:hint="eastAsia" w:ascii="宋体" w:hAnsi="宋体"/>
          <w:color w:val="000000" w:themeColor="text1"/>
          <w:sz w:val="24"/>
          <w:szCs w:val="24"/>
        </w:rPr>
        <w:t>月综合得分直接</w:t>
      </w:r>
      <w:r>
        <w:rPr>
          <w:rFonts w:ascii="宋体" w:hAnsi="宋体"/>
          <w:color w:val="000000" w:themeColor="text1"/>
          <w:sz w:val="24"/>
          <w:szCs w:val="24"/>
        </w:rPr>
        <w:t>扣3分/次，</w:t>
      </w:r>
      <w:r>
        <w:rPr>
          <w:rFonts w:hint="eastAsia" w:ascii="宋体" w:hAnsi="宋体"/>
          <w:color w:val="000000" w:themeColor="text1"/>
          <w:sz w:val="24"/>
          <w:szCs w:val="24"/>
        </w:rPr>
        <w:t>并视病虫害程度扣</w:t>
      </w:r>
      <w:r>
        <w:rPr>
          <w:rFonts w:ascii="宋体" w:hAnsi="宋体"/>
          <w:color w:val="000000" w:themeColor="text1"/>
          <w:sz w:val="24"/>
          <w:szCs w:val="24"/>
        </w:rPr>
        <w:t>款1000-5000元。</w:t>
      </w:r>
    </w:p>
    <w:p>
      <w:pPr>
        <w:snapToGrid w:val="0"/>
        <w:spacing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12.</w:t>
      </w:r>
      <w:r>
        <w:rPr>
          <w:rFonts w:ascii="宋体" w:hAnsi="宋体"/>
          <w:color w:val="000000" w:themeColor="text1"/>
          <w:sz w:val="24"/>
          <w:szCs w:val="24"/>
        </w:rPr>
        <w:t>未按时、保质完成浇水指令任务的，除按规定扣分外，另行</w:t>
      </w:r>
      <w:r>
        <w:rPr>
          <w:rFonts w:hint="eastAsia" w:ascii="宋体" w:hAnsi="宋体"/>
          <w:color w:val="000000" w:themeColor="text1"/>
          <w:sz w:val="24"/>
          <w:szCs w:val="24"/>
        </w:rPr>
        <w:t>扣</w:t>
      </w:r>
      <w:r>
        <w:rPr>
          <w:rFonts w:ascii="宋体" w:hAnsi="宋体"/>
          <w:color w:val="000000" w:themeColor="text1"/>
          <w:sz w:val="24"/>
          <w:szCs w:val="24"/>
        </w:rPr>
        <w:t>款，道路绿化类</w:t>
      </w:r>
      <w:r>
        <w:rPr>
          <w:rFonts w:hint="eastAsia" w:ascii="宋体" w:hAnsi="宋体"/>
          <w:color w:val="000000" w:themeColor="text1"/>
          <w:sz w:val="24"/>
          <w:szCs w:val="24"/>
        </w:rPr>
        <w:t>按</w:t>
      </w:r>
      <w:r>
        <w:rPr>
          <w:rFonts w:ascii="宋体" w:hAnsi="宋体"/>
          <w:color w:val="000000" w:themeColor="text1"/>
          <w:sz w:val="24"/>
          <w:szCs w:val="24"/>
        </w:rPr>
        <w:t>1000元/公里计；小游园、公园、各类零星绿地</w:t>
      </w:r>
      <w:r>
        <w:rPr>
          <w:rFonts w:hint="eastAsia" w:ascii="宋体" w:hAnsi="宋体"/>
          <w:color w:val="000000" w:themeColor="text1"/>
          <w:sz w:val="24"/>
          <w:szCs w:val="24"/>
        </w:rPr>
        <w:t>按</w:t>
      </w:r>
      <w:r>
        <w:rPr>
          <w:rFonts w:ascii="宋体" w:hAnsi="宋体"/>
          <w:color w:val="000000" w:themeColor="text1"/>
          <w:sz w:val="24"/>
          <w:szCs w:val="24"/>
        </w:rPr>
        <w:t>500</w:t>
      </w:r>
      <w:r>
        <w:rPr>
          <w:rFonts w:hint="eastAsia" w:ascii="宋体" w:hAnsi="宋体"/>
          <w:color w:val="000000" w:themeColor="text1"/>
          <w:sz w:val="24"/>
          <w:szCs w:val="24"/>
        </w:rPr>
        <w:t>元</w:t>
      </w:r>
      <w:r>
        <w:rPr>
          <w:rFonts w:ascii="宋体" w:hAnsi="宋体"/>
          <w:color w:val="000000" w:themeColor="text1"/>
          <w:sz w:val="24"/>
          <w:szCs w:val="24"/>
        </w:rPr>
        <w:t>/1000㎡计；草花、花坛、花境类</w:t>
      </w:r>
      <w:r>
        <w:rPr>
          <w:rFonts w:hint="eastAsia" w:ascii="宋体" w:hAnsi="宋体"/>
          <w:color w:val="000000" w:themeColor="text1"/>
          <w:sz w:val="24"/>
          <w:szCs w:val="24"/>
        </w:rPr>
        <w:t>按</w:t>
      </w:r>
      <w:r>
        <w:rPr>
          <w:rFonts w:ascii="宋体" w:hAnsi="宋体"/>
          <w:color w:val="000000" w:themeColor="text1"/>
          <w:sz w:val="24"/>
          <w:szCs w:val="24"/>
        </w:rPr>
        <w:t>200元/10㎡计；花箱、花钵按100元/只计</w:t>
      </w:r>
      <w:r>
        <w:rPr>
          <w:rFonts w:hint="eastAsia" w:ascii="宋体" w:hAnsi="宋体"/>
          <w:color w:val="000000" w:themeColor="text1"/>
          <w:sz w:val="24"/>
          <w:szCs w:val="24"/>
        </w:rPr>
        <w:t>（含高架花箱）；不满起扣标准的按照最低扣款执行。</w:t>
      </w:r>
    </w:p>
    <w:p>
      <w:pPr>
        <w:snapToGrid w:val="0"/>
        <w:spacing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13.</w:t>
      </w:r>
      <w:r>
        <w:rPr>
          <w:rFonts w:ascii="宋体" w:hAnsi="宋体"/>
          <w:color w:val="000000" w:themeColor="text1"/>
          <w:sz w:val="24"/>
          <w:szCs w:val="24"/>
        </w:rPr>
        <w:t>对</w:t>
      </w:r>
      <w:r>
        <w:rPr>
          <w:rFonts w:hint="eastAsia" w:ascii="宋体" w:hAnsi="宋体"/>
          <w:color w:val="000000" w:themeColor="text1"/>
          <w:sz w:val="24"/>
          <w:szCs w:val="24"/>
        </w:rPr>
        <w:t>发包人下达的园林设施大修、补植及基建移伐绿化恢复等任务，未按要求及时上报方案、预算的或质量较差的，扣</w:t>
      </w:r>
      <w:r>
        <w:rPr>
          <w:rFonts w:ascii="宋体" w:hAnsi="宋体"/>
          <w:color w:val="000000" w:themeColor="text1"/>
          <w:sz w:val="24"/>
          <w:szCs w:val="24"/>
        </w:rPr>
        <w:t>款500元/次；未及时办理确认、签证、竣工验收等手续、未及时送审，</w:t>
      </w:r>
      <w:r>
        <w:rPr>
          <w:rFonts w:hint="eastAsia" w:ascii="宋体" w:hAnsi="宋体"/>
          <w:color w:val="000000" w:themeColor="text1"/>
          <w:sz w:val="24"/>
          <w:szCs w:val="24"/>
        </w:rPr>
        <w:t>扣</w:t>
      </w:r>
      <w:r>
        <w:rPr>
          <w:rFonts w:ascii="宋体" w:hAnsi="宋体"/>
          <w:color w:val="000000" w:themeColor="text1"/>
          <w:sz w:val="24"/>
          <w:szCs w:val="24"/>
        </w:rPr>
        <w:t>款500元/次；施工组织不力、进度脱节，</w:t>
      </w:r>
      <w:r>
        <w:rPr>
          <w:rFonts w:hint="eastAsia" w:ascii="宋体" w:hAnsi="宋体"/>
          <w:color w:val="000000" w:themeColor="text1"/>
          <w:sz w:val="24"/>
          <w:szCs w:val="24"/>
        </w:rPr>
        <w:t>扣</w:t>
      </w:r>
      <w:r>
        <w:rPr>
          <w:rFonts w:ascii="宋体" w:hAnsi="宋体"/>
          <w:color w:val="000000" w:themeColor="text1"/>
          <w:sz w:val="24"/>
          <w:szCs w:val="24"/>
        </w:rPr>
        <w:t>款500元/次；施工现场管理不规范、安全文明施工措施不到位，</w:t>
      </w:r>
      <w:r>
        <w:rPr>
          <w:rFonts w:hint="eastAsia" w:ascii="宋体" w:hAnsi="宋体"/>
          <w:color w:val="000000" w:themeColor="text1"/>
          <w:sz w:val="24"/>
          <w:szCs w:val="24"/>
        </w:rPr>
        <w:t>扣</w:t>
      </w:r>
      <w:r>
        <w:rPr>
          <w:rFonts w:ascii="宋体" w:hAnsi="宋体"/>
          <w:color w:val="000000" w:themeColor="text1"/>
          <w:sz w:val="24"/>
          <w:szCs w:val="24"/>
        </w:rPr>
        <w:t>款1000元/次。</w:t>
      </w:r>
    </w:p>
    <w:p>
      <w:pPr>
        <w:snapToGrid w:val="0"/>
        <w:spacing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14.承包方中标后,做好待接管护量的清点登记工作，并形成书面交接确认单。严格</w:t>
      </w:r>
      <w:r>
        <w:rPr>
          <w:rFonts w:ascii="宋体" w:hAnsi="宋体"/>
          <w:color w:val="000000" w:themeColor="text1"/>
          <w:sz w:val="24"/>
          <w:szCs w:val="24"/>
        </w:rPr>
        <w:t>把好现场清点关</w:t>
      </w:r>
      <w:r>
        <w:rPr>
          <w:rFonts w:hint="eastAsia" w:ascii="宋体" w:hAnsi="宋体"/>
          <w:color w:val="000000" w:themeColor="text1"/>
          <w:sz w:val="24"/>
          <w:szCs w:val="24"/>
        </w:rPr>
        <w:t>，因未认真清点待接管护量，导致合同结束后无法正常移交的，从履约保证金中扣款5万元。本轮养护期满前1个月内，完成与下轮中标单位的交接工作。否则，每逾期一天扣款2000元。</w:t>
      </w:r>
    </w:p>
    <w:p>
      <w:pPr>
        <w:snapToGrid w:val="0"/>
        <w:spacing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15.上述扣款事项，在养护经费拨付时一并扣除。</w:t>
      </w:r>
    </w:p>
    <w:p>
      <w:pPr>
        <w:snapToGrid w:val="0"/>
        <w:spacing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十一、日常绿化考核管理仅对绿地现场观感质量进行评价，至于现场绿化工程量、园林设施量等以接管和移交两个环节的实地清点为准。其它要求详见《南通市园林绿化管理处绿地管护考核办法》。</w:t>
      </w:r>
    </w:p>
    <w:p>
      <w:pPr>
        <w:snapToGrid w:val="0"/>
        <w:spacing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十二、如遇上级主管部门政策变化及其它不可抗力因素，发包人有权提前终止合同。</w:t>
      </w:r>
    </w:p>
    <w:p>
      <w:pPr>
        <w:snapToGrid w:val="0"/>
        <w:spacing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十三、承包人将本项目分包或转让给其他主体实施，发包人有权提前终止合同。</w:t>
      </w:r>
    </w:p>
    <w:p>
      <w:pPr>
        <w:snapToGrid w:val="0"/>
        <w:spacing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十四、本合同未尽事宜，双方协商解决。协商不成的，双方约定向签订本合同所在地人民法院提起诉讼。</w:t>
      </w:r>
    </w:p>
    <w:p>
      <w:pPr>
        <w:snapToGrid w:val="0"/>
        <w:spacing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十五、本合同共</w:t>
      </w:r>
      <w:r>
        <w:rPr>
          <w:rFonts w:hint="eastAsia" w:ascii="宋体" w:hAnsi="宋体"/>
          <w:color w:val="000000" w:themeColor="text1"/>
          <w:sz w:val="24"/>
          <w:szCs w:val="24"/>
          <w:u w:val="single"/>
        </w:rPr>
        <w:t xml:space="preserve">  捌  </w:t>
      </w:r>
      <w:r>
        <w:rPr>
          <w:rFonts w:hint="eastAsia" w:ascii="宋体" w:hAnsi="宋体"/>
          <w:color w:val="000000" w:themeColor="text1"/>
          <w:sz w:val="24"/>
          <w:szCs w:val="24"/>
        </w:rPr>
        <w:t>份，经承发包双方签字盖章后生效，并报上级行政主管部门备案。</w:t>
      </w:r>
    </w:p>
    <w:p>
      <w:pPr>
        <w:spacing w:line="520" w:lineRule="exact"/>
        <w:rPr>
          <w:rFonts w:ascii="宋体" w:hAnsi="宋体"/>
          <w:sz w:val="24"/>
          <w:szCs w:val="24"/>
        </w:rPr>
      </w:pPr>
    </w:p>
    <w:p>
      <w:pPr>
        <w:spacing w:line="520" w:lineRule="exact"/>
        <w:ind w:firstLine="480" w:firstLineChars="200"/>
        <w:rPr>
          <w:rFonts w:ascii="宋体" w:hAnsi="宋体"/>
          <w:sz w:val="24"/>
          <w:szCs w:val="24"/>
        </w:rPr>
      </w:pPr>
      <w:r>
        <w:rPr>
          <w:rFonts w:hint="eastAsia" w:ascii="宋体" w:hAnsi="宋体"/>
          <w:sz w:val="24"/>
          <w:szCs w:val="24"/>
        </w:rPr>
        <w:t xml:space="preserve">发包方（公章）：                 承包方（公章）：   </w:t>
      </w:r>
    </w:p>
    <w:p>
      <w:pPr>
        <w:spacing w:line="520" w:lineRule="exact"/>
        <w:rPr>
          <w:rFonts w:ascii="宋体" w:hAnsi="宋体"/>
          <w:sz w:val="24"/>
          <w:szCs w:val="24"/>
        </w:rPr>
      </w:pPr>
    </w:p>
    <w:p>
      <w:pPr>
        <w:spacing w:line="520" w:lineRule="exact"/>
        <w:ind w:firstLine="480" w:firstLineChars="200"/>
        <w:rPr>
          <w:rFonts w:ascii="宋体" w:hAnsi="宋体"/>
          <w:sz w:val="24"/>
          <w:szCs w:val="24"/>
        </w:rPr>
      </w:pPr>
      <w:r>
        <w:rPr>
          <w:rFonts w:hint="eastAsia" w:ascii="宋体" w:hAnsi="宋体"/>
          <w:sz w:val="24"/>
          <w:szCs w:val="24"/>
        </w:rPr>
        <w:t>法定代表人（签章）：             法定代表人（签章）：</w:t>
      </w:r>
    </w:p>
    <w:p>
      <w:pPr>
        <w:spacing w:after="120" w:line="520" w:lineRule="exact"/>
        <w:ind w:right="63"/>
      </w:pPr>
    </w:p>
    <w:p>
      <w:pPr>
        <w:adjustRightInd w:val="0"/>
        <w:spacing w:after="60" w:line="520" w:lineRule="exact"/>
        <w:ind w:left="71" w:leftChars="34" w:right="63" w:rightChars="30" w:firstLine="360" w:firstLineChars="150"/>
        <w:jc w:val="left"/>
        <w:textAlignment w:val="baseline"/>
        <w:rPr>
          <w:rFonts w:ascii="宋体" w:hAnsi="宋体"/>
          <w:bCs/>
          <w:sz w:val="24"/>
          <w:szCs w:val="24"/>
        </w:rPr>
      </w:pPr>
      <w:r>
        <w:rPr>
          <w:rFonts w:hint="eastAsia" w:ascii="宋体" w:hAnsi="宋体"/>
          <w:bCs/>
          <w:sz w:val="24"/>
          <w:szCs w:val="24"/>
        </w:rPr>
        <w:t>主管部门备案审查意见（公章）：</w:t>
      </w:r>
    </w:p>
    <w:p>
      <w:pPr>
        <w:spacing w:line="520" w:lineRule="exact"/>
      </w:pPr>
    </w:p>
    <w:p>
      <w:pPr>
        <w:adjustRightInd w:val="0"/>
        <w:spacing w:after="60" w:line="520" w:lineRule="exact"/>
        <w:ind w:left="63" w:leftChars="30" w:right="63" w:rightChars="30"/>
        <w:jc w:val="center"/>
        <w:textAlignment w:val="baseline"/>
      </w:pPr>
    </w:p>
    <w:p>
      <w:pPr>
        <w:topLinePunct/>
        <w:snapToGrid w:val="0"/>
        <w:spacing w:line="360" w:lineRule="auto"/>
        <w:ind w:firstLine="3012" w:firstLineChars="1250"/>
        <w:jc w:val="right"/>
        <w:rPr>
          <w:rFonts w:ascii="Times New Roman" w:hAnsi="宋体"/>
          <w:b/>
          <w:bCs/>
          <w:color w:val="000000"/>
          <w:spacing w:val="-2"/>
          <w:sz w:val="44"/>
          <w:szCs w:val="44"/>
        </w:rPr>
      </w:pPr>
      <w:r>
        <w:rPr>
          <w:rFonts w:hint="eastAsia" w:ascii="宋体" w:hAnsi="宋体"/>
          <w:b/>
          <w:bCs/>
          <w:sz w:val="24"/>
          <w:szCs w:val="24"/>
        </w:rPr>
        <w:t>签订日期：2025年   月  日</w:t>
      </w:r>
    </w:p>
    <w:p>
      <w:pPr>
        <w:topLinePunct/>
        <w:snapToGrid w:val="0"/>
        <w:spacing w:line="360" w:lineRule="auto"/>
        <w:ind w:firstLine="5471" w:firstLineChars="1250"/>
        <w:jc w:val="right"/>
        <w:rPr>
          <w:rFonts w:ascii="Times New Roman" w:hAnsi="宋体"/>
          <w:b/>
          <w:bCs/>
          <w:color w:val="000000"/>
          <w:spacing w:val="-2"/>
          <w:sz w:val="44"/>
          <w:szCs w:val="44"/>
        </w:rPr>
      </w:pPr>
    </w:p>
    <w:p>
      <w:pPr>
        <w:topLinePunct/>
        <w:snapToGrid w:val="0"/>
        <w:spacing w:line="360" w:lineRule="auto"/>
        <w:jc w:val="center"/>
        <w:rPr>
          <w:rFonts w:ascii="Times New Roman" w:hAnsi="宋体"/>
          <w:b/>
          <w:color w:val="000000"/>
          <w:sz w:val="44"/>
          <w:szCs w:val="44"/>
        </w:rPr>
      </w:pPr>
      <w:r>
        <w:rPr>
          <w:rFonts w:ascii="Times New Roman" w:hAnsi="宋体"/>
          <w:b/>
          <w:bCs/>
          <w:color w:val="000000"/>
          <w:spacing w:val="-2"/>
          <w:sz w:val="44"/>
          <w:szCs w:val="44"/>
        </w:rPr>
        <w:t>第</w:t>
      </w:r>
      <w:r>
        <w:rPr>
          <w:rFonts w:hint="eastAsia" w:ascii="Times New Roman" w:hAnsi="宋体"/>
          <w:b/>
          <w:bCs/>
          <w:color w:val="000000"/>
          <w:spacing w:val="-2"/>
          <w:sz w:val="44"/>
          <w:szCs w:val="44"/>
        </w:rPr>
        <w:t>五</w:t>
      </w:r>
      <w:r>
        <w:rPr>
          <w:rFonts w:ascii="Times New Roman" w:hAnsi="宋体"/>
          <w:b/>
          <w:bCs/>
          <w:color w:val="000000"/>
          <w:spacing w:val="-2"/>
          <w:sz w:val="44"/>
          <w:szCs w:val="44"/>
        </w:rPr>
        <w:t>章</w:t>
      </w:r>
      <w:bookmarkEnd w:id="123"/>
      <w:bookmarkStart w:id="145" w:name="_Toc535487157"/>
      <w:bookmarkStart w:id="146" w:name="_Toc389065350"/>
      <w:bookmarkStart w:id="147" w:name="_Toc358569769"/>
      <w:r>
        <w:rPr>
          <w:rFonts w:hint="eastAsia" w:ascii="Times New Roman" w:hAnsi="宋体"/>
          <w:b/>
          <w:bCs/>
          <w:color w:val="000000"/>
          <w:spacing w:val="-2"/>
          <w:sz w:val="44"/>
          <w:szCs w:val="44"/>
        </w:rPr>
        <w:t xml:space="preserve">  </w:t>
      </w:r>
      <w:r>
        <w:rPr>
          <w:rFonts w:ascii="Times New Roman" w:hAnsi="宋体"/>
          <w:b/>
          <w:color w:val="000000"/>
          <w:sz w:val="44"/>
          <w:szCs w:val="44"/>
        </w:rPr>
        <w:t>投标文件格式</w:t>
      </w:r>
      <w:bookmarkEnd w:id="145"/>
      <w:bookmarkEnd w:id="146"/>
      <w:bookmarkEnd w:id="147"/>
    </w:p>
    <w:p>
      <w:pPr>
        <w:widowControl/>
        <w:snapToGrid w:val="0"/>
        <w:spacing w:line="520" w:lineRule="exact"/>
        <w:ind w:firstLine="482" w:firstLineChars="200"/>
        <w:jc w:val="left"/>
        <w:rPr>
          <w:rFonts w:ascii="Times New Roman" w:hAnsi="宋体"/>
          <w:b/>
          <w:color w:val="000000"/>
          <w:sz w:val="24"/>
          <w:szCs w:val="24"/>
        </w:rPr>
      </w:pPr>
      <w:r>
        <w:rPr>
          <w:rFonts w:hint="eastAsia" w:ascii="Times New Roman" w:hAnsi="宋体"/>
          <w:b/>
          <w:color w:val="000000"/>
          <w:sz w:val="24"/>
          <w:szCs w:val="24"/>
        </w:rPr>
        <w:t>投标文件所需表式如下，投标单位可据需要自行合理扩展，但不能随意删减。</w:t>
      </w:r>
    </w:p>
    <w:p>
      <w:pPr>
        <w:adjustRightInd w:val="0"/>
        <w:snapToGrid w:val="0"/>
        <w:ind w:right="-153" w:rightChars="-73"/>
        <w:rPr>
          <w:rFonts w:ascii="楷体_GB2312" w:hAnsi="宋体" w:eastAsia="楷体_GB2312"/>
          <w:b/>
          <w:color w:val="000000"/>
          <w:sz w:val="48"/>
          <w:szCs w:val="48"/>
        </w:rPr>
      </w:pPr>
      <w:bookmarkStart w:id="148" w:name="_Toc173558684"/>
      <w:bookmarkStart w:id="149" w:name="_Toc349555831"/>
      <w:bookmarkStart w:id="150" w:name="_Toc158458008"/>
      <w:bookmarkStart w:id="151" w:name="_Toc251051976"/>
      <w:bookmarkStart w:id="152" w:name="_Toc163270989"/>
      <w:bookmarkStart w:id="153" w:name="_Toc349215544"/>
    </w:p>
    <w:p>
      <w:pPr>
        <w:adjustRightInd w:val="0"/>
        <w:snapToGrid w:val="0"/>
        <w:spacing w:before="60" w:after="60" w:line="413" w:lineRule="auto"/>
        <w:outlineLvl w:val="1"/>
        <w:rPr>
          <w:rFonts w:ascii="宋体" w:hAnsi="宋体" w:cs="宋体"/>
          <w:b/>
          <w:bCs/>
          <w:sz w:val="32"/>
          <w:szCs w:val="32"/>
        </w:rPr>
      </w:pPr>
      <w:bookmarkStart w:id="154" w:name="_Toc498006755"/>
      <w:r>
        <w:rPr>
          <w:rFonts w:hint="eastAsia" w:ascii="宋体" w:hAnsi="宋体" w:cs="宋体"/>
          <w:b/>
          <w:bCs/>
          <w:szCs w:val="32"/>
        </w:rPr>
        <w:t>封面</w:t>
      </w:r>
      <w:bookmarkEnd w:id="154"/>
    </w:p>
    <w:p>
      <w:pPr>
        <w:adjustRightInd w:val="0"/>
        <w:snapToGrid w:val="0"/>
        <w:spacing w:beforeLines="100" w:afterLines="100"/>
        <w:jc w:val="center"/>
        <w:rPr>
          <w:rFonts w:ascii="宋体" w:hAnsi="宋体" w:cs="宋体"/>
          <w:sz w:val="28"/>
          <w:szCs w:val="28"/>
          <w:u w:val="single"/>
        </w:rPr>
      </w:pPr>
      <w:r>
        <w:rPr>
          <w:rFonts w:hint="eastAsia" w:ascii="宋体" w:hAnsi="宋体" w:cs="宋体"/>
          <w:sz w:val="28"/>
          <w:szCs w:val="28"/>
          <w:u w:val="single"/>
        </w:rPr>
        <w:t>（项目名称）</w:t>
      </w:r>
    </w:p>
    <w:p>
      <w:pPr>
        <w:adjustRightInd w:val="0"/>
        <w:snapToGrid w:val="0"/>
        <w:spacing w:beforeLines="100" w:afterLines="100"/>
        <w:jc w:val="center"/>
        <w:rPr>
          <w:rFonts w:ascii="宋体" w:hAnsi="宋体" w:cs="宋体"/>
          <w:sz w:val="28"/>
          <w:szCs w:val="28"/>
          <w:u w:val="single"/>
        </w:rPr>
      </w:pPr>
    </w:p>
    <w:p>
      <w:pPr>
        <w:adjustRightInd w:val="0"/>
        <w:snapToGrid w:val="0"/>
        <w:spacing w:beforeLines="100" w:afterLines="100"/>
        <w:rPr>
          <w:rFonts w:ascii="宋体" w:hAnsi="宋体" w:cs="宋体"/>
          <w:sz w:val="28"/>
          <w:szCs w:val="28"/>
          <w:u w:val="single"/>
        </w:rPr>
      </w:pPr>
    </w:p>
    <w:p>
      <w:pPr>
        <w:adjustRightInd w:val="0"/>
        <w:snapToGrid w:val="0"/>
        <w:spacing w:beforeLines="100" w:afterLines="100"/>
        <w:jc w:val="center"/>
        <w:rPr>
          <w:rFonts w:ascii="宋体" w:hAnsi="宋体" w:cs="宋体"/>
          <w:sz w:val="28"/>
          <w:szCs w:val="28"/>
          <w:u w:val="single"/>
        </w:rPr>
      </w:pPr>
      <w:r>
        <w:rPr>
          <w:rFonts w:hint="eastAsia" w:ascii="宋体" w:hAnsi="宋体" w:cs="宋体"/>
          <w:sz w:val="28"/>
          <w:szCs w:val="28"/>
          <w:u w:val="single"/>
        </w:rPr>
        <w:t>资格审查申请书/商务技术标函/价格标函</w:t>
      </w:r>
    </w:p>
    <w:p>
      <w:pPr>
        <w:adjustRightInd w:val="0"/>
        <w:snapToGrid w:val="0"/>
        <w:spacing w:beforeLines="100" w:afterLines="100"/>
        <w:rPr>
          <w:rFonts w:ascii="宋体" w:hAnsi="宋体" w:cs="宋体"/>
          <w:sz w:val="28"/>
          <w:szCs w:val="28"/>
          <w:u w:val="single"/>
        </w:rPr>
      </w:pPr>
    </w:p>
    <w:p>
      <w:pPr>
        <w:adjustRightInd w:val="0"/>
        <w:snapToGrid w:val="0"/>
        <w:spacing w:beforeLines="100" w:afterLines="100"/>
        <w:rPr>
          <w:rFonts w:ascii="宋体" w:hAnsi="宋体" w:cs="宋体"/>
          <w:sz w:val="28"/>
          <w:szCs w:val="28"/>
          <w:u w:val="single"/>
        </w:rPr>
      </w:pPr>
    </w:p>
    <w:p>
      <w:pPr>
        <w:adjustRightInd w:val="0"/>
        <w:snapToGrid w:val="0"/>
        <w:spacing w:beforeLines="100" w:afterLines="100"/>
        <w:rPr>
          <w:rFonts w:ascii="宋体" w:hAnsi="宋体" w:cs="宋体"/>
          <w:sz w:val="28"/>
          <w:szCs w:val="28"/>
          <w:u w:val="single"/>
        </w:rPr>
      </w:pPr>
    </w:p>
    <w:p>
      <w:pPr>
        <w:adjustRightInd w:val="0"/>
        <w:snapToGrid w:val="0"/>
        <w:spacing w:beforeLines="100" w:afterLines="100"/>
        <w:rPr>
          <w:rFonts w:ascii="宋体" w:hAnsi="宋体" w:cs="宋体"/>
          <w:sz w:val="28"/>
          <w:szCs w:val="28"/>
          <w:u w:val="single"/>
        </w:rPr>
      </w:pPr>
    </w:p>
    <w:p>
      <w:pPr>
        <w:adjustRightInd w:val="0"/>
        <w:snapToGrid w:val="0"/>
        <w:spacing w:beforeLines="100" w:afterLines="100"/>
        <w:rPr>
          <w:rFonts w:ascii="宋体" w:hAnsi="宋体" w:cs="宋体"/>
          <w:sz w:val="28"/>
          <w:szCs w:val="28"/>
          <w:u w:val="single"/>
        </w:rPr>
      </w:pPr>
    </w:p>
    <w:p>
      <w:pPr>
        <w:adjustRightInd w:val="0"/>
        <w:snapToGrid w:val="0"/>
        <w:spacing w:beforeLines="100" w:afterLines="100"/>
        <w:rPr>
          <w:rFonts w:ascii="宋体" w:hAnsi="宋体" w:cs="宋体"/>
          <w:sz w:val="28"/>
          <w:szCs w:val="28"/>
          <w:u w:val="single"/>
        </w:rPr>
      </w:pPr>
    </w:p>
    <w:p>
      <w:pPr>
        <w:adjustRightInd w:val="0"/>
        <w:snapToGrid w:val="0"/>
        <w:spacing w:beforeLines="100" w:afterLines="100"/>
        <w:jc w:val="center"/>
        <w:rPr>
          <w:rFonts w:ascii="宋体" w:hAnsi="宋体" w:cs="宋体"/>
          <w:sz w:val="28"/>
          <w:szCs w:val="28"/>
          <w:u w:val="single"/>
        </w:rPr>
      </w:pPr>
      <w:r>
        <w:rPr>
          <w:rFonts w:hint="eastAsia" w:ascii="宋体" w:hAnsi="宋体" w:cs="宋体"/>
          <w:sz w:val="28"/>
          <w:szCs w:val="28"/>
          <w:u w:val="single"/>
        </w:rPr>
        <w:t>投标人：（盖章）</w:t>
      </w:r>
    </w:p>
    <w:p>
      <w:pPr>
        <w:adjustRightInd w:val="0"/>
        <w:snapToGrid w:val="0"/>
        <w:spacing w:beforeLines="100" w:afterLines="100"/>
        <w:jc w:val="center"/>
        <w:rPr>
          <w:rFonts w:ascii="宋体" w:hAnsi="宋体" w:cs="宋体"/>
          <w:sz w:val="28"/>
          <w:szCs w:val="28"/>
          <w:u w:val="single"/>
        </w:rPr>
      </w:pPr>
    </w:p>
    <w:p>
      <w:pPr>
        <w:adjustRightInd w:val="0"/>
        <w:snapToGrid w:val="0"/>
        <w:spacing w:beforeLines="100" w:afterLines="100"/>
        <w:jc w:val="center"/>
        <w:rPr>
          <w:rFonts w:ascii="宋体" w:hAnsi="宋体" w:cs="宋体"/>
          <w:sz w:val="28"/>
          <w:szCs w:val="28"/>
          <w:u w:val="single"/>
        </w:rPr>
      </w:pPr>
      <w:r>
        <w:rPr>
          <w:rFonts w:hint="eastAsia" w:ascii="宋体" w:hAnsi="宋体" w:cs="宋体"/>
          <w:sz w:val="28"/>
          <w:szCs w:val="28"/>
          <w:u w:val="single"/>
        </w:rPr>
        <w:t>法定代表人或其委托代理人：（签字或盖章）</w:t>
      </w:r>
    </w:p>
    <w:p>
      <w:pPr>
        <w:adjustRightInd w:val="0"/>
        <w:snapToGrid w:val="0"/>
        <w:spacing w:beforeLines="100" w:afterLines="100"/>
        <w:jc w:val="center"/>
        <w:rPr>
          <w:rFonts w:ascii="宋体" w:hAnsi="宋体" w:cs="宋体"/>
          <w:sz w:val="28"/>
          <w:szCs w:val="28"/>
          <w:u w:val="single"/>
        </w:rPr>
      </w:pPr>
    </w:p>
    <w:p>
      <w:pPr>
        <w:adjustRightInd w:val="0"/>
        <w:snapToGrid w:val="0"/>
        <w:spacing w:beforeLines="100" w:afterLines="100"/>
        <w:jc w:val="center"/>
        <w:rPr>
          <w:rFonts w:ascii="宋体" w:hAnsi="宋体" w:cs="宋体"/>
          <w:sz w:val="28"/>
          <w:szCs w:val="28"/>
          <w:u w:val="single"/>
        </w:rPr>
      </w:pPr>
      <w:r>
        <w:rPr>
          <w:rFonts w:hint="eastAsia" w:ascii="宋体" w:hAnsi="宋体" w:cs="宋体"/>
          <w:sz w:val="28"/>
          <w:szCs w:val="28"/>
          <w:u w:val="single"/>
        </w:rPr>
        <w:t>地址：</w:t>
      </w:r>
    </w:p>
    <w:p>
      <w:pPr>
        <w:adjustRightInd w:val="0"/>
        <w:snapToGrid w:val="0"/>
        <w:spacing w:beforeLines="100" w:afterLines="100"/>
        <w:jc w:val="center"/>
        <w:rPr>
          <w:rFonts w:ascii="宋体" w:hAnsi="宋体" w:cs="宋体"/>
          <w:sz w:val="28"/>
          <w:szCs w:val="28"/>
          <w:u w:val="single"/>
        </w:rPr>
      </w:pPr>
    </w:p>
    <w:p>
      <w:pPr>
        <w:adjustRightInd w:val="0"/>
        <w:snapToGrid w:val="0"/>
        <w:spacing w:beforeLines="100" w:afterLines="100"/>
        <w:jc w:val="center"/>
        <w:rPr>
          <w:rFonts w:ascii="宋体" w:hAnsi="宋体" w:cs="宋体"/>
          <w:sz w:val="44"/>
          <w:szCs w:val="44"/>
          <w:u w:val="single"/>
        </w:rPr>
      </w:pPr>
      <w:r>
        <w:rPr>
          <w:rFonts w:hint="eastAsia" w:ascii="宋体" w:hAnsi="宋体" w:cs="宋体"/>
          <w:sz w:val="28"/>
          <w:szCs w:val="28"/>
          <w:u w:val="single"/>
        </w:rPr>
        <w:t>日期：</w:t>
      </w:r>
    </w:p>
    <w:p>
      <w:pPr>
        <w:spacing w:line="360" w:lineRule="auto"/>
        <w:ind w:firstLine="2811" w:firstLineChars="1000"/>
        <w:rPr>
          <w:rFonts w:ascii="Times New Roman" w:hAnsi="宋体"/>
          <w:b/>
          <w:bCs/>
          <w:color w:val="000000"/>
          <w:sz w:val="28"/>
          <w:szCs w:val="28"/>
        </w:rPr>
      </w:pPr>
    </w:p>
    <w:p>
      <w:pPr>
        <w:spacing w:line="360" w:lineRule="auto"/>
        <w:ind w:firstLine="2811" w:firstLineChars="1000"/>
        <w:rPr>
          <w:rFonts w:ascii="Times New Roman" w:hAnsi="宋体"/>
          <w:b/>
          <w:bCs/>
          <w:color w:val="000000"/>
          <w:sz w:val="28"/>
          <w:szCs w:val="28"/>
        </w:rPr>
      </w:pPr>
    </w:p>
    <w:p>
      <w:pPr>
        <w:spacing w:line="480" w:lineRule="exact"/>
        <w:ind w:firstLine="2811" w:firstLineChars="1000"/>
        <w:rPr>
          <w:rFonts w:ascii="Times New Roman" w:hAnsi="宋体"/>
          <w:b/>
          <w:bCs/>
          <w:color w:val="000000"/>
          <w:sz w:val="28"/>
          <w:szCs w:val="28"/>
        </w:rPr>
      </w:pPr>
      <w:r>
        <w:rPr>
          <w:rFonts w:hint="eastAsia" w:ascii="Times New Roman" w:hAnsi="宋体"/>
          <w:b/>
          <w:bCs/>
          <w:color w:val="000000"/>
          <w:sz w:val="28"/>
          <w:szCs w:val="28"/>
        </w:rPr>
        <w:t>一</w:t>
      </w:r>
      <w:r>
        <w:rPr>
          <w:rFonts w:ascii="Times New Roman" w:hAnsi="宋体"/>
          <w:b/>
          <w:bCs/>
          <w:color w:val="000000"/>
          <w:sz w:val="28"/>
          <w:szCs w:val="28"/>
        </w:rPr>
        <w:t>、</w:t>
      </w:r>
      <w:r>
        <w:rPr>
          <w:rFonts w:hint="eastAsia" w:ascii="宋体" w:hAnsi="宋体"/>
          <w:b/>
          <w:sz w:val="32"/>
          <w:szCs w:val="24"/>
        </w:rPr>
        <w:t>诚信承诺书</w:t>
      </w:r>
    </w:p>
    <w:p>
      <w:pPr>
        <w:snapToGrid w:val="0"/>
        <w:spacing w:line="480" w:lineRule="exact"/>
        <w:rPr>
          <w:rFonts w:ascii="Times New Roman" w:hAnsi="Times New Roman"/>
          <w:b/>
          <w:color w:val="000000"/>
          <w:sz w:val="24"/>
          <w:szCs w:val="24"/>
          <w:u w:val="single"/>
        </w:rPr>
      </w:pPr>
      <w:r>
        <w:rPr>
          <w:rFonts w:hint="eastAsia" w:ascii="Times New Roman" w:hAnsi="宋体"/>
          <w:b/>
          <w:color w:val="000000"/>
          <w:sz w:val="24"/>
          <w:szCs w:val="24"/>
          <w:u w:val="single"/>
        </w:rPr>
        <w:t>南通市园林绿化管理处</w:t>
      </w:r>
      <w:r>
        <w:rPr>
          <w:rFonts w:ascii="Times New Roman" w:hAnsi="宋体"/>
          <w:b/>
          <w:color w:val="000000"/>
          <w:sz w:val="24"/>
          <w:szCs w:val="24"/>
          <w:u w:val="single"/>
        </w:rPr>
        <w:t>：</w:t>
      </w:r>
    </w:p>
    <w:p>
      <w:pPr>
        <w:widowControl/>
        <w:snapToGrid w:val="0"/>
        <w:spacing w:line="480" w:lineRule="exact"/>
        <w:ind w:firstLine="448"/>
        <w:jc w:val="left"/>
        <w:rPr>
          <w:rFonts w:ascii="宋体" w:hAnsi="宋体"/>
          <w:sz w:val="24"/>
          <w:szCs w:val="24"/>
        </w:rPr>
      </w:pPr>
      <w:r>
        <w:rPr>
          <w:rFonts w:hint="eastAsia" w:ascii="宋体" w:hAnsi="宋体"/>
          <w:sz w:val="24"/>
          <w:szCs w:val="24"/>
        </w:rPr>
        <w:t>我方参加你方的</w:t>
      </w:r>
      <w:r>
        <w:rPr>
          <w:rFonts w:hint="eastAsia" w:ascii="宋体" w:hAnsi="宋体"/>
          <w:sz w:val="24"/>
          <w:szCs w:val="24"/>
          <w:u w:val="single"/>
        </w:rPr>
        <w:t xml:space="preserve">  </w:t>
      </w:r>
      <w:r>
        <w:rPr>
          <w:rFonts w:hint="eastAsia" w:ascii="宋体" w:hAnsi="宋体"/>
          <w:color w:val="000000"/>
          <w:sz w:val="24"/>
          <w:u w:val="single"/>
        </w:rPr>
        <w:t>南通市行政中心（含信访局）附属绿地管护</w:t>
      </w:r>
      <w:r>
        <w:rPr>
          <w:rFonts w:hint="eastAsia" w:ascii="宋体" w:hAnsi="宋体"/>
          <w:sz w:val="24"/>
          <w:szCs w:val="24"/>
          <w:u w:val="single"/>
        </w:rPr>
        <w:t xml:space="preserve">项目  </w:t>
      </w:r>
      <w:r>
        <w:rPr>
          <w:rFonts w:hint="eastAsia" w:ascii="宋体" w:hAnsi="宋体"/>
          <w:sz w:val="24"/>
          <w:szCs w:val="24"/>
        </w:rPr>
        <w:t>的投标，现我方法定代表人向你方慎重承诺：</w:t>
      </w:r>
    </w:p>
    <w:p>
      <w:pPr>
        <w:widowControl/>
        <w:snapToGrid w:val="0"/>
        <w:spacing w:line="480" w:lineRule="exact"/>
        <w:ind w:firstLine="448"/>
        <w:jc w:val="left"/>
        <w:rPr>
          <w:rFonts w:ascii="宋体" w:hAnsi="宋体"/>
          <w:sz w:val="24"/>
          <w:szCs w:val="24"/>
        </w:rPr>
      </w:pPr>
      <w:r>
        <w:rPr>
          <w:rFonts w:hint="eastAsia" w:ascii="宋体" w:hAnsi="宋体"/>
          <w:sz w:val="24"/>
          <w:szCs w:val="24"/>
        </w:rPr>
        <w:t>一、我公司拟派</w:t>
      </w:r>
      <w:r>
        <w:rPr>
          <w:rFonts w:hint="eastAsia" w:ascii="Times New Roman" w:hAnsi="Times New Roman"/>
          <w:sz w:val="24"/>
          <w:szCs w:val="24"/>
        </w:rPr>
        <w:t>项目负责人目前最多只有一个在管绿化养护项目，且非在管项目的现场负责人。项目现场负责人无在管绿化养护项目。两者均无在建项目。两者一年（从开标之日往前推）内均未发生过变更。</w:t>
      </w:r>
      <w:r>
        <w:rPr>
          <w:rFonts w:hint="eastAsia" w:ascii="宋体" w:hAnsi="宋体"/>
          <w:sz w:val="24"/>
          <w:szCs w:val="24"/>
        </w:rPr>
        <w:t>在近叁年内（2022年10月1日—2025年9月30日）的绿地管护、工程建设项目中无不良记录。</w:t>
      </w:r>
    </w:p>
    <w:p>
      <w:pPr>
        <w:widowControl/>
        <w:snapToGrid w:val="0"/>
        <w:spacing w:line="480" w:lineRule="exact"/>
        <w:ind w:firstLine="448"/>
        <w:jc w:val="left"/>
        <w:rPr>
          <w:rFonts w:ascii="宋体" w:hAnsi="宋体"/>
          <w:sz w:val="24"/>
          <w:szCs w:val="24"/>
        </w:rPr>
      </w:pPr>
      <w:r>
        <w:rPr>
          <w:rFonts w:hint="eastAsia" w:ascii="宋体" w:hAnsi="宋体"/>
          <w:sz w:val="24"/>
          <w:szCs w:val="24"/>
        </w:rPr>
        <w:t>二、我单位不存在下列任何情形</w:t>
      </w:r>
    </w:p>
    <w:p>
      <w:pPr>
        <w:widowControl/>
        <w:snapToGrid w:val="0"/>
        <w:spacing w:line="480" w:lineRule="exact"/>
        <w:ind w:firstLine="448"/>
        <w:jc w:val="left"/>
        <w:rPr>
          <w:rFonts w:ascii="宋体" w:hAnsi="宋体"/>
          <w:sz w:val="24"/>
          <w:szCs w:val="24"/>
        </w:rPr>
      </w:pPr>
      <w:r>
        <w:rPr>
          <w:rFonts w:hint="eastAsia" w:ascii="宋体" w:hAnsi="宋体"/>
          <w:sz w:val="24"/>
          <w:szCs w:val="24"/>
        </w:rPr>
        <w:t>1、为招标人不具有独立法人资格的附属机构（单位）；</w:t>
      </w:r>
    </w:p>
    <w:p>
      <w:pPr>
        <w:widowControl/>
        <w:snapToGrid w:val="0"/>
        <w:spacing w:line="480" w:lineRule="exact"/>
        <w:ind w:firstLine="448"/>
        <w:jc w:val="left"/>
        <w:rPr>
          <w:rFonts w:ascii="宋体" w:hAnsi="宋体"/>
          <w:sz w:val="24"/>
          <w:szCs w:val="24"/>
        </w:rPr>
      </w:pPr>
      <w:r>
        <w:rPr>
          <w:rFonts w:hint="eastAsia" w:ascii="宋体" w:hAnsi="宋体"/>
          <w:sz w:val="24"/>
          <w:szCs w:val="24"/>
        </w:rPr>
        <w:t>2、为本招标项目的监理人、代建人、项目管理人，以及为本招标项目提供招标代理的；</w:t>
      </w:r>
    </w:p>
    <w:p>
      <w:pPr>
        <w:widowControl/>
        <w:snapToGrid w:val="0"/>
        <w:spacing w:line="480" w:lineRule="exact"/>
        <w:ind w:firstLine="448"/>
        <w:jc w:val="left"/>
        <w:rPr>
          <w:rFonts w:ascii="宋体" w:hAnsi="宋体"/>
          <w:sz w:val="24"/>
          <w:szCs w:val="24"/>
        </w:rPr>
      </w:pPr>
      <w:r>
        <w:rPr>
          <w:rFonts w:hint="eastAsia" w:ascii="宋体" w:hAnsi="宋体"/>
          <w:sz w:val="24"/>
          <w:szCs w:val="24"/>
        </w:rPr>
        <w:t>3、与本招标项目的监理人、代建人、招标代理机构同为一个法定代表人的，或者相互控股、参股的；</w:t>
      </w:r>
    </w:p>
    <w:p>
      <w:pPr>
        <w:widowControl/>
        <w:snapToGrid w:val="0"/>
        <w:spacing w:line="480" w:lineRule="exact"/>
        <w:ind w:firstLine="448"/>
        <w:jc w:val="left"/>
        <w:rPr>
          <w:rFonts w:ascii="宋体" w:hAnsi="宋体"/>
          <w:sz w:val="24"/>
          <w:szCs w:val="24"/>
        </w:rPr>
      </w:pPr>
      <w:r>
        <w:rPr>
          <w:rFonts w:hint="eastAsia" w:ascii="宋体" w:hAnsi="宋体"/>
          <w:sz w:val="24"/>
          <w:szCs w:val="24"/>
        </w:rPr>
        <w:t>4、与招标人存在利害关系可能影响招标公正性的；</w:t>
      </w:r>
    </w:p>
    <w:p>
      <w:pPr>
        <w:widowControl/>
        <w:snapToGrid w:val="0"/>
        <w:spacing w:line="480" w:lineRule="exact"/>
        <w:ind w:firstLine="448"/>
        <w:jc w:val="left"/>
        <w:rPr>
          <w:rFonts w:ascii="宋体" w:hAnsi="宋体"/>
          <w:sz w:val="24"/>
          <w:szCs w:val="24"/>
        </w:rPr>
      </w:pPr>
      <w:r>
        <w:rPr>
          <w:rFonts w:hint="eastAsia" w:ascii="宋体" w:hAnsi="宋体"/>
          <w:sz w:val="24"/>
          <w:szCs w:val="24"/>
        </w:rPr>
        <w:t>5、单位负责人为同一人或者存在控股、管理关系的不同单位；</w:t>
      </w:r>
    </w:p>
    <w:p>
      <w:pPr>
        <w:widowControl/>
        <w:spacing w:line="480" w:lineRule="exact"/>
        <w:ind w:firstLine="480" w:firstLineChars="200"/>
        <w:rPr>
          <w:rFonts w:ascii="宋体" w:hAnsi="宋体"/>
          <w:sz w:val="24"/>
          <w:szCs w:val="24"/>
        </w:rPr>
      </w:pPr>
      <w:r>
        <w:rPr>
          <w:rFonts w:hint="eastAsia" w:ascii="宋体" w:hAnsi="宋体"/>
          <w:sz w:val="24"/>
          <w:szCs w:val="24"/>
        </w:rPr>
        <w:t>6、处于被责令停业、财产被接管、冻结和破产状态，以及投标资格被取消或者被暂停且在暂停期内的；</w:t>
      </w:r>
    </w:p>
    <w:p>
      <w:pPr>
        <w:widowControl/>
        <w:snapToGrid w:val="0"/>
        <w:spacing w:line="480" w:lineRule="exact"/>
        <w:ind w:firstLine="448"/>
        <w:jc w:val="left"/>
        <w:rPr>
          <w:rFonts w:ascii="宋体" w:hAnsi="宋体"/>
          <w:sz w:val="24"/>
          <w:szCs w:val="24"/>
        </w:rPr>
      </w:pPr>
      <w:r>
        <w:rPr>
          <w:rFonts w:hint="eastAsia" w:ascii="宋体" w:hAnsi="宋体"/>
          <w:sz w:val="24"/>
          <w:szCs w:val="24"/>
        </w:rPr>
        <w:t>7、因拖欠工人工资或者因发生质量安全事故被有关部门限制在招标项目所在地承接工程的；</w:t>
      </w:r>
    </w:p>
    <w:p>
      <w:pPr>
        <w:widowControl/>
        <w:snapToGrid w:val="0"/>
        <w:spacing w:line="480" w:lineRule="exact"/>
        <w:ind w:firstLine="448"/>
        <w:jc w:val="left"/>
        <w:rPr>
          <w:rFonts w:ascii="宋体" w:hAnsi="宋体"/>
          <w:sz w:val="24"/>
          <w:szCs w:val="24"/>
        </w:rPr>
      </w:pPr>
      <w:r>
        <w:rPr>
          <w:rFonts w:hint="eastAsia" w:ascii="宋体" w:hAnsi="宋体"/>
          <w:sz w:val="24"/>
          <w:szCs w:val="24"/>
        </w:rPr>
        <w:t>8、被工商行政管理机关在全国企业信用信息公示系统中列入严重违法失信企业名单的；</w:t>
      </w:r>
    </w:p>
    <w:p>
      <w:pPr>
        <w:widowControl/>
        <w:snapToGrid w:val="0"/>
        <w:spacing w:line="480" w:lineRule="exact"/>
        <w:ind w:firstLine="448"/>
        <w:jc w:val="left"/>
        <w:rPr>
          <w:rFonts w:ascii="宋体" w:hAnsi="宋体" w:cs="宋体"/>
          <w:szCs w:val="21"/>
        </w:rPr>
      </w:pPr>
      <w:r>
        <w:rPr>
          <w:rFonts w:hint="eastAsia" w:ascii="宋体" w:hAnsi="宋体"/>
          <w:sz w:val="24"/>
          <w:szCs w:val="24"/>
        </w:rPr>
        <w:t>9、被最高人民法院在“信用中国”网站（www.creditchina.gov.cn）或各级信用信息共享平台中列入失信被执行名单的</w:t>
      </w:r>
      <w:r>
        <w:rPr>
          <w:rFonts w:hint="eastAsia" w:ascii="宋体" w:hAnsi="宋体" w:cs="宋体"/>
          <w:szCs w:val="21"/>
        </w:rPr>
        <w:t>。</w:t>
      </w:r>
    </w:p>
    <w:p>
      <w:pPr>
        <w:widowControl/>
        <w:snapToGrid w:val="0"/>
        <w:spacing w:line="480" w:lineRule="exact"/>
        <w:ind w:firstLine="460"/>
        <w:jc w:val="left"/>
        <w:rPr>
          <w:rFonts w:ascii="宋体" w:hAnsi="宋体"/>
          <w:sz w:val="24"/>
          <w:szCs w:val="24"/>
        </w:rPr>
      </w:pPr>
      <w:r>
        <w:rPr>
          <w:rFonts w:hint="eastAsia" w:ascii="宋体" w:hAnsi="宋体"/>
          <w:sz w:val="24"/>
          <w:szCs w:val="24"/>
        </w:rPr>
        <w:t>三、企业财务和经营状况良好，具备履行合同能力；未处于被责令停业、投标资格被取消或者财产被接管、冻结和破产状态；如果我方经本项目评标委员会评定为中标候选人后，被他人举报并经招标投标监管机构核实，确认存在上述不良记录，你方即可取消我方中标资格，并同意投标保证金不予退还，并接受处罚。</w:t>
      </w:r>
    </w:p>
    <w:p>
      <w:pPr>
        <w:widowControl/>
        <w:spacing w:line="480" w:lineRule="exact"/>
        <w:ind w:firstLine="480" w:firstLineChars="200"/>
        <w:rPr>
          <w:rFonts w:ascii="宋体" w:hAnsi="宋体"/>
          <w:sz w:val="24"/>
          <w:szCs w:val="24"/>
        </w:rPr>
      </w:pPr>
      <w:r>
        <w:rPr>
          <w:rFonts w:hint="eastAsia" w:ascii="宋体" w:hAnsi="宋体"/>
          <w:sz w:val="24"/>
          <w:szCs w:val="24"/>
        </w:rPr>
        <w:t>四、本单位递交的投标文件中的所有资料都是真实可信的，没有弄虚作假。证件及有关附件是真实的，诚信库中扫描件（复印件）与原件是一致的。</w:t>
      </w:r>
    </w:p>
    <w:p>
      <w:pPr>
        <w:widowControl/>
        <w:spacing w:line="480" w:lineRule="exact"/>
        <w:ind w:firstLine="480" w:firstLineChars="200"/>
        <w:rPr>
          <w:rFonts w:ascii="宋体" w:hAnsi="宋体"/>
          <w:sz w:val="24"/>
          <w:szCs w:val="24"/>
        </w:rPr>
      </w:pPr>
      <w:r>
        <w:rPr>
          <w:rFonts w:hint="eastAsia" w:ascii="宋体" w:hAnsi="宋体"/>
          <w:sz w:val="24"/>
          <w:szCs w:val="24"/>
        </w:rPr>
        <w:t>五、我单位不组织、不参与串标围标，绝无借资质、挂靠、提供虚假材料等违法违规行为。</w:t>
      </w:r>
    </w:p>
    <w:p>
      <w:pPr>
        <w:snapToGrid w:val="0"/>
        <w:spacing w:line="480" w:lineRule="exact"/>
        <w:ind w:firstLine="460"/>
        <w:jc w:val="left"/>
        <w:rPr>
          <w:rFonts w:ascii="宋体" w:hAnsi="宋体"/>
          <w:sz w:val="24"/>
          <w:szCs w:val="24"/>
        </w:rPr>
      </w:pPr>
      <w:r>
        <w:rPr>
          <w:rFonts w:hint="eastAsia" w:ascii="宋体" w:hAnsi="宋体"/>
          <w:sz w:val="24"/>
          <w:szCs w:val="24"/>
        </w:rPr>
        <w:t>六、我单位保证遵守国家廉政相关规定，无失信、行贿等不良行为。</w:t>
      </w:r>
    </w:p>
    <w:p>
      <w:pPr>
        <w:snapToGrid w:val="0"/>
        <w:spacing w:line="480" w:lineRule="exact"/>
        <w:ind w:firstLine="460"/>
        <w:jc w:val="left"/>
        <w:rPr>
          <w:rFonts w:ascii="宋体" w:hAnsi="宋体"/>
          <w:sz w:val="24"/>
          <w:szCs w:val="24"/>
        </w:rPr>
      </w:pPr>
      <w:r>
        <w:rPr>
          <w:rFonts w:hint="eastAsia" w:ascii="宋体" w:hAnsi="宋体"/>
          <w:sz w:val="24"/>
          <w:szCs w:val="24"/>
        </w:rPr>
        <w:t>七、如果以后涉及招标投标方面的投诉举报，我方将严格按照《工程建设项目招标投标活动投诉处理办法》（七部委第11号令）的规定进行投诉，否则，招标人可以不予受理。</w:t>
      </w:r>
    </w:p>
    <w:p>
      <w:pPr>
        <w:widowControl/>
        <w:snapToGrid w:val="0"/>
        <w:spacing w:line="480" w:lineRule="exact"/>
        <w:ind w:firstLine="448"/>
        <w:jc w:val="left"/>
        <w:rPr>
          <w:rFonts w:ascii="宋体" w:hAnsi="宋体"/>
          <w:sz w:val="24"/>
          <w:szCs w:val="24"/>
        </w:rPr>
      </w:pPr>
      <w:r>
        <w:rPr>
          <w:rFonts w:hint="eastAsia" w:ascii="宋体" w:hAnsi="宋体"/>
          <w:sz w:val="24"/>
          <w:szCs w:val="24"/>
        </w:rPr>
        <w:t>八、我方保证：如中标，确保在领取中标通知书后七天内提交符合要求的履约保证金并签订管护合同，并在规定合同期内完成管护任务。投标文件中委派的项目负责人等人员及时到位，且全面开展工作；投标文件中承诺配备的主要机械设备及时进场，且投入正常工作。</w:t>
      </w:r>
    </w:p>
    <w:p>
      <w:pPr>
        <w:widowControl/>
        <w:snapToGrid w:val="0"/>
        <w:spacing w:line="480" w:lineRule="exact"/>
        <w:ind w:firstLine="448"/>
        <w:jc w:val="left"/>
        <w:rPr>
          <w:rFonts w:ascii="宋体" w:hAnsi="宋体"/>
          <w:color w:val="000000"/>
          <w:sz w:val="24"/>
          <w:szCs w:val="24"/>
        </w:rPr>
      </w:pPr>
      <w:r>
        <w:rPr>
          <w:rFonts w:hint="eastAsia" w:ascii="宋体" w:hAnsi="宋体"/>
          <w:sz w:val="24"/>
          <w:szCs w:val="24"/>
        </w:rPr>
        <w:t>1、中标后,做好待接管护量的清点登记工作，并形成书面交接确认单。严格</w:t>
      </w:r>
      <w:r>
        <w:rPr>
          <w:rFonts w:ascii="宋体" w:hAnsi="宋体"/>
          <w:sz w:val="24"/>
          <w:szCs w:val="24"/>
        </w:rPr>
        <w:t>把好现场清点关，若因清点不认真导致合同结束后移交出现问题</w:t>
      </w:r>
      <w:r>
        <w:rPr>
          <w:rFonts w:hint="eastAsia" w:ascii="宋体" w:hAnsi="宋体"/>
          <w:sz w:val="24"/>
          <w:szCs w:val="24"/>
        </w:rPr>
        <w:t>的</w:t>
      </w:r>
      <w:r>
        <w:rPr>
          <w:rFonts w:ascii="宋体" w:hAnsi="宋体"/>
          <w:sz w:val="24"/>
          <w:szCs w:val="24"/>
        </w:rPr>
        <w:t>，则从履约保证金中扣减5万元。</w:t>
      </w:r>
      <w:r>
        <w:rPr>
          <w:rFonts w:hint="eastAsia" w:ascii="宋体" w:hAnsi="宋体"/>
          <w:sz w:val="24"/>
          <w:szCs w:val="24"/>
        </w:rPr>
        <w:t>本轮养护期满前1个月内，我单位完成与下轮中标单位的交接工作。否则，每逾期一天扣款2000元。</w:t>
      </w:r>
    </w:p>
    <w:p>
      <w:pPr>
        <w:widowControl/>
        <w:snapToGrid w:val="0"/>
        <w:spacing w:line="480" w:lineRule="exact"/>
        <w:ind w:firstLine="448"/>
        <w:jc w:val="left"/>
        <w:rPr>
          <w:rFonts w:ascii="宋体" w:hAnsi="宋体"/>
          <w:sz w:val="24"/>
          <w:szCs w:val="24"/>
        </w:rPr>
      </w:pPr>
      <w:r>
        <w:rPr>
          <w:rFonts w:hint="eastAsia" w:ascii="宋体" w:hAnsi="宋体"/>
          <w:sz w:val="24"/>
          <w:szCs w:val="24"/>
        </w:rPr>
        <w:t>2.养护人员不低于招标文件规定的基本要求：</w:t>
      </w:r>
    </w:p>
    <w:p>
      <w:pPr>
        <w:snapToGrid w:val="0"/>
        <w:spacing w:line="480" w:lineRule="exact"/>
        <w:ind w:firstLine="480" w:firstLineChars="200"/>
        <w:rPr>
          <w:rFonts w:ascii="宋体" w:hAnsi="宋体"/>
          <w:sz w:val="24"/>
          <w:szCs w:val="24"/>
        </w:rPr>
      </w:pPr>
      <w:r>
        <w:rPr>
          <w:rFonts w:hint="eastAsia" w:ascii="宋体" w:hAnsi="宋体"/>
          <w:sz w:val="24"/>
          <w:szCs w:val="24"/>
        </w:rPr>
        <w:t>一线养护作业人员数量：</w:t>
      </w:r>
    </w:p>
    <w:p>
      <w:pPr>
        <w:snapToGrid w:val="0"/>
        <w:spacing w:line="480" w:lineRule="exact"/>
        <w:ind w:firstLine="480" w:firstLineChars="200"/>
        <w:rPr>
          <w:rFonts w:ascii="宋体" w:hAnsi="宋体"/>
          <w:bCs/>
          <w:color w:val="000000" w:themeColor="text1"/>
          <w:sz w:val="24"/>
          <w:szCs w:val="24"/>
        </w:rPr>
      </w:pPr>
      <w:r>
        <w:rPr>
          <w:rFonts w:hint="eastAsia" w:ascii="宋体" w:hAnsi="宋体"/>
          <w:bCs/>
          <w:color w:val="000000" w:themeColor="text1"/>
          <w:sz w:val="24"/>
          <w:szCs w:val="24"/>
        </w:rPr>
        <w:t>生长季不得少于15人；休眠期不得少于生长季的60%即9人。</w:t>
      </w:r>
    </w:p>
    <w:p>
      <w:pPr>
        <w:widowControl/>
        <w:snapToGrid w:val="0"/>
        <w:spacing w:line="480" w:lineRule="exact"/>
        <w:ind w:firstLine="448"/>
        <w:jc w:val="left"/>
        <w:rPr>
          <w:rFonts w:ascii="宋体" w:hAnsi="宋体"/>
          <w:sz w:val="24"/>
          <w:szCs w:val="24"/>
        </w:rPr>
      </w:pPr>
      <w:r>
        <w:rPr>
          <w:rFonts w:hint="eastAsia" w:ascii="宋体" w:hAnsi="宋体"/>
          <w:sz w:val="24"/>
          <w:szCs w:val="24"/>
        </w:rPr>
        <w:t>上述人员信息均录入智慧园林系统，并按招标文件要求配备专用手环，并承担相应费用。</w:t>
      </w:r>
    </w:p>
    <w:p>
      <w:pPr>
        <w:widowControl/>
        <w:snapToGrid w:val="0"/>
        <w:spacing w:line="480" w:lineRule="exact"/>
        <w:ind w:firstLine="448"/>
        <w:jc w:val="left"/>
        <w:rPr>
          <w:rFonts w:ascii="宋体" w:hAnsi="宋体"/>
          <w:sz w:val="24"/>
          <w:szCs w:val="24"/>
        </w:rPr>
      </w:pPr>
      <w:r>
        <w:rPr>
          <w:rFonts w:hint="eastAsia" w:ascii="宋体" w:hAnsi="宋体"/>
          <w:sz w:val="24"/>
          <w:szCs w:val="24"/>
        </w:rPr>
        <w:t>3.机械设备投入及管理达到招标文件要求：</w:t>
      </w:r>
    </w:p>
    <w:p>
      <w:pPr>
        <w:widowControl/>
        <w:snapToGrid w:val="0"/>
        <w:spacing w:line="480" w:lineRule="exact"/>
        <w:ind w:firstLine="448"/>
        <w:jc w:val="left"/>
        <w:rPr>
          <w:rFonts w:ascii="宋体" w:hAnsi="宋体"/>
          <w:sz w:val="24"/>
          <w:szCs w:val="24"/>
        </w:rPr>
      </w:pPr>
      <w:r>
        <w:rPr>
          <w:rFonts w:hint="eastAsia" w:ascii="宋体" w:hAnsi="宋体"/>
          <w:sz w:val="24"/>
          <w:szCs w:val="24"/>
        </w:rPr>
        <w:t>①投入兼具雾化功能</w:t>
      </w:r>
      <w:r>
        <w:rPr>
          <w:rFonts w:ascii="宋体" w:hAnsi="宋体"/>
          <w:sz w:val="24"/>
          <w:szCs w:val="24"/>
        </w:rPr>
        <w:t>专业洒水车</w:t>
      </w:r>
      <w:r>
        <w:rPr>
          <w:rFonts w:hint="eastAsia" w:ascii="宋体" w:hAnsi="宋体"/>
          <w:sz w:val="24"/>
          <w:szCs w:val="24"/>
        </w:rPr>
        <w:t>、吊车（或随车吊）、高空作业车（非长臂吊车）、树枝粉碎机、剪草机等；道路绿地投入雾炮车。所投设备承包期内接受发包人统一管理，不擅自驶离南通市区，专业洒水车与已在南通市园林绿化管理处管护标段登记使用的洒水车不重复。</w:t>
      </w:r>
    </w:p>
    <w:p>
      <w:pPr>
        <w:widowControl/>
        <w:snapToGrid w:val="0"/>
        <w:spacing w:line="480" w:lineRule="exact"/>
        <w:ind w:firstLine="448"/>
        <w:jc w:val="left"/>
        <w:rPr>
          <w:rFonts w:ascii="宋体" w:hAnsi="宋体"/>
          <w:strike/>
          <w:sz w:val="24"/>
          <w:szCs w:val="24"/>
        </w:rPr>
      </w:pPr>
      <w:r>
        <w:rPr>
          <w:rFonts w:hint="eastAsia" w:ascii="宋体" w:hAnsi="宋体"/>
          <w:sz w:val="24"/>
          <w:szCs w:val="24"/>
        </w:rPr>
        <w:t>②中标后，根据《南通市城市绿化养护质量等级标准（试行）》、《南通市园林绿化管理处防台防汛应急预案》相关规定和投标文件承诺，在合同签订前，向发包人提供本项目投入机械设备清单。</w:t>
      </w:r>
    </w:p>
    <w:p>
      <w:pPr>
        <w:widowControl/>
        <w:snapToGrid w:val="0"/>
        <w:spacing w:line="480" w:lineRule="exact"/>
        <w:ind w:firstLine="448"/>
        <w:jc w:val="left"/>
        <w:rPr>
          <w:rFonts w:ascii="宋体" w:hAnsi="宋体"/>
          <w:sz w:val="24"/>
          <w:szCs w:val="24"/>
        </w:rPr>
      </w:pPr>
      <w:r>
        <w:rPr>
          <w:rFonts w:ascii="宋体" w:hAnsi="宋体"/>
          <w:sz w:val="24"/>
          <w:szCs w:val="24"/>
        </w:rPr>
        <w:t>7</w:t>
      </w:r>
      <w:r>
        <w:rPr>
          <w:rFonts w:hint="eastAsia" w:ascii="宋体" w:hAnsi="宋体"/>
          <w:sz w:val="24"/>
          <w:szCs w:val="24"/>
        </w:rPr>
        <w:t>—</w:t>
      </w:r>
      <w:r>
        <w:rPr>
          <w:rFonts w:ascii="宋体" w:hAnsi="宋体"/>
          <w:sz w:val="24"/>
          <w:szCs w:val="24"/>
        </w:rPr>
        <w:t>9</w:t>
      </w:r>
      <w:r>
        <w:rPr>
          <w:rFonts w:hint="eastAsia" w:ascii="宋体" w:hAnsi="宋体"/>
          <w:sz w:val="24"/>
          <w:szCs w:val="24"/>
        </w:rPr>
        <w:t>月期间专业洒水车仅限本标段专用，不外借。</w:t>
      </w:r>
    </w:p>
    <w:p>
      <w:pPr>
        <w:widowControl/>
        <w:snapToGrid w:val="0"/>
        <w:spacing w:line="480" w:lineRule="exact"/>
        <w:ind w:firstLine="448"/>
        <w:jc w:val="left"/>
        <w:rPr>
          <w:rFonts w:ascii="宋体" w:hAnsi="宋体"/>
          <w:sz w:val="24"/>
          <w:szCs w:val="24"/>
        </w:rPr>
      </w:pPr>
      <w:r>
        <w:rPr>
          <w:rFonts w:hint="eastAsia" w:ascii="宋体" w:hAnsi="宋体"/>
          <w:sz w:val="24"/>
          <w:szCs w:val="24"/>
        </w:rPr>
        <w:t>防台防汛、高温抗旱、防寒防冻等应急期间，承包人按</w:t>
      </w:r>
      <w:r>
        <w:rPr>
          <w:rFonts w:ascii="宋体" w:hAnsi="宋体"/>
          <w:sz w:val="24"/>
          <w:szCs w:val="24"/>
        </w:rPr>
        <w:t>发包人统一要求，对</w:t>
      </w:r>
      <w:r>
        <w:rPr>
          <w:rFonts w:hint="eastAsia" w:ascii="宋体" w:hAnsi="宋体"/>
          <w:sz w:val="24"/>
          <w:szCs w:val="24"/>
        </w:rPr>
        <w:t>指定机械</w:t>
      </w:r>
      <w:r>
        <w:rPr>
          <w:rFonts w:ascii="宋体" w:hAnsi="宋体"/>
          <w:sz w:val="24"/>
          <w:szCs w:val="24"/>
        </w:rPr>
        <w:t>设备集中管理</w:t>
      </w:r>
      <w:r>
        <w:rPr>
          <w:rFonts w:hint="eastAsia" w:ascii="宋体" w:hAnsi="宋体"/>
          <w:sz w:val="24"/>
          <w:szCs w:val="24"/>
        </w:rPr>
        <w:t>。承诺每个标段具备吊车（或随车吊）1辆，保证主动到位并随时运用。</w:t>
      </w:r>
    </w:p>
    <w:p>
      <w:pPr>
        <w:widowControl/>
        <w:snapToGrid w:val="0"/>
        <w:spacing w:line="480" w:lineRule="exact"/>
        <w:ind w:firstLine="448"/>
        <w:jc w:val="left"/>
        <w:rPr>
          <w:rFonts w:ascii="宋体" w:hAnsi="宋体"/>
          <w:sz w:val="24"/>
          <w:szCs w:val="24"/>
        </w:rPr>
      </w:pPr>
      <w:r>
        <w:rPr>
          <w:rFonts w:ascii="宋体" w:hAnsi="宋体"/>
          <w:sz w:val="24"/>
          <w:szCs w:val="24"/>
        </w:rPr>
        <w:t>洒水车、巡查车等机动车辆设备根据发包人要求统一标识。其中，洒水车</w:t>
      </w:r>
      <w:r>
        <w:rPr>
          <w:rFonts w:hint="eastAsia" w:ascii="宋体" w:hAnsi="宋体"/>
          <w:sz w:val="24"/>
          <w:szCs w:val="24"/>
        </w:rPr>
        <w:t>保证</w:t>
      </w:r>
      <w:r>
        <w:rPr>
          <w:rFonts w:ascii="宋体" w:hAnsi="宋体"/>
          <w:sz w:val="24"/>
          <w:szCs w:val="24"/>
        </w:rPr>
        <w:t>按规定配置移动定位装备；巡查车辆</w:t>
      </w:r>
      <w:r>
        <w:rPr>
          <w:rFonts w:hint="eastAsia" w:ascii="宋体" w:hAnsi="宋体"/>
          <w:sz w:val="24"/>
          <w:szCs w:val="24"/>
        </w:rPr>
        <w:t>保证</w:t>
      </w:r>
      <w:r>
        <w:rPr>
          <w:rFonts w:ascii="宋体" w:hAnsi="宋体"/>
          <w:sz w:val="24"/>
          <w:szCs w:val="24"/>
        </w:rPr>
        <w:t>配备视频记录仪和传输装置，型号满足1080P高清摄像头、支持大广角；支持蓝牙一键报警；内置3G/4G无线模块，GPS北斗双模，Wi-Fi模块，麦克风采集，扬声器输出；视频帧率：50Hz:1920×1080@25fps；2</w:t>
      </w:r>
      <w:r>
        <w:rPr>
          <w:rFonts w:hint="eastAsia" w:ascii="宋体" w:hAnsi="宋体"/>
          <w:sz w:val="24"/>
          <w:szCs w:val="24"/>
        </w:rPr>
        <w:t>个</w:t>
      </w:r>
      <w:r>
        <w:rPr>
          <w:rFonts w:ascii="宋体" w:hAnsi="宋体"/>
          <w:sz w:val="24"/>
          <w:szCs w:val="24"/>
        </w:rPr>
        <w:t>TF卡，单卡最大支持256GB，存放报警视频、图片、4G断网暂存数据；支持前车起步提醒、绿灯检测提醒、人行道礼让行人提醒；扩展接入相机支持后排遗留物检测报警；扩展接入相机支持司机抽烟、打电话、打哈欠、左顾右盼、离岗检测、人脸签到，以上要求提供权威机构出具的检测报告复印件并加盖原厂公章；含256GB存储卡且支持无缝对接城市生命线物联网管理平台和视频汇聚平台，统一纳管。管护单位承担前述所需费用，且承包单位每月自付物联网卡流量费用以满足视频记录仪正常使用。</w:t>
      </w:r>
    </w:p>
    <w:p>
      <w:pPr>
        <w:widowControl/>
        <w:snapToGrid w:val="0"/>
        <w:spacing w:line="480" w:lineRule="exact"/>
        <w:ind w:firstLine="448"/>
        <w:jc w:val="left"/>
        <w:rPr>
          <w:rFonts w:ascii="宋体" w:hAnsi="宋体"/>
          <w:sz w:val="24"/>
          <w:szCs w:val="24"/>
        </w:rPr>
      </w:pPr>
      <w:r>
        <w:rPr>
          <w:rFonts w:hint="eastAsia" w:ascii="宋体" w:hAnsi="宋体"/>
          <w:sz w:val="24"/>
          <w:szCs w:val="24"/>
        </w:rPr>
        <w:t>机动车辆及主要设备不无故变更，如确因报废、受损等原因需要变更的，承包人书面提出变更申请，经发包人同意后调整到位。变更设备相关技术参数和性能状况不低于原备案设备性能。</w:t>
      </w:r>
    </w:p>
    <w:p>
      <w:pPr>
        <w:widowControl/>
        <w:snapToGrid w:val="0"/>
        <w:spacing w:line="480" w:lineRule="exact"/>
        <w:ind w:firstLine="448"/>
        <w:jc w:val="left"/>
        <w:rPr>
          <w:rFonts w:ascii="宋体" w:hAnsi="宋体"/>
          <w:sz w:val="24"/>
          <w:szCs w:val="24"/>
        </w:rPr>
      </w:pPr>
      <w:r>
        <w:rPr>
          <w:rFonts w:hint="eastAsia" w:ascii="宋体" w:hAnsi="宋体"/>
          <w:sz w:val="24"/>
          <w:szCs w:val="24"/>
        </w:rPr>
        <w:t>承包人在签订合同前配备一台功率不小于</w:t>
      </w:r>
      <w:r>
        <w:rPr>
          <w:rFonts w:ascii="宋体" w:hAnsi="宋体"/>
          <w:sz w:val="24"/>
          <w:szCs w:val="24"/>
        </w:rPr>
        <w:t>13马力的移动式树枝粉碎机</w:t>
      </w:r>
      <w:r>
        <w:rPr>
          <w:rFonts w:hint="eastAsia" w:ascii="宋体" w:hAnsi="宋体"/>
          <w:sz w:val="24"/>
          <w:szCs w:val="24"/>
        </w:rPr>
        <w:t>。</w:t>
      </w:r>
    </w:p>
    <w:p>
      <w:pPr>
        <w:widowControl/>
        <w:snapToGrid w:val="0"/>
        <w:spacing w:line="480" w:lineRule="exact"/>
        <w:ind w:firstLine="448"/>
        <w:jc w:val="left"/>
        <w:rPr>
          <w:rFonts w:ascii="宋体" w:hAnsi="宋体"/>
          <w:sz w:val="24"/>
          <w:szCs w:val="24"/>
        </w:rPr>
      </w:pPr>
      <w:r>
        <w:rPr>
          <w:rFonts w:hint="eastAsia" w:ascii="宋体" w:hAnsi="宋体"/>
          <w:sz w:val="24"/>
          <w:szCs w:val="24"/>
        </w:rPr>
        <w:t>③</w:t>
      </w:r>
      <w:r>
        <w:rPr>
          <w:rFonts w:ascii="宋体" w:hAnsi="宋体"/>
          <w:sz w:val="24"/>
          <w:szCs w:val="24"/>
        </w:rPr>
        <w:t>中标后主动自行办理承包期内“机械设备市区通行证”，确保</w:t>
      </w:r>
      <w:r>
        <w:rPr>
          <w:rFonts w:hint="eastAsia" w:ascii="宋体" w:hAnsi="宋体"/>
          <w:sz w:val="24"/>
          <w:szCs w:val="24"/>
        </w:rPr>
        <w:t>洒水车等机动车辆及设备随时运行。</w:t>
      </w:r>
    </w:p>
    <w:p>
      <w:pPr>
        <w:widowControl/>
        <w:snapToGrid w:val="0"/>
        <w:spacing w:line="480" w:lineRule="exact"/>
        <w:ind w:firstLine="448"/>
        <w:jc w:val="left"/>
        <w:rPr>
          <w:rFonts w:ascii="宋体" w:hAnsi="宋体"/>
          <w:sz w:val="24"/>
          <w:szCs w:val="24"/>
        </w:rPr>
      </w:pPr>
      <w:r>
        <w:rPr>
          <w:rFonts w:hint="eastAsia" w:ascii="宋体" w:hAnsi="宋体"/>
          <w:sz w:val="24"/>
          <w:szCs w:val="24"/>
        </w:rPr>
        <w:t>4.</w:t>
      </w:r>
      <w:r>
        <w:rPr>
          <w:rFonts w:ascii="宋体" w:hAnsi="宋体"/>
          <w:sz w:val="24"/>
          <w:szCs w:val="24"/>
        </w:rPr>
        <w:t>我单位积极配合发包</w:t>
      </w:r>
      <w:r>
        <w:rPr>
          <w:rFonts w:hint="eastAsia" w:ascii="宋体" w:hAnsi="宋体"/>
          <w:sz w:val="24"/>
          <w:szCs w:val="24"/>
        </w:rPr>
        <w:t>方</w:t>
      </w:r>
      <w:r>
        <w:rPr>
          <w:rFonts w:ascii="宋体" w:hAnsi="宋体"/>
          <w:sz w:val="24"/>
          <w:szCs w:val="24"/>
        </w:rPr>
        <w:t>做好</w:t>
      </w:r>
      <w:r>
        <w:rPr>
          <w:rFonts w:hint="eastAsia" w:ascii="宋体" w:hAnsi="宋体"/>
          <w:sz w:val="24"/>
          <w:szCs w:val="24"/>
        </w:rPr>
        <w:t>管理站运行工作，所有相关费用已在投标报价中予以综合考虑。</w:t>
      </w:r>
    </w:p>
    <w:p>
      <w:pPr>
        <w:widowControl/>
        <w:snapToGrid w:val="0"/>
        <w:spacing w:line="480" w:lineRule="exact"/>
        <w:ind w:firstLine="448"/>
        <w:jc w:val="left"/>
        <w:rPr>
          <w:rFonts w:ascii="宋体" w:hAnsi="宋体"/>
          <w:sz w:val="24"/>
          <w:szCs w:val="24"/>
        </w:rPr>
      </w:pPr>
      <w:r>
        <w:rPr>
          <w:rFonts w:hint="eastAsia" w:ascii="宋体" w:hAnsi="宋体"/>
          <w:sz w:val="24"/>
          <w:szCs w:val="24"/>
        </w:rPr>
        <w:t>5.管护</w:t>
      </w:r>
      <w:r>
        <w:rPr>
          <w:rFonts w:ascii="宋体" w:hAnsi="宋体"/>
          <w:sz w:val="24"/>
          <w:szCs w:val="24"/>
        </w:rPr>
        <w:t>期内因</w:t>
      </w:r>
      <w:r>
        <w:rPr>
          <w:rFonts w:hint="eastAsia" w:ascii="宋体" w:hAnsi="宋体"/>
          <w:sz w:val="24"/>
          <w:szCs w:val="24"/>
        </w:rPr>
        <w:t>规划建设、基建移伐等政策性调整</w:t>
      </w:r>
      <w:r>
        <w:rPr>
          <w:rFonts w:ascii="宋体" w:hAnsi="宋体"/>
          <w:sz w:val="24"/>
          <w:szCs w:val="24"/>
        </w:rPr>
        <w:t>发生</w:t>
      </w:r>
      <w:r>
        <w:rPr>
          <w:rFonts w:hint="eastAsia" w:ascii="宋体" w:hAnsi="宋体"/>
          <w:sz w:val="24"/>
          <w:szCs w:val="24"/>
        </w:rPr>
        <w:t>管理</w:t>
      </w:r>
      <w:r>
        <w:rPr>
          <w:rFonts w:ascii="宋体" w:hAnsi="宋体"/>
          <w:sz w:val="24"/>
          <w:szCs w:val="24"/>
        </w:rPr>
        <w:t>面积减少</w:t>
      </w:r>
      <w:r>
        <w:rPr>
          <w:rFonts w:hint="eastAsia" w:ascii="宋体" w:hAnsi="宋体"/>
          <w:sz w:val="24"/>
          <w:szCs w:val="24"/>
        </w:rPr>
        <w:t>的，</w:t>
      </w:r>
      <w:r>
        <w:rPr>
          <w:rFonts w:ascii="宋体" w:hAnsi="宋体"/>
          <w:sz w:val="24"/>
          <w:szCs w:val="24"/>
        </w:rPr>
        <w:t>依据实际数量及相应投标报价按实调整</w:t>
      </w:r>
      <w:r>
        <w:rPr>
          <w:rFonts w:hint="eastAsia" w:ascii="宋体" w:hAnsi="宋体"/>
          <w:sz w:val="24"/>
          <w:szCs w:val="24"/>
        </w:rPr>
        <w:t>管理经</w:t>
      </w:r>
      <w:r>
        <w:rPr>
          <w:rFonts w:ascii="宋体" w:hAnsi="宋体"/>
          <w:sz w:val="24"/>
          <w:szCs w:val="24"/>
        </w:rPr>
        <w:t>费。</w:t>
      </w:r>
    </w:p>
    <w:p>
      <w:pPr>
        <w:widowControl/>
        <w:snapToGrid w:val="0"/>
        <w:spacing w:line="480" w:lineRule="exact"/>
        <w:ind w:firstLine="448"/>
        <w:jc w:val="left"/>
        <w:rPr>
          <w:rFonts w:ascii="宋体" w:hAnsi="宋体"/>
          <w:sz w:val="24"/>
          <w:szCs w:val="24"/>
        </w:rPr>
      </w:pPr>
      <w:r>
        <w:rPr>
          <w:rFonts w:hint="eastAsia" w:ascii="宋体" w:hAnsi="宋体"/>
          <w:sz w:val="24"/>
          <w:szCs w:val="24"/>
        </w:rPr>
        <w:t>6.承包期内，发包方如将新增管护量就近委托承包方管护，承包方不以任何理由和借口拒绝。</w:t>
      </w:r>
    </w:p>
    <w:p>
      <w:pPr>
        <w:widowControl/>
        <w:snapToGrid w:val="0"/>
        <w:spacing w:line="480" w:lineRule="exact"/>
        <w:ind w:firstLine="448"/>
        <w:jc w:val="left"/>
        <w:rPr>
          <w:rFonts w:ascii="宋体" w:hAnsi="宋体"/>
          <w:sz w:val="24"/>
          <w:szCs w:val="24"/>
        </w:rPr>
      </w:pPr>
      <w:r>
        <w:rPr>
          <w:rFonts w:hint="eastAsia" w:ascii="宋体" w:hAnsi="宋体"/>
          <w:sz w:val="24"/>
          <w:szCs w:val="24"/>
        </w:rPr>
        <w:t>7.除养护招标范围以外，我单位免费义务接受发包方组织的3000平米以下公益养护活动1次/年。</w:t>
      </w:r>
    </w:p>
    <w:p>
      <w:pPr>
        <w:widowControl/>
        <w:snapToGrid w:val="0"/>
        <w:spacing w:line="480" w:lineRule="exact"/>
        <w:ind w:firstLine="448"/>
        <w:jc w:val="left"/>
        <w:rPr>
          <w:rFonts w:ascii="宋体" w:hAnsi="宋体"/>
          <w:sz w:val="24"/>
          <w:szCs w:val="24"/>
        </w:rPr>
      </w:pPr>
      <w:r>
        <w:rPr>
          <w:rFonts w:hint="eastAsia" w:ascii="宋体" w:hAnsi="宋体"/>
          <w:sz w:val="24"/>
          <w:szCs w:val="24"/>
        </w:rPr>
        <w:t>8.中标后在南通市区范围内（崇川区）设立项目部（办公建筑面积不少于20㎡，仓库建筑面积不少于20㎡），具备必要的办公条件，按照发包方要求配备相应物资。</w:t>
      </w:r>
    </w:p>
    <w:p>
      <w:pPr>
        <w:widowControl/>
        <w:snapToGrid w:val="0"/>
        <w:spacing w:line="480" w:lineRule="exact"/>
        <w:ind w:firstLine="448"/>
        <w:jc w:val="left"/>
        <w:rPr>
          <w:rFonts w:ascii="宋体" w:hAnsi="宋体"/>
          <w:sz w:val="24"/>
          <w:szCs w:val="24"/>
        </w:rPr>
      </w:pPr>
      <w:r>
        <w:rPr>
          <w:rFonts w:hint="eastAsia" w:ascii="宋体" w:hAnsi="宋体"/>
          <w:sz w:val="24"/>
          <w:szCs w:val="24"/>
        </w:rPr>
        <w:t>9.我单位在领取管护经费时，承诺开具正式发票。如系外地管护单位，承诺按规定在南通市区缴纳税款，并提供完税凭证。</w:t>
      </w:r>
    </w:p>
    <w:p>
      <w:pPr>
        <w:widowControl/>
        <w:snapToGrid w:val="0"/>
        <w:spacing w:line="480" w:lineRule="exact"/>
        <w:ind w:firstLine="448"/>
        <w:jc w:val="left"/>
        <w:rPr>
          <w:rFonts w:ascii="宋体" w:hAnsi="宋体"/>
          <w:sz w:val="24"/>
          <w:szCs w:val="24"/>
        </w:rPr>
      </w:pPr>
      <w:r>
        <w:rPr>
          <w:rFonts w:hint="eastAsia" w:ascii="宋体" w:hAnsi="宋体"/>
          <w:sz w:val="24"/>
          <w:szCs w:val="24"/>
        </w:rPr>
        <w:t>10.我单位承诺在承包期内给每位作业人员办理人身意外伤害险。</w:t>
      </w:r>
    </w:p>
    <w:p>
      <w:pPr>
        <w:widowControl/>
        <w:snapToGrid w:val="0"/>
        <w:spacing w:line="480" w:lineRule="exact"/>
        <w:ind w:firstLine="448"/>
        <w:jc w:val="left"/>
        <w:rPr>
          <w:rFonts w:ascii="宋体" w:hAnsi="宋体"/>
          <w:bCs/>
          <w:sz w:val="24"/>
          <w:szCs w:val="24"/>
        </w:rPr>
      </w:pPr>
      <w:r>
        <w:rPr>
          <w:rFonts w:hint="eastAsia" w:ascii="宋体" w:hAnsi="宋体"/>
          <w:sz w:val="24"/>
          <w:szCs w:val="24"/>
        </w:rPr>
        <w:t>11、我单位承诺</w:t>
      </w:r>
      <w:r>
        <w:rPr>
          <w:rFonts w:ascii="宋体" w:hAnsi="宋体"/>
          <w:sz w:val="24"/>
          <w:szCs w:val="24"/>
        </w:rPr>
        <w:t>对招标文件所列清单以外的现场</w:t>
      </w:r>
      <w:r>
        <w:rPr>
          <w:rFonts w:hint="eastAsia" w:ascii="宋体" w:hAnsi="宋体"/>
          <w:sz w:val="24"/>
          <w:szCs w:val="24"/>
        </w:rPr>
        <w:t>所有</w:t>
      </w:r>
      <w:r>
        <w:rPr>
          <w:rFonts w:ascii="宋体" w:hAnsi="宋体"/>
          <w:sz w:val="24"/>
          <w:szCs w:val="24"/>
        </w:rPr>
        <w:t>缺陷</w:t>
      </w:r>
      <w:r>
        <w:rPr>
          <w:rFonts w:hint="eastAsia" w:ascii="宋体" w:hAnsi="宋体"/>
          <w:sz w:val="24"/>
          <w:szCs w:val="24"/>
        </w:rPr>
        <w:t>进行完善，费用在绿地管护分项报价时已予考虑。</w:t>
      </w:r>
    </w:p>
    <w:p>
      <w:pPr>
        <w:widowControl/>
        <w:snapToGrid w:val="0"/>
        <w:spacing w:line="480" w:lineRule="exact"/>
        <w:ind w:firstLine="448"/>
        <w:jc w:val="left"/>
        <w:rPr>
          <w:rFonts w:ascii="宋体" w:hAnsi="宋体"/>
          <w:b/>
          <w:bCs/>
          <w:color w:val="0000FF"/>
          <w:sz w:val="24"/>
          <w:szCs w:val="24"/>
        </w:rPr>
      </w:pPr>
      <w:r>
        <w:rPr>
          <w:rFonts w:hint="eastAsia" w:ascii="宋体" w:hAnsi="宋体"/>
          <w:sz w:val="24"/>
          <w:szCs w:val="24"/>
        </w:rPr>
        <w:t>12、</w:t>
      </w:r>
      <w:r>
        <w:rPr>
          <w:rFonts w:hint="eastAsia" w:ascii="宋体" w:hAnsi="宋体"/>
          <w:bCs/>
          <w:sz w:val="24"/>
          <w:szCs w:val="24"/>
        </w:rPr>
        <w:t>我单位承诺中标后配备1名专职巡查员。该名巡查员经发包人面试合格，合同期交发包人统一管理、调配使用6个月/年。该专职巡查员委托南通市人才事务所有限公司根据发包人考核结果按月代发工资。工资不低于政府购买服务岗位人员当期薪酬标准，我单位在管护分项报价时已考虑此因素。</w:t>
      </w:r>
    </w:p>
    <w:p>
      <w:pPr>
        <w:snapToGrid w:val="0"/>
        <w:spacing w:line="480" w:lineRule="exact"/>
        <w:ind w:firstLine="482" w:firstLineChars="200"/>
        <w:rPr>
          <w:rFonts w:ascii="宋体" w:hAnsi="宋体"/>
          <w:b/>
          <w:bCs/>
          <w:color w:val="0000FF"/>
          <w:sz w:val="24"/>
          <w:szCs w:val="24"/>
        </w:rPr>
      </w:pPr>
      <w:r>
        <w:rPr>
          <w:rFonts w:hint="eastAsia" w:ascii="宋体" w:hAnsi="宋体"/>
          <w:b/>
          <w:bCs/>
          <w:color w:val="0000FF"/>
          <w:sz w:val="24"/>
          <w:szCs w:val="24"/>
        </w:rPr>
        <w:t>13.我单位承诺乔灌木每年均进行整型修剪，我单位在管护分项报价时已考虑此因素。</w:t>
      </w:r>
    </w:p>
    <w:p>
      <w:pPr>
        <w:snapToGrid w:val="0"/>
        <w:spacing w:line="480" w:lineRule="exact"/>
        <w:ind w:firstLine="480" w:firstLineChars="200"/>
        <w:rPr>
          <w:rFonts w:ascii="宋体" w:hAnsi="宋体"/>
          <w:b/>
          <w:bCs/>
          <w:color w:val="0000FF"/>
          <w:sz w:val="24"/>
          <w:szCs w:val="24"/>
        </w:rPr>
      </w:pPr>
      <w:r>
        <w:rPr>
          <w:rFonts w:hint="eastAsia" w:ascii="宋体" w:hAnsi="宋体"/>
          <w:bCs/>
          <w:color w:val="000000" w:themeColor="text1"/>
          <w:sz w:val="24"/>
          <w:szCs w:val="24"/>
        </w:rPr>
        <w:t>14、我</w:t>
      </w:r>
      <w:r>
        <w:rPr>
          <w:rFonts w:hint="eastAsia" w:ascii="宋体" w:hAnsi="宋体"/>
          <w:bCs/>
          <w:sz w:val="24"/>
          <w:szCs w:val="24"/>
        </w:rPr>
        <w:t>单位承诺将养护管理中所产生的枯枝败叶、树枝枝干、草屑等园林绿化垃圾送至发包方（或处置单位）确定的收集点集中处理，尚未确定处置单位前的过渡期内，则由我单位按园林废弃物处理利用相关要求自行处置，绝不随意弃置，相应费用已在投标报价时予以考虑。</w:t>
      </w:r>
    </w:p>
    <w:p>
      <w:pPr>
        <w:widowControl/>
        <w:snapToGrid w:val="0"/>
        <w:spacing w:line="480" w:lineRule="exact"/>
        <w:ind w:firstLine="448"/>
        <w:jc w:val="left"/>
        <w:rPr>
          <w:rFonts w:ascii="宋体" w:hAnsi="宋体"/>
          <w:sz w:val="24"/>
          <w:szCs w:val="24"/>
        </w:rPr>
      </w:pPr>
      <w:r>
        <w:rPr>
          <w:rFonts w:hint="eastAsia" w:ascii="宋体" w:hAnsi="宋体"/>
          <w:sz w:val="24"/>
          <w:szCs w:val="24"/>
        </w:rPr>
        <w:t>（九）我单位承诺做到招标文件提及的其它要求。</w:t>
      </w:r>
    </w:p>
    <w:p>
      <w:pPr>
        <w:snapToGrid w:val="0"/>
        <w:spacing w:line="480" w:lineRule="exact"/>
        <w:ind w:firstLine="462"/>
        <w:rPr>
          <w:rFonts w:ascii="宋体" w:hAnsi="宋体"/>
          <w:b/>
          <w:sz w:val="24"/>
          <w:szCs w:val="24"/>
        </w:rPr>
      </w:pPr>
      <w:r>
        <w:rPr>
          <w:rFonts w:hint="eastAsia" w:ascii="宋体" w:hAnsi="宋体"/>
          <w:b/>
          <w:sz w:val="24"/>
          <w:szCs w:val="24"/>
        </w:rPr>
        <w:t>我方承诺：违反上述条款，愿意接受处罚，包括同意你方取消我方中标资格并不予退还投标保证金或按违约比例扣减履约保证金或中止承包合同，将我方列入黑名单，我方36个月内不再参与你方组织的招投标活动。</w:t>
      </w:r>
    </w:p>
    <w:p>
      <w:pPr>
        <w:pStyle w:val="2"/>
        <w:spacing w:line="480" w:lineRule="exact"/>
        <w:ind w:left="63" w:right="63"/>
      </w:pPr>
    </w:p>
    <w:p/>
    <w:p>
      <w:pPr>
        <w:pStyle w:val="2"/>
        <w:ind w:left="63" w:right="63"/>
      </w:pPr>
    </w:p>
    <w:p/>
    <w:p>
      <w:pPr>
        <w:snapToGrid w:val="0"/>
        <w:spacing w:line="480" w:lineRule="exact"/>
        <w:ind w:right="480" w:firstLine="4920" w:firstLineChars="2050"/>
        <w:rPr>
          <w:rFonts w:ascii="Times New Roman" w:hAnsi="Times New Roman"/>
          <w:color w:val="000000"/>
          <w:sz w:val="24"/>
          <w:szCs w:val="24"/>
        </w:rPr>
      </w:pPr>
      <w:r>
        <w:rPr>
          <w:rFonts w:hint="eastAsia" w:ascii="Times New Roman" w:hAnsi="宋体"/>
          <w:color w:val="000000"/>
          <w:sz w:val="24"/>
          <w:szCs w:val="24"/>
        </w:rPr>
        <w:t>投标</w:t>
      </w:r>
      <w:r>
        <w:rPr>
          <w:rFonts w:ascii="Times New Roman" w:hAnsi="宋体"/>
          <w:color w:val="000000"/>
          <w:sz w:val="24"/>
          <w:szCs w:val="24"/>
        </w:rPr>
        <w:t>单位（加盖公章）：</w:t>
      </w:r>
    </w:p>
    <w:p>
      <w:pPr>
        <w:spacing w:line="480" w:lineRule="exact"/>
        <w:ind w:firstLine="4440" w:firstLineChars="1850"/>
        <w:rPr>
          <w:rFonts w:ascii="Times New Roman" w:hAnsi="宋体"/>
          <w:color w:val="000000"/>
          <w:sz w:val="24"/>
          <w:szCs w:val="24"/>
        </w:rPr>
      </w:pPr>
      <w:r>
        <w:rPr>
          <w:rFonts w:ascii="Times New Roman" w:hAnsi="宋体"/>
          <w:color w:val="000000"/>
          <w:sz w:val="24"/>
          <w:szCs w:val="24"/>
        </w:rPr>
        <w:t>法</w:t>
      </w:r>
      <w:r>
        <w:rPr>
          <w:rFonts w:hint="eastAsia" w:ascii="Times New Roman" w:hAnsi="宋体"/>
          <w:color w:val="000000"/>
          <w:sz w:val="24"/>
          <w:szCs w:val="24"/>
        </w:rPr>
        <w:t>定代表</w:t>
      </w:r>
      <w:r>
        <w:rPr>
          <w:rFonts w:ascii="Times New Roman" w:hAnsi="宋体"/>
          <w:color w:val="000000"/>
          <w:sz w:val="24"/>
          <w:szCs w:val="24"/>
        </w:rPr>
        <w:t>人（</w:t>
      </w:r>
      <w:r>
        <w:rPr>
          <w:rFonts w:hint="eastAsia" w:ascii="Times New Roman" w:hAnsi="宋体"/>
          <w:color w:val="000000"/>
          <w:sz w:val="24"/>
          <w:szCs w:val="24"/>
        </w:rPr>
        <w:t>签名</w:t>
      </w:r>
      <w:r>
        <w:rPr>
          <w:rFonts w:ascii="Times New Roman" w:hAnsi="宋体"/>
          <w:color w:val="000000"/>
          <w:sz w:val="24"/>
          <w:szCs w:val="24"/>
        </w:rPr>
        <w:t>或</w:t>
      </w:r>
      <w:r>
        <w:rPr>
          <w:rFonts w:hint="eastAsia" w:ascii="Times New Roman" w:hAnsi="宋体"/>
          <w:color w:val="000000"/>
          <w:sz w:val="24"/>
          <w:szCs w:val="24"/>
        </w:rPr>
        <w:t>印</w:t>
      </w:r>
      <w:r>
        <w:rPr>
          <w:rFonts w:ascii="Times New Roman" w:hAnsi="宋体"/>
          <w:color w:val="000000"/>
          <w:sz w:val="24"/>
          <w:szCs w:val="24"/>
        </w:rPr>
        <w:t>章）</w:t>
      </w:r>
      <w:r>
        <w:rPr>
          <w:rFonts w:hint="eastAsia" w:ascii="Times New Roman" w:hAnsi="宋体"/>
          <w:color w:val="000000"/>
          <w:sz w:val="24"/>
          <w:szCs w:val="24"/>
        </w:rPr>
        <w:t>：</w:t>
      </w:r>
    </w:p>
    <w:p>
      <w:pPr>
        <w:snapToGrid w:val="0"/>
        <w:spacing w:line="480" w:lineRule="exact"/>
        <w:ind w:right="1200"/>
        <w:jc w:val="right"/>
        <w:rPr>
          <w:rFonts w:ascii="Times New Roman" w:hAnsi="Times New Roman" w:eastAsia="黑体"/>
          <w:b/>
          <w:bCs/>
          <w:color w:val="000000"/>
          <w:kern w:val="0"/>
          <w:sz w:val="30"/>
          <w:szCs w:val="30"/>
        </w:rPr>
      </w:pPr>
      <w:r>
        <w:rPr>
          <w:rFonts w:hint="eastAsia" w:ascii="Times New Roman" w:hAnsi="宋体"/>
          <w:color w:val="000000"/>
          <w:sz w:val="24"/>
          <w:szCs w:val="24"/>
        </w:rPr>
        <w:t xml:space="preserve"> 2025</w:t>
      </w:r>
      <w:r>
        <w:rPr>
          <w:rFonts w:ascii="Times New Roman" w:hAnsi="宋体"/>
          <w:color w:val="000000"/>
          <w:sz w:val="24"/>
          <w:szCs w:val="24"/>
        </w:rPr>
        <w:t>年</w:t>
      </w:r>
      <w:r>
        <w:rPr>
          <w:rFonts w:hint="eastAsia" w:ascii="Times New Roman" w:hAnsi="宋体"/>
          <w:color w:val="000000"/>
          <w:sz w:val="24"/>
          <w:szCs w:val="24"/>
        </w:rPr>
        <w:t xml:space="preserve">   </w:t>
      </w:r>
      <w:r>
        <w:rPr>
          <w:rFonts w:ascii="Times New Roman" w:hAnsi="宋体"/>
          <w:color w:val="000000"/>
          <w:sz w:val="24"/>
          <w:szCs w:val="24"/>
        </w:rPr>
        <w:t>月</w:t>
      </w:r>
      <w:r>
        <w:rPr>
          <w:rFonts w:hint="eastAsia" w:ascii="Times New Roman" w:hAnsi="宋体"/>
          <w:color w:val="000000"/>
          <w:sz w:val="24"/>
          <w:szCs w:val="24"/>
        </w:rPr>
        <w:t xml:space="preserve">   </w:t>
      </w:r>
      <w:r>
        <w:rPr>
          <w:rFonts w:ascii="Times New Roman" w:hAnsi="宋体"/>
          <w:color w:val="000000"/>
          <w:sz w:val="24"/>
          <w:szCs w:val="24"/>
        </w:rPr>
        <w:t>日</w:t>
      </w:r>
    </w:p>
    <w:p>
      <w:pPr>
        <w:shd w:val="clear" w:color="auto" w:fill="FFFFFF"/>
        <w:adjustRightInd w:val="0"/>
        <w:snapToGrid w:val="0"/>
        <w:spacing w:line="360" w:lineRule="auto"/>
        <w:ind w:firstLine="2409" w:firstLineChars="800"/>
        <w:textAlignment w:val="baseline"/>
        <w:rPr>
          <w:rFonts w:ascii="Times New Roman" w:hAnsi="Times New Roman" w:eastAsia="黑体"/>
          <w:b/>
          <w:bCs/>
          <w:color w:val="000000"/>
          <w:kern w:val="0"/>
          <w:sz w:val="30"/>
          <w:szCs w:val="30"/>
        </w:rPr>
      </w:pPr>
    </w:p>
    <w:p>
      <w:pPr>
        <w:pStyle w:val="2"/>
        <w:ind w:left="63" w:right="63"/>
      </w:pPr>
    </w:p>
    <w:p>
      <w:pPr>
        <w:shd w:val="clear" w:color="auto" w:fill="FFFFFF"/>
        <w:adjustRightInd w:val="0"/>
        <w:snapToGrid w:val="0"/>
        <w:spacing w:line="360" w:lineRule="auto"/>
        <w:ind w:firstLine="2409" w:firstLineChars="800"/>
        <w:textAlignment w:val="baseline"/>
        <w:rPr>
          <w:rFonts w:ascii="Times New Roman" w:hAnsi="Times New Roman" w:eastAsia="黑体"/>
          <w:b/>
          <w:bCs/>
          <w:color w:val="000000"/>
          <w:kern w:val="0"/>
          <w:sz w:val="30"/>
          <w:szCs w:val="30"/>
        </w:rPr>
      </w:pPr>
    </w:p>
    <w:p>
      <w:pPr>
        <w:shd w:val="clear" w:color="auto" w:fill="FFFFFF"/>
        <w:adjustRightInd w:val="0"/>
        <w:snapToGrid w:val="0"/>
        <w:spacing w:line="360" w:lineRule="auto"/>
        <w:ind w:firstLine="2409" w:firstLineChars="800"/>
        <w:textAlignment w:val="baseline"/>
        <w:rPr>
          <w:rFonts w:ascii="Times New Roman" w:hAnsi="Times New Roman" w:eastAsia="黑体"/>
          <w:b/>
          <w:bCs/>
          <w:color w:val="000000"/>
          <w:kern w:val="0"/>
          <w:sz w:val="30"/>
          <w:szCs w:val="30"/>
        </w:rPr>
      </w:pPr>
      <w:r>
        <w:rPr>
          <w:rFonts w:hint="eastAsia" w:ascii="Times New Roman" w:hAnsi="Times New Roman" w:eastAsia="黑体"/>
          <w:b/>
          <w:bCs/>
          <w:color w:val="000000"/>
          <w:kern w:val="0"/>
          <w:sz w:val="30"/>
          <w:szCs w:val="30"/>
        </w:rPr>
        <w:t>二、法定代表人身份证明书</w:t>
      </w:r>
    </w:p>
    <w:p>
      <w:pPr>
        <w:shd w:val="clear" w:color="auto" w:fill="FFFFFF"/>
        <w:adjustRightInd w:val="0"/>
        <w:snapToGrid w:val="0"/>
        <w:spacing w:line="360" w:lineRule="auto"/>
        <w:ind w:firstLine="480" w:firstLineChars="200"/>
        <w:textAlignment w:val="baseline"/>
        <w:rPr>
          <w:rFonts w:ascii="宋体" w:hAnsi="宋体"/>
          <w:bCs/>
          <w:color w:val="000000"/>
          <w:sz w:val="24"/>
          <w:szCs w:val="24"/>
        </w:rPr>
      </w:pPr>
    </w:p>
    <w:p>
      <w:pPr>
        <w:shd w:val="clear" w:color="auto" w:fill="FFFFFF"/>
        <w:adjustRightInd w:val="0"/>
        <w:snapToGrid w:val="0"/>
        <w:spacing w:line="360" w:lineRule="auto"/>
        <w:ind w:firstLine="480" w:firstLineChars="200"/>
        <w:textAlignment w:val="baseline"/>
        <w:rPr>
          <w:rFonts w:ascii="宋体" w:hAnsi="宋体"/>
          <w:bCs/>
          <w:color w:val="000000"/>
          <w:sz w:val="24"/>
          <w:szCs w:val="24"/>
        </w:rPr>
      </w:pPr>
    </w:p>
    <w:p>
      <w:pPr>
        <w:shd w:val="clear" w:color="auto" w:fill="FFFFFF"/>
        <w:adjustRightInd w:val="0"/>
        <w:snapToGrid w:val="0"/>
        <w:spacing w:line="360" w:lineRule="auto"/>
        <w:ind w:firstLine="480" w:firstLineChars="200"/>
        <w:textAlignment w:val="baseline"/>
        <w:rPr>
          <w:rFonts w:ascii="宋体" w:hAnsi="宋体"/>
          <w:bCs/>
          <w:color w:val="000000"/>
          <w:sz w:val="24"/>
          <w:szCs w:val="24"/>
        </w:rPr>
      </w:pPr>
    </w:p>
    <w:p>
      <w:pPr>
        <w:shd w:val="clear" w:color="auto" w:fill="FFFFFF"/>
        <w:adjustRightInd w:val="0"/>
        <w:snapToGrid w:val="0"/>
        <w:spacing w:line="360" w:lineRule="auto"/>
        <w:ind w:firstLine="480" w:firstLineChars="200"/>
        <w:textAlignment w:val="baseline"/>
        <w:rPr>
          <w:rFonts w:ascii="宋体" w:hAnsi="宋体"/>
          <w:bCs/>
          <w:color w:val="000000"/>
          <w:sz w:val="24"/>
          <w:szCs w:val="24"/>
        </w:rPr>
      </w:pPr>
      <w:r>
        <w:rPr>
          <w:rFonts w:hint="eastAsia" w:ascii="宋体" w:hAnsi="宋体"/>
          <w:bCs/>
          <w:color w:val="000000"/>
          <w:sz w:val="24"/>
          <w:szCs w:val="24"/>
        </w:rPr>
        <w:t>投标人单位名称：</w:t>
      </w:r>
    </w:p>
    <w:p>
      <w:pPr>
        <w:shd w:val="clear" w:color="auto" w:fill="FFFFFF"/>
        <w:adjustRightInd w:val="0"/>
        <w:snapToGrid w:val="0"/>
        <w:spacing w:line="360" w:lineRule="auto"/>
        <w:ind w:firstLine="480" w:firstLineChars="200"/>
        <w:textAlignment w:val="baseline"/>
        <w:rPr>
          <w:rFonts w:ascii="宋体" w:hAnsi="宋体"/>
          <w:bCs/>
          <w:color w:val="000000"/>
          <w:sz w:val="24"/>
          <w:szCs w:val="24"/>
        </w:rPr>
      </w:pPr>
    </w:p>
    <w:p>
      <w:pPr>
        <w:shd w:val="clear" w:color="auto" w:fill="FFFFFF"/>
        <w:adjustRightInd w:val="0"/>
        <w:snapToGrid w:val="0"/>
        <w:spacing w:line="360" w:lineRule="auto"/>
        <w:ind w:firstLine="480" w:firstLineChars="200"/>
        <w:textAlignment w:val="baseline"/>
        <w:rPr>
          <w:rFonts w:ascii="宋体" w:hAnsi="宋体"/>
          <w:bCs/>
          <w:color w:val="000000"/>
          <w:sz w:val="24"/>
          <w:szCs w:val="24"/>
        </w:rPr>
      </w:pPr>
      <w:r>
        <w:rPr>
          <w:rFonts w:hint="eastAsia" w:ascii="宋体" w:hAnsi="宋体"/>
          <w:bCs/>
          <w:color w:val="000000"/>
          <w:sz w:val="24"/>
          <w:szCs w:val="24"/>
        </w:rPr>
        <w:t>投标人单位地址：</w:t>
      </w:r>
    </w:p>
    <w:p>
      <w:pPr>
        <w:shd w:val="clear" w:color="auto" w:fill="FFFFFF"/>
        <w:adjustRightInd w:val="0"/>
        <w:snapToGrid w:val="0"/>
        <w:spacing w:line="360" w:lineRule="auto"/>
        <w:ind w:firstLine="480" w:firstLineChars="200"/>
        <w:textAlignment w:val="baseline"/>
        <w:rPr>
          <w:rFonts w:ascii="宋体" w:hAnsi="宋体"/>
          <w:bCs/>
          <w:color w:val="000000"/>
          <w:sz w:val="24"/>
          <w:szCs w:val="24"/>
        </w:rPr>
      </w:pPr>
    </w:p>
    <w:p>
      <w:pPr>
        <w:shd w:val="clear" w:color="auto" w:fill="FFFFFF"/>
        <w:adjustRightInd w:val="0"/>
        <w:snapToGrid w:val="0"/>
        <w:spacing w:line="360" w:lineRule="auto"/>
        <w:ind w:firstLine="480" w:firstLineChars="200"/>
        <w:textAlignment w:val="baseline"/>
        <w:rPr>
          <w:rFonts w:ascii="宋体" w:hAnsi="宋体"/>
          <w:bCs/>
          <w:color w:val="000000"/>
          <w:sz w:val="24"/>
          <w:szCs w:val="24"/>
        </w:rPr>
      </w:pPr>
      <w:r>
        <w:rPr>
          <w:rFonts w:hint="eastAsia" w:ascii="宋体" w:hAnsi="宋体"/>
          <w:bCs/>
          <w:color w:val="000000"/>
          <w:sz w:val="24"/>
          <w:szCs w:val="24"/>
        </w:rPr>
        <w:t>姓名： 性别：</w:t>
      </w:r>
    </w:p>
    <w:p>
      <w:pPr>
        <w:shd w:val="clear" w:color="auto" w:fill="FFFFFF"/>
        <w:adjustRightInd w:val="0"/>
        <w:snapToGrid w:val="0"/>
        <w:spacing w:line="360" w:lineRule="auto"/>
        <w:ind w:firstLine="480" w:firstLineChars="200"/>
        <w:textAlignment w:val="baseline"/>
        <w:rPr>
          <w:rFonts w:ascii="宋体" w:hAnsi="宋体"/>
          <w:bCs/>
          <w:color w:val="000000"/>
          <w:sz w:val="24"/>
          <w:szCs w:val="24"/>
        </w:rPr>
      </w:pPr>
    </w:p>
    <w:p>
      <w:pPr>
        <w:shd w:val="clear" w:color="auto" w:fill="FFFFFF"/>
        <w:adjustRightInd w:val="0"/>
        <w:snapToGrid w:val="0"/>
        <w:spacing w:line="360" w:lineRule="auto"/>
        <w:ind w:firstLine="480" w:firstLineChars="200"/>
        <w:textAlignment w:val="baseline"/>
        <w:rPr>
          <w:rFonts w:ascii="宋体" w:hAnsi="宋体"/>
          <w:bCs/>
          <w:color w:val="000000"/>
          <w:sz w:val="24"/>
          <w:szCs w:val="24"/>
        </w:rPr>
      </w:pPr>
      <w:r>
        <w:rPr>
          <w:rFonts w:hint="eastAsia" w:ascii="宋体" w:hAnsi="宋体"/>
          <w:bCs/>
          <w:color w:val="000000"/>
          <w:sz w:val="24"/>
          <w:szCs w:val="24"/>
        </w:rPr>
        <w:t>年龄： 职务：</w:t>
      </w:r>
    </w:p>
    <w:p>
      <w:pPr>
        <w:shd w:val="clear" w:color="auto" w:fill="FFFFFF"/>
        <w:adjustRightInd w:val="0"/>
        <w:snapToGrid w:val="0"/>
        <w:spacing w:line="360" w:lineRule="auto"/>
        <w:ind w:firstLine="480" w:firstLineChars="200"/>
        <w:textAlignment w:val="baseline"/>
        <w:rPr>
          <w:rFonts w:ascii="宋体" w:hAnsi="宋体"/>
          <w:bCs/>
          <w:color w:val="000000"/>
          <w:sz w:val="24"/>
          <w:szCs w:val="24"/>
        </w:rPr>
      </w:pPr>
    </w:p>
    <w:p>
      <w:pPr>
        <w:shd w:val="clear" w:color="auto" w:fill="FFFFFF"/>
        <w:adjustRightInd w:val="0"/>
        <w:snapToGrid w:val="0"/>
        <w:spacing w:line="360" w:lineRule="auto"/>
        <w:ind w:firstLine="480" w:firstLineChars="200"/>
        <w:textAlignment w:val="baseline"/>
        <w:rPr>
          <w:rFonts w:ascii="宋体" w:hAnsi="宋体"/>
          <w:bCs/>
          <w:color w:val="000000"/>
          <w:sz w:val="24"/>
          <w:szCs w:val="24"/>
        </w:rPr>
      </w:pPr>
      <w:r>
        <w:rPr>
          <w:rFonts w:hint="eastAsia" w:ascii="宋体" w:hAnsi="宋体"/>
          <w:bCs/>
          <w:color w:val="000000"/>
          <w:sz w:val="24"/>
          <w:szCs w:val="24"/>
        </w:rPr>
        <w:t>系（投标人单位名称）的法定代表人。</w:t>
      </w:r>
    </w:p>
    <w:p>
      <w:pPr>
        <w:shd w:val="clear" w:color="auto" w:fill="FFFFFF"/>
        <w:adjustRightInd w:val="0"/>
        <w:snapToGrid w:val="0"/>
        <w:spacing w:line="360" w:lineRule="auto"/>
        <w:ind w:firstLine="480" w:firstLineChars="200"/>
        <w:textAlignment w:val="baseline"/>
        <w:rPr>
          <w:rFonts w:ascii="宋体" w:hAnsi="宋体"/>
          <w:bCs/>
          <w:color w:val="000000"/>
          <w:sz w:val="24"/>
          <w:szCs w:val="24"/>
        </w:rPr>
      </w:pPr>
    </w:p>
    <w:p>
      <w:pPr>
        <w:shd w:val="clear" w:color="auto" w:fill="FFFFFF"/>
        <w:adjustRightInd w:val="0"/>
        <w:snapToGrid w:val="0"/>
        <w:spacing w:line="360" w:lineRule="auto"/>
        <w:ind w:firstLine="480" w:firstLineChars="200"/>
        <w:textAlignment w:val="baseline"/>
        <w:rPr>
          <w:rFonts w:ascii="宋体" w:hAnsi="宋体"/>
          <w:bCs/>
          <w:color w:val="000000"/>
          <w:sz w:val="24"/>
          <w:szCs w:val="24"/>
        </w:rPr>
      </w:pPr>
      <w:r>
        <w:rPr>
          <w:rFonts w:hint="eastAsia" w:ascii="宋体" w:hAnsi="宋体"/>
          <w:bCs/>
          <w:color w:val="000000"/>
          <w:sz w:val="24"/>
          <w:szCs w:val="24"/>
        </w:rPr>
        <w:t>特此证明。</w:t>
      </w:r>
    </w:p>
    <w:p>
      <w:pPr>
        <w:shd w:val="clear" w:color="auto" w:fill="FFFFFF"/>
        <w:adjustRightInd w:val="0"/>
        <w:snapToGrid w:val="0"/>
        <w:spacing w:line="360" w:lineRule="auto"/>
        <w:ind w:firstLine="480" w:firstLineChars="200"/>
        <w:textAlignment w:val="baseline"/>
        <w:rPr>
          <w:rFonts w:ascii="宋体" w:hAnsi="宋体"/>
          <w:bCs/>
          <w:color w:val="000000"/>
          <w:sz w:val="24"/>
          <w:szCs w:val="24"/>
        </w:rPr>
      </w:pPr>
    </w:p>
    <w:p>
      <w:pPr>
        <w:shd w:val="clear" w:color="auto" w:fill="FFFFFF"/>
        <w:adjustRightInd w:val="0"/>
        <w:snapToGrid w:val="0"/>
        <w:spacing w:line="360" w:lineRule="auto"/>
        <w:ind w:firstLine="480" w:firstLineChars="200"/>
        <w:textAlignment w:val="baseline"/>
        <w:rPr>
          <w:rFonts w:ascii="宋体" w:hAnsi="宋体"/>
          <w:bCs/>
          <w:color w:val="000000"/>
          <w:sz w:val="24"/>
          <w:szCs w:val="24"/>
        </w:rPr>
      </w:pPr>
    </w:p>
    <w:p>
      <w:pPr>
        <w:shd w:val="clear" w:color="auto" w:fill="FFFFFF"/>
        <w:adjustRightInd w:val="0"/>
        <w:snapToGrid w:val="0"/>
        <w:spacing w:line="360" w:lineRule="auto"/>
        <w:ind w:firstLine="480" w:firstLineChars="200"/>
        <w:textAlignment w:val="baseline"/>
        <w:rPr>
          <w:rFonts w:ascii="宋体" w:hAnsi="宋体"/>
          <w:bCs/>
          <w:color w:val="000000"/>
          <w:sz w:val="24"/>
          <w:szCs w:val="24"/>
        </w:rPr>
      </w:pPr>
    </w:p>
    <w:p>
      <w:pPr>
        <w:shd w:val="clear" w:color="auto" w:fill="FFFFFF"/>
        <w:adjustRightInd w:val="0"/>
        <w:snapToGrid w:val="0"/>
        <w:spacing w:line="360" w:lineRule="auto"/>
        <w:ind w:firstLine="480" w:firstLineChars="200"/>
        <w:textAlignment w:val="baseline"/>
        <w:rPr>
          <w:rFonts w:ascii="宋体" w:hAnsi="宋体"/>
          <w:bCs/>
          <w:color w:val="000000"/>
          <w:sz w:val="24"/>
          <w:szCs w:val="24"/>
        </w:rPr>
      </w:pPr>
      <w:r>
        <w:rPr>
          <w:rFonts w:hint="eastAsia" w:ascii="宋体" w:hAnsi="宋体"/>
          <w:bCs/>
          <w:color w:val="000000"/>
          <w:sz w:val="24"/>
          <w:szCs w:val="24"/>
        </w:rPr>
        <w:t>投标人：（盖单位章）</w:t>
      </w:r>
    </w:p>
    <w:p>
      <w:pPr>
        <w:shd w:val="clear" w:color="auto" w:fill="FFFFFF"/>
        <w:adjustRightInd w:val="0"/>
        <w:snapToGrid w:val="0"/>
        <w:spacing w:line="360" w:lineRule="auto"/>
        <w:ind w:firstLine="480" w:firstLineChars="200"/>
        <w:textAlignment w:val="baseline"/>
        <w:rPr>
          <w:rFonts w:ascii="宋体" w:hAnsi="宋体"/>
          <w:bCs/>
          <w:color w:val="000000"/>
          <w:sz w:val="24"/>
          <w:szCs w:val="24"/>
        </w:rPr>
      </w:pPr>
    </w:p>
    <w:p>
      <w:pPr>
        <w:shd w:val="clear" w:color="auto" w:fill="FFFFFF"/>
        <w:adjustRightInd w:val="0"/>
        <w:snapToGrid w:val="0"/>
        <w:spacing w:line="360" w:lineRule="auto"/>
        <w:ind w:firstLine="480" w:firstLineChars="200"/>
        <w:textAlignment w:val="baseline"/>
        <w:rPr>
          <w:rFonts w:ascii="宋体" w:hAnsi="宋体"/>
          <w:color w:val="000000"/>
          <w:kern w:val="0"/>
          <w:sz w:val="24"/>
          <w:szCs w:val="24"/>
        </w:rPr>
      </w:pPr>
      <w:r>
        <w:rPr>
          <w:rFonts w:hint="eastAsia" w:ascii="宋体" w:hAnsi="宋体"/>
          <w:bCs/>
          <w:color w:val="000000"/>
          <w:sz w:val="24"/>
          <w:szCs w:val="24"/>
        </w:rPr>
        <w:t>日期：</w:t>
      </w:r>
    </w:p>
    <w:p>
      <w:pPr>
        <w:tabs>
          <w:tab w:val="left" w:pos="2020"/>
          <w:tab w:val="center" w:pos="4535"/>
        </w:tabs>
        <w:spacing w:line="360" w:lineRule="auto"/>
        <w:outlineLvl w:val="0"/>
        <w:rPr>
          <w:rFonts w:ascii="华文彩云" w:hAnsi="宋体" w:eastAsia="华文彩云"/>
          <w:bCs/>
          <w:color w:val="000000"/>
          <w:sz w:val="28"/>
          <w:szCs w:val="24"/>
        </w:rPr>
      </w:pPr>
    </w:p>
    <w:p>
      <w:pPr>
        <w:tabs>
          <w:tab w:val="left" w:pos="2020"/>
          <w:tab w:val="center" w:pos="4535"/>
        </w:tabs>
        <w:spacing w:line="500" w:lineRule="exact"/>
        <w:outlineLvl w:val="0"/>
        <w:rPr>
          <w:rFonts w:ascii="华文彩云" w:hAnsi="宋体" w:eastAsia="华文彩云"/>
          <w:bCs/>
          <w:color w:val="000000"/>
          <w:sz w:val="28"/>
          <w:szCs w:val="24"/>
        </w:rPr>
      </w:pPr>
    </w:p>
    <w:p>
      <w:pPr>
        <w:tabs>
          <w:tab w:val="left" w:pos="2020"/>
          <w:tab w:val="center" w:pos="4535"/>
        </w:tabs>
        <w:spacing w:line="500" w:lineRule="exact"/>
        <w:outlineLvl w:val="0"/>
        <w:rPr>
          <w:rFonts w:ascii="华文彩云" w:hAnsi="宋体" w:eastAsia="华文彩云"/>
          <w:bCs/>
          <w:color w:val="000000"/>
          <w:sz w:val="28"/>
          <w:szCs w:val="24"/>
        </w:rPr>
      </w:pPr>
    </w:p>
    <w:p>
      <w:pPr>
        <w:shd w:val="clear" w:color="auto" w:fill="FFFFFF"/>
        <w:adjustRightInd w:val="0"/>
        <w:snapToGrid w:val="0"/>
        <w:spacing w:line="360" w:lineRule="auto"/>
        <w:ind w:firstLine="480" w:firstLineChars="200"/>
        <w:textAlignment w:val="baseline"/>
        <w:rPr>
          <w:rFonts w:ascii="宋体" w:hAnsi="宋体"/>
          <w:bCs/>
          <w:color w:val="000000"/>
          <w:kern w:val="0"/>
          <w:sz w:val="24"/>
          <w:szCs w:val="24"/>
        </w:rPr>
      </w:pPr>
      <w:r>
        <w:rPr>
          <w:rFonts w:hint="eastAsia" w:ascii="Times New Roman" w:hAnsi="Times New Roman" w:eastAsia="黑体"/>
          <w:bCs/>
          <w:color w:val="000000"/>
          <w:kern w:val="0"/>
          <w:sz w:val="24"/>
          <w:szCs w:val="24"/>
        </w:rPr>
        <w:t>备注：</w:t>
      </w:r>
      <w:r>
        <w:rPr>
          <w:rFonts w:hint="eastAsia" w:ascii="宋体" w:hAnsi="宋体"/>
          <w:bCs/>
          <w:color w:val="000000"/>
          <w:kern w:val="0"/>
          <w:sz w:val="24"/>
          <w:szCs w:val="24"/>
        </w:rPr>
        <w:t>提供</w:t>
      </w:r>
      <w:r>
        <w:rPr>
          <w:rFonts w:hint="eastAsia" w:ascii="宋体" w:hAnsi="宋体"/>
          <w:bCs/>
          <w:color w:val="000000"/>
          <w:kern w:val="0"/>
          <w:sz w:val="24"/>
          <w:szCs w:val="24"/>
          <w:u w:val="single"/>
        </w:rPr>
        <w:t xml:space="preserve"> 法定代表人身份证正反两面的复印件  </w:t>
      </w:r>
    </w:p>
    <w:p>
      <w:pPr>
        <w:tabs>
          <w:tab w:val="left" w:pos="2020"/>
          <w:tab w:val="center" w:pos="4535"/>
        </w:tabs>
        <w:spacing w:line="500" w:lineRule="exact"/>
        <w:outlineLvl w:val="0"/>
        <w:rPr>
          <w:rFonts w:ascii="华文彩云" w:hAnsi="宋体" w:eastAsia="华文彩云"/>
          <w:bCs/>
          <w:color w:val="000000"/>
          <w:sz w:val="28"/>
          <w:szCs w:val="24"/>
        </w:rPr>
      </w:pPr>
    </w:p>
    <w:p>
      <w:pPr>
        <w:tabs>
          <w:tab w:val="left" w:pos="2020"/>
          <w:tab w:val="center" w:pos="4535"/>
        </w:tabs>
        <w:spacing w:line="500" w:lineRule="exact"/>
        <w:outlineLvl w:val="0"/>
        <w:rPr>
          <w:rFonts w:ascii="华文彩云" w:hAnsi="宋体" w:eastAsia="华文彩云"/>
          <w:bCs/>
          <w:color w:val="000000"/>
          <w:sz w:val="28"/>
          <w:szCs w:val="24"/>
        </w:rPr>
      </w:pPr>
    </w:p>
    <w:p>
      <w:pPr>
        <w:tabs>
          <w:tab w:val="left" w:pos="2020"/>
          <w:tab w:val="center" w:pos="4535"/>
        </w:tabs>
        <w:spacing w:line="500" w:lineRule="exact"/>
        <w:outlineLvl w:val="0"/>
        <w:rPr>
          <w:rFonts w:ascii="华文彩云" w:hAnsi="宋体" w:eastAsia="华文彩云"/>
          <w:bCs/>
          <w:color w:val="000000"/>
          <w:sz w:val="28"/>
          <w:szCs w:val="24"/>
        </w:rPr>
      </w:pPr>
    </w:p>
    <w:p>
      <w:pPr>
        <w:shd w:val="clear" w:color="auto" w:fill="FFFFFF"/>
        <w:adjustRightInd w:val="0"/>
        <w:snapToGrid w:val="0"/>
        <w:spacing w:line="360" w:lineRule="auto"/>
        <w:textAlignment w:val="baseline"/>
        <w:rPr>
          <w:rFonts w:ascii="Times New Roman" w:hAnsi="Times New Roman" w:eastAsia="黑体"/>
          <w:b/>
          <w:bCs/>
          <w:color w:val="000000"/>
          <w:kern w:val="0"/>
          <w:sz w:val="30"/>
          <w:szCs w:val="30"/>
        </w:rPr>
      </w:pPr>
    </w:p>
    <w:p>
      <w:pPr>
        <w:shd w:val="clear" w:color="auto" w:fill="FFFFFF"/>
        <w:adjustRightInd w:val="0"/>
        <w:snapToGrid w:val="0"/>
        <w:spacing w:line="360" w:lineRule="auto"/>
        <w:ind w:firstLine="2409" w:firstLineChars="800"/>
        <w:textAlignment w:val="baseline"/>
        <w:rPr>
          <w:rFonts w:ascii="Times New Roman" w:hAnsi="Times New Roman" w:eastAsia="黑体"/>
          <w:b/>
          <w:bCs/>
          <w:color w:val="000000"/>
          <w:kern w:val="0"/>
          <w:sz w:val="30"/>
          <w:szCs w:val="30"/>
        </w:rPr>
      </w:pPr>
      <w:r>
        <w:rPr>
          <w:rFonts w:hint="eastAsia" w:ascii="Times New Roman" w:hAnsi="Times New Roman" w:eastAsia="黑体"/>
          <w:b/>
          <w:bCs/>
          <w:color w:val="000000"/>
          <w:kern w:val="0"/>
          <w:sz w:val="30"/>
          <w:szCs w:val="30"/>
        </w:rPr>
        <w:t>三、法定代表人授权委托书</w:t>
      </w:r>
    </w:p>
    <w:p>
      <w:pPr>
        <w:tabs>
          <w:tab w:val="left" w:pos="2020"/>
          <w:tab w:val="center" w:pos="4535"/>
        </w:tabs>
        <w:spacing w:line="500" w:lineRule="exact"/>
        <w:ind w:firstLine="250" w:firstLineChars="100"/>
        <w:outlineLvl w:val="0"/>
        <w:rPr>
          <w:rFonts w:ascii="Times New Roman" w:hAnsi="Times New Roman" w:eastAsia="仿宋_GB2312"/>
          <w:color w:val="000000"/>
          <w:kern w:val="0"/>
          <w:sz w:val="25"/>
          <w:szCs w:val="25"/>
        </w:rPr>
      </w:pPr>
    </w:p>
    <w:p>
      <w:pPr>
        <w:tabs>
          <w:tab w:val="left" w:pos="2020"/>
          <w:tab w:val="center" w:pos="4535"/>
        </w:tabs>
        <w:spacing w:line="500" w:lineRule="exact"/>
        <w:ind w:firstLine="280" w:firstLineChars="100"/>
        <w:outlineLvl w:val="0"/>
        <w:rPr>
          <w:rFonts w:ascii="华文彩云" w:hAnsi="宋体" w:eastAsia="华文彩云"/>
          <w:bCs/>
          <w:color w:val="000000"/>
          <w:sz w:val="28"/>
          <w:szCs w:val="24"/>
        </w:rPr>
      </w:pPr>
    </w:p>
    <w:p>
      <w:pPr>
        <w:tabs>
          <w:tab w:val="left" w:pos="3375"/>
        </w:tabs>
        <w:autoSpaceDE w:val="0"/>
        <w:autoSpaceDN w:val="0"/>
        <w:adjustRightInd w:val="0"/>
        <w:snapToGrid w:val="0"/>
        <w:spacing w:line="500" w:lineRule="exact"/>
        <w:ind w:firstLine="480" w:firstLineChars="200"/>
        <w:rPr>
          <w:rFonts w:ascii="宋体" w:hAnsi="宋体"/>
          <w:color w:val="000000"/>
          <w:kern w:val="0"/>
          <w:sz w:val="24"/>
          <w:szCs w:val="24"/>
        </w:rPr>
      </w:pPr>
      <w:r>
        <w:rPr>
          <w:rFonts w:hint="eastAsia" w:ascii="宋体" w:hAnsi="宋体"/>
          <w:color w:val="000000"/>
          <w:kern w:val="0"/>
          <w:sz w:val="24"/>
          <w:szCs w:val="24"/>
        </w:rPr>
        <w:t xml:space="preserve">本人（姓名）      系（投标人单位名称）的法定代表人，现委托（姓名)     （身份证号：）为我方代理人。代理人根据授权，以我方名义签署、澄清、说明、补正、递交、撤回、修改（项目名称）施工投标文件，签订合同和处理有关事宜，其法律后果由我方承担。 </w:t>
      </w:r>
    </w:p>
    <w:p>
      <w:pPr>
        <w:tabs>
          <w:tab w:val="left" w:pos="3375"/>
        </w:tabs>
        <w:autoSpaceDE w:val="0"/>
        <w:autoSpaceDN w:val="0"/>
        <w:adjustRightInd w:val="0"/>
        <w:snapToGrid w:val="0"/>
        <w:spacing w:line="500" w:lineRule="exact"/>
        <w:rPr>
          <w:rFonts w:ascii="宋体" w:hAnsi="宋体"/>
          <w:color w:val="000000"/>
          <w:kern w:val="0"/>
          <w:sz w:val="24"/>
          <w:szCs w:val="24"/>
        </w:rPr>
      </w:pPr>
    </w:p>
    <w:p>
      <w:pPr>
        <w:tabs>
          <w:tab w:val="left" w:pos="3375"/>
        </w:tabs>
        <w:autoSpaceDE w:val="0"/>
        <w:autoSpaceDN w:val="0"/>
        <w:adjustRightInd w:val="0"/>
        <w:snapToGrid w:val="0"/>
        <w:spacing w:line="500" w:lineRule="exact"/>
        <w:rPr>
          <w:rFonts w:ascii="宋体" w:hAnsi="宋体"/>
          <w:color w:val="000000"/>
          <w:kern w:val="0"/>
          <w:sz w:val="24"/>
          <w:szCs w:val="24"/>
        </w:rPr>
      </w:pPr>
      <w:r>
        <w:rPr>
          <w:rFonts w:hint="eastAsia" w:ascii="宋体" w:hAnsi="宋体"/>
          <w:color w:val="000000"/>
          <w:kern w:val="0"/>
          <w:sz w:val="24"/>
          <w:szCs w:val="24"/>
        </w:rPr>
        <w:t xml:space="preserve">     委托期限：</w:t>
      </w:r>
    </w:p>
    <w:p>
      <w:pPr>
        <w:tabs>
          <w:tab w:val="left" w:pos="3375"/>
        </w:tabs>
        <w:autoSpaceDE w:val="0"/>
        <w:autoSpaceDN w:val="0"/>
        <w:adjustRightInd w:val="0"/>
        <w:snapToGrid w:val="0"/>
        <w:spacing w:line="500" w:lineRule="exact"/>
        <w:rPr>
          <w:rFonts w:ascii="宋体" w:hAnsi="宋体"/>
          <w:color w:val="000000"/>
          <w:kern w:val="0"/>
          <w:sz w:val="24"/>
          <w:szCs w:val="24"/>
        </w:rPr>
      </w:pPr>
      <w:r>
        <w:rPr>
          <w:rFonts w:hint="eastAsia" w:ascii="宋体" w:hAnsi="宋体"/>
          <w:color w:val="000000"/>
          <w:kern w:val="0"/>
          <w:sz w:val="24"/>
          <w:szCs w:val="24"/>
        </w:rPr>
        <w:t xml:space="preserve">     代理人无转委托权。</w:t>
      </w:r>
    </w:p>
    <w:p>
      <w:pPr>
        <w:tabs>
          <w:tab w:val="left" w:pos="3375"/>
        </w:tabs>
        <w:autoSpaceDE w:val="0"/>
        <w:autoSpaceDN w:val="0"/>
        <w:adjustRightInd w:val="0"/>
        <w:snapToGrid w:val="0"/>
        <w:spacing w:line="500" w:lineRule="exact"/>
        <w:rPr>
          <w:rFonts w:ascii="宋体" w:hAnsi="宋体"/>
          <w:color w:val="000000"/>
          <w:kern w:val="0"/>
          <w:sz w:val="24"/>
          <w:szCs w:val="24"/>
        </w:rPr>
      </w:pPr>
      <w:r>
        <w:rPr>
          <w:rFonts w:hint="eastAsia" w:ascii="宋体" w:hAnsi="宋体"/>
          <w:color w:val="000000"/>
          <w:kern w:val="0"/>
          <w:sz w:val="24"/>
          <w:szCs w:val="24"/>
        </w:rPr>
        <w:t xml:space="preserve">     代理人： 性别： 年龄： </w:t>
      </w:r>
    </w:p>
    <w:p>
      <w:pPr>
        <w:tabs>
          <w:tab w:val="left" w:pos="3375"/>
        </w:tabs>
        <w:autoSpaceDE w:val="0"/>
        <w:autoSpaceDN w:val="0"/>
        <w:adjustRightInd w:val="0"/>
        <w:snapToGrid w:val="0"/>
        <w:spacing w:line="500" w:lineRule="exact"/>
        <w:rPr>
          <w:rFonts w:ascii="宋体" w:hAnsi="宋体"/>
          <w:color w:val="000000"/>
          <w:kern w:val="0"/>
          <w:sz w:val="24"/>
          <w:szCs w:val="24"/>
        </w:rPr>
      </w:pPr>
      <w:r>
        <w:rPr>
          <w:rFonts w:hint="eastAsia" w:ascii="宋体" w:hAnsi="宋体"/>
          <w:color w:val="000000"/>
          <w:kern w:val="0"/>
          <w:sz w:val="24"/>
          <w:szCs w:val="24"/>
        </w:rPr>
        <w:t xml:space="preserve">     代理人单位：                   部门：                职务： </w:t>
      </w:r>
    </w:p>
    <w:p>
      <w:pPr>
        <w:tabs>
          <w:tab w:val="left" w:pos="3375"/>
        </w:tabs>
        <w:autoSpaceDE w:val="0"/>
        <w:autoSpaceDN w:val="0"/>
        <w:adjustRightInd w:val="0"/>
        <w:snapToGrid w:val="0"/>
        <w:spacing w:line="500" w:lineRule="exact"/>
        <w:rPr>
          <w:rFonts w:ascii="宋体" w:hAnsi="宋体"/>
          <w:color w:val="000000"/>
          <w:kern w:val="0"/>
          <w:sz w:val="24"/>
          <w:szCs w:val="24"/>
        </w:rPr>
      </w:pPr>
    </w:p>
    <w:p>
      <w:pPr>
        <w:tabs>
          <w:tab w:val="left" w:pos="3375"/>
        </w:tabs>
        <w:autoSpaceDE w:val="0"/>
        <w:autoSpaceDN w:val="0"/>
        <w:adjustRightInd w:val="0"/>
        <w:snapToGrid w:val="0"/>
        <w:spacing w:line="500" w:lineRule="exact"/>
        <w:rPr>
          <w:rFonts w:ascii="宋体" w:hAnsi="宋体"/>
          <w:color w:val="000000"/>
          <w:kern w:val="0"/>
          <w:sz w:val="24"/>
          <w:szCs w:val="24"/>
        </w:rPr>
      </w:pPr>
    </w:p>
    <w:p>
      <w:pPr>
        <w:tabs>
          <w:tab w:val="left" w:pos="3375"/>
        </w:tabs>
        <w:autoSpaceDE w:val="0"/>
        <w:autoSpaceDN w:val="0"/>
        <w:adjustRightInd w:val="0"/>
        <w:snapToGrid w:val="0"/>
        <w:spacing w:line="500" w:lineRule="exact"/>
        <w:ind w:firstLine="600" w:firstLineChars="250"/>
        <w:rPr>
          <w:rFonts w:ascii="宋体" w:hAnsi="宋体"/>
          <w:color w:val="000000"/>
          <w:kern w:val="0"/>
          <w:sz w:val="24"/>
          <w:szCs w:val="24"/>
        </w:rPr>
      </w:pPr>
      <w:r>
        <w:rPr>
          <w:rFonts w:hint="eastAsia" w:ascii="宋体" w:hAnsi="宋体"/>
          <w:color w:val="000000"/>
          <w:kern w:val="0"/>
          <w:sz w:val="24"/>
          <w:szCs w:val="24"/>
        </w:rPr>
        <w:t>投标人：（盖单位章）</w:t>
      </w:r>
    </w:p>
    <w:p>
      <w:pPr>
        <w:tabs>
          <w:tab w:val="left" w:pos="3375"/>
        </w:tabs>
        <w:autoSpaceDE w:val="0"/>
        <w:autoSpaceDN w:val="0"/>
        <w:adjustRightInd w:val="0"/>
        <w:snapToGrid w:val="0"/>
        <w:spacing w:line="500" w:lineRule="exact"/>
        <w:rPr>
          <w:rFonts w:ascii="宋体" w:hAnsi="宋体"/>
          <w:color w:val="000000"/>
          <w:kern w:val="0"/>
          <w:sz w:val="24"/>
          <w:szCs w:val="24"/>
        </w:rPr>
      </w:pPr>
    </w:p>
    <w:p>
      <w:pPr>
        <w:tabs>
          <w:tab w:val="left" w:pos="3375"/>
        </w:tabs>
        <w:autoSpaceDE w:val="0"/>
        <w:autoSpaceDN w:val="0"/>
        <w:adjustRightInd w:val="0"/>
        <w:snapToGrid w:val="0"/>
        <w:spacing w:line="500" w:lineRule="exact"/>
        <w:ind w:firstLine="600" w:firstLineChars="250"/>
        <w:rPr>
          <w:rFonts w:ascii="宋体" w:hAnsi="宋体"/>
          <w:color w:val="000000"/>
          <w:kern w:val="0"/>
          <w:sz w:val="24"/>
          <w:szCs w:val="24"/>
        </w:rPr>
      </w:pPr>
      <w:r>
        <w:rPr>
          <w:rFonts w:hint="eastAsia" w:ascii="宋体" w:hAnsi="宋体"/>
          <w:color w:val="000000"/>
          <w:kern w:val="0"/>
          <w:sz w:val="24"/>
          <w:szCs w:val="24"/>
        </w:rPr>
        <w:t>法定代表人：（签字或印章）</w:t>
      </w:r>
    </w:p>
    <w:p>
      <w:pPr>
        <w:tabs>
          <w:tab w:val="left" w:pos="3375"/>
        </w:tabs>
        <w:autoSpaceDE w:val="0"/>
        <w:autoSpaceDN w:val="0"/>
        <w:adjustRightInd w:val="0"/>
        <w:snapToGrid w:val="0"/>
        <w:spacing w:line="500" w:lineRule="exact"/>
        <w:rPr>
          <w:rFonts w:ascii="宋体" w:hAnsi="宋体"/>
          <w:color w:val="000000"/>
          <w:kern w:val="0"/>
          <w:sz w:val="24"/>
          <w:szCs w:val="24"/>
        </w:rPr>
      </w:pPr>
    </w:p>
    <w:p>
      <w:pPr>
        <w:tabs>
          <w:tab w:val="left" w:pos="3375"/>
        </w:tabs>
        <w:autoSpaceDE w:val="0"/>
        <w:autoSpaceDN w:val="0"/>
        <w:adjustRightInd w:val="0"/>
        <w:snapToGrid w:val="0"/>
        <w:spacing w:line="500" w:lineRule="exact"/>
        <w:ind w:firstLine="600" w:firstLineChars="250"/>
        <w:rPr>
          <w:rFonts w:ascii="Times New Roman" w:hAnsi="Times New Roman" w:eastAsia="仿宋_GB2312"/>
          <w:color w:val="000000"/>
          <w:kern w:val="0"/>
          <w:sz w:val="28"/>
          <w:szCs w:val="28"/>
        </w:rPr>
      </w:pPr>
      <w:r>
        <w:rPr>
          <w:rFonts w:hint="eastAsia" w:ascii="宋体" w:hAnsi="宋体"/>
          <w:color w:val="000000"/>
          <w:kern w:val="0"/>
          <w:sz w:val="24"/>
          <w:szCs w:val="24"/>
        </w:rPr>
        <w:t xml:space="preserve">日期： </w:t>
      </w:r>
    </w:p>
    <w:p>
      <w:pPr>
        <w:tabs>
          <w:tab w:val="left" w:pos="3375"/>
        </w:tabs>
        <w:autoSpaceDE w:val="0"/>
        <w:autoSpaceDN w:val="0"/>
        <w:adjustRightInd w:val="0"/>
        <w:snapToGrid w:val="0"/>
        <w:spacing w:line="500" w:lineRule="exact"/>
        <w:rPr>
          <w:rFonts w:ascii="Times New Roman" w:hAnsi="Times New Roman" w:eastAsia="黑体"/>
          <w:bCs/>
          <w:color w:val="000000"/>
          <w:kern w:val="0"/>
          <w:sz w:val="24"/>
          <w:szCs w:val="24"/>
        </w:rPr>
      </w:pPr>
    </w:p>
    <w:p>
      <w:pPr>
        <w:tabs>
          <w:tab w:val="left" w:pos="3375"/>
        </w:tabs>
        <w:autoSpaceDE w:val="0"/>
        <w:autoSpaceDN w:val="0"/>
        <w:adjustRightInd w:val="0"/>
        <w:snapToGrid w:val="0"/>
        <w:spacing w:line="500" w:lineRule="exact"/>
        <w:rPr>
          <w:rFonts w:ascii="Times New Roman" w:hAnsi="Times New Roman" w:eastAsia="黑体"/>
          <w:bCs/>
          <w:color w:val="000000"/>
          <w:kern w:val="0"/>
          <w:sz w:val="24"/>
          <w:szCs w:val="24"/>
        </w:rPr>
      </w:pPr>
    </w:p>
    <w:p>
      <w:pPr>
        <w:tabs>
          <w:tab w:val="left" w:pos="3375"/>
        </w:tabs>
        <w:autoSpaceDE w:val="0"/>
        <w:autoSpaceDN w:val="0"/>
        <w:adjustRightInd w:val="0"/>
        <w:snapToGrid w:val="0"/>
        <w:spacing w:line="500" w:lineRule="exact"/>
        <w:rPr>
          <w:rFonts w:ascii="Times New Roman" w:hAnsi="Times New Roman" w:eastAsia="黑体"/>
          <w:bCs/>
          <w:color w:val="000000"/>
          <w:kern w:val="0"/>
          <w:sz w:val="24"/>
          <w:szCs w:val="24"/>
        </w:rPr>
      </w:pPr>
    </w:p>
    <w:p>
      <w:pPr>
        <w:tabs>
          <w:tab w:val="left" w:pos="2020"/>
          <w:tab w:val="center" w:pos="4535"/>
        </w:tabs>
        <w:spacing w:line="500" w:lineRule="exact"/>
        <w:outlineLvl w:val="0"/>
        <w:rPr>
          <w:rFonts w:ascii="华文彩云" w:hAnsi="宋体" w:eastAsia="华文彩云"/>
          <w:bCs/>
          <w:color w:val="000000"/>
          <w:sz w:val="28"/>
          <w:szCs w:val="24"/>
        </w:rPr>
      </w:pPr>
    </w:p>
    <w:p>
      <w:pPr>
        <w:tabs>
          <w:tab w:val="left" w:pos="3375"/>
        </w:tabs>
        <w:autoSpaceDE w:val="0"/>
        <w:autoSpaceDN w:val="0"/>
        <w:adjustRightInd w:val="0"/>
        <w:snapToGrid w:val="0"/>
        <w:spacing w:line="500" w:lineRule="exact"/>
        <w:rPr>
          <w:rFonts w:ascii="Times New Roman" w:hAnsi="Times New Roman" w:eastAsia="黑体"/>
          <w:bCs/>
          <w:color w:val="000000"/>
          <w:kern w:val="0"/>
          <w:sz w:val="24"/>
          <w:szCs w:val="24"/>
        </w:rPr>
      </w:pPr>
    </w:p>
    <w:p>
      <w:pPr>
        <w:tabs>
          <w:tab w:val="left" w:pos="3375"/>
        </w:tabs>
        <w:autoSpaceDE w:val="0"/>
        <w:autoSpaceDN w:val="0"/>
        <w:adjustRightInd w:val="0"/>
        <w:snapToGrid w:val="0"/>
        <w:spacing w:line="500" w:lineRule="exact"/>
        <w:ind w:firstLine="600" w:firstLineChars="250"/>
        <w:rPr>
          <w:rFonts w:ascii="宋体" w:hAnsi="宋体"/>
          <w:bCs/>
          <w:color w:val="000000"/>
          <w:kern w:val="0"/>
          <w:sz w:val="24"/>
          <w:szCs w:val="24"/>
        </w:rPr>
      </w:pPr>
      <w:r>
        <w:rPr>
          <w:rFonts w:hint="eastAsia" w:ascii="Times New Roman" w:hAnsi="Times New Roman" w:eastAsia="黑体"/>
          <w:bCs/>
          <w:color w:val="000000"/>
          <w:kern w:val="0"/>
          <w:sz w:val="24"/>
          <w:szCs w:val="24"/>
        </w:rPr>
        <w:t>备注：</w:t>
      </w:r>
      <w:r>
        <w:rPr>
          <w:rFonts w:hint="eastAsia" w:ascii="宋体" w:hAnsi="宋体"/>
          <w:bCs/>
          <w:color w:val="000000"/>
          <w:kern w:val="0"/>
          <w:sz w:val="24"/>
          <w:szCs w:val="24"/>
        </w:rPr>
        <w:t>提供法定代表人</w:t>
      </w:r>
      <w:r>
        <w:rPr>
          <w:rFonts w:hint="eastAsia" w:ascii="宋体" w:hAnsi="宋体"/>
          <w:bCs/>
          <w:color w:val="000000"/>
          <w:kern w:val="0"/>
          <w:sz w:val="24"/>
          <w:szCs w:val="24"/>
          <w:u w:val="single"/>
        </w:rPr>
        <w:t>授权委托代理人</w:t>
      </w:r>
      <w:r>
        <w:rPr>
          <w:rFonts w:hint="eastAsia" w:ascii="宋体" w:hAnsi="宋体"/>
          <w:bCs/>
          <w:color w:val="000000"/>
          <w:kern w:val="0"/>
          <w:sz w:val="24"/>
          <w:szCs w:val="24"/>
        </w:rPr>
        <w:t>身份证正反两面复印件</w:t>
      </w:r>
    </w:p>
    <w:p>
      <w:pPr>
        <w:tabs>
          <w:tab w:val="left" w:pos="3375"/>
        </w:tabs>
        <w:autoSpaceDE w:val="0"/>
        <w:autoSpaceDN w:val="0"/>
        <w:adjustRightInd w:val="0"/>
        <w:snapToGrid w:val="0"/>
        <w:spacing w:line="500" w:lineRule="exact"/>
        <w:rPr>
          <w:rFonts w:ascii="宋体" w:hAnsi="宋体"/>
          <w:b/>
          <w:color w:val="000000"/>
          <w:sz w:val="30"/>
          <w:szCs w:val="30"/>
        </w:rPr>
      </w:pPr>
    </w:p>
    <w:p>
      <w:pPr>
        <w:shd w:val="clear" w:color="auto" w:fill="FFFFFF"/>
        <w:adjustRightInd w:val="0"/>
        <w:snapToGrid w:val="0"/>
        <w:spacing w:line="360" w:lineRule="auto"/>
        <w:jc w:val="center"/>
        <w:textAlignment w:val="baseline"/>
        <w:rPr>
          <w:rFonts w:ascii="Times New Roman" w:hAnsi="Times New Roman" w:eastAsia="黑体"/>
          <w:b/>
          <w:bCs/>
          <w:color w:val="000000"/>
          <w:kern w:val="0"/>
          <w:sz w:val="30"/>
          <w:szCs w:val="30"/>
        </w:rPr>
      </w:pPr>
    </w:p>
    <w:p>
      <w:pPr>
        <w:shd w:val="clear" w:color="auto" w:fill="FFFFFF"/>
        <w:adjustRightInd w:val="0"/>
        <w:snapToGrid w:val="0"/>
        <w:spacing w:line="360" w:lineRule="auto"/>
        <w:jc w:val="center"/>
        <w:textAlignment w:val="baseline"/>
        <w:rPr>
          <w:rFonts w:ascii="Times New Roman" w:hAnsi="Times New Roman" w:eastAsia="黑体"/>
          <w:b/>
          <w:bCs/>
          <w:color w:val="000000"/>
          <w:kern w:val="0"/>
          <w:sz w:val="30"/>
          <w:szCs w:val="30"/>
        </w:rPr>
      </w:pPr>
    </w:p>
    <w:p>
      <w:pPr>
        <w:shd w:val="clear" w:color="auto" w:fill="FFFFFF"/>
        <w:adjustRightInd w:val="0"/>
        <w:snapToGrid w:val="0"/>
        <w:spacing w:line="360" w:lineRule="auto"/>
        <w:jc w:val="center"/>
        <w:textAlignment w:val="baseline"/>
        <w:rPr>
          <w:rFonts w:ascii="宋体" w:hAnsi="宋体"/>
          <w:b/>
          <w:color w:val="000000"/>
          <w:sz w:val="30"/>
          <w:szCs w:val="30"/>
        </w:rPr>
      </w:pPr>
      <w:r>
        <w:rPr>
          <w:rFonts w:hint="eastAsia" w:ascii="Times New Roman" w:hAnsi="Times New Roman" w:eastAsia="黑体"/>
          <w:b/>
          <w:bCs/>
          <w:color w:val="000000"/>
          <w:kern w:val="0"/>
          <w:sz w:val="30"/>
          <w:szCs w:val="30"/>
        </w:rPr>
        <w:t>四、</w:t>
      </w:r>
      <w:r>
        <w:rPr>
          <w:rFonts w:hint="eastAsia" w:ascii="宋体" w:hAnsi="宋体"/>
          <w:b/>
          <w:color w:val="000000"/>
          <w:sz w:val="30"/>
          <w:szCs w:val="30"/>
        </w:rPr>
        <w:t>投标人情况一览表</w:t>
      </w:r>
    </w:p>
    <w:p>
      <w:pPr>
        <w:tabs>
          <w:tab w:val="left" w:pos="993"/>
        </w:tabs>
        <w:spacing w:line="400" w:lineRule="exact"/>
        <w:jc w:val="center"/>
        <w:rPr>
          <w:rFonts w:ascii="宋体" w:hAnsi="宋体"/>
          <w:color w:val="000000"/>
          <w:sz w:val="36"/>
          <w:szCs w:val="24"/>
        </w:rPr>
      </w:pPr>
    </w:p>
    <w:tbl>
      <w:tblPr>
        <w:tblStyle w:val="5"/>
        <w:tblW w:w="8529" w:type="dxa"/>
        <w:tblInd w:w="2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7"/>
        <w:gridCol w:w="2551"/>
        <w:gridCol w:w="851"/>
        <w:gridCol w:w="44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77" w:type="dxa"/>
          </w:tcPr>
          <w:p>
            <w:pPr>
              <w:tabs>
                <w:tab w:val="left" w:pos="993"/>
              </w:tabs>
              <w:spacing w:line="560" w:lineRule="exact"/>
              <w:jc w:val="center"/>
              <w:rPr>
                <w:rFonts w:ascii="宋体" w:hAnsi="宋体"/>
                <w:color w:val="000000"/>
                <w:szCs w:val="24"/>
              </w:rPr>
            </w:pPr>
            <w:r>
              <w:rPr>
                <w:rFonts w:hint="eastAsia" w:ascii="宋体" w:hAnsi="宋体"/>
                <w:color w:val="000000"/>
                <w:szCs w:val="24"/>
              </w:rPr>
              <w:t>1</w:t>
            </w:r>
          </w:p>
        </w:tc>
        <w:tc>
          <w:tcPr>
            <w:tcW w:w="7852" w:type="dxa"/>
            <w:gridSpan w:val="3"/>
          </w:tcPr>
          <w:p>
            <w:pPr>
              <w:tabs>
                <w:tab w:val="left" w:pos="993"/>
              </w:tabs>
              <w:spacing w:line="560" w:lineRule="exact"/>
              <w:rPr>
                <w:rFonts w:ascii="宋体" w:hAnsi="宋体"/>
                <w:color w:val="000000"/>
                <w:szCs w:val="24"/>
              </w:rPr>
            </w:pPr>
            <w:r>
              <w:rPr>
                <w:rFonts w:hint="eastAsia" w:ascii="宋体" w:hAnsi="宋体"/>
                <w:color w:val="000000"/>
                <w:szCs w:val="24"/>
              </w:rPr>
              <w:t>企业名称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77" w:type="dxa"/>
          </w:tcPr>
          <w:p>
            <w:pPr>
              <w:tabs>
                <w:tab w:val="left" w:pos="993"/>
              </w:tabs>
              <w:spacing w:line="560" w:lineRule="exact"/>
              <w:jc w:val="center"/>
              <w:rPr>
                <w:rFonts w:ascii="宋体" w:hAnsi="宋体"/>
                <w:color w:val="000000"/>
                <w:szCs w:val="24"/>
              </w:rPr>
            </w:pPr>
            <w:r>
              <w:rPr>
                <w:rFonts w:hint="eastAsia" w:ascii="宋体" w:hAnsi="宋体"/>
                <w:color w:val="000000"/>
                <w:szCs w:val="24"/>
              </w:rPr>
              <w:t>2</w:t>
            </w:r>
          </w:p>
        </w:tc>
        <w:tc>
          <w:tcPr>
            <w:tcW w:w="7852" w:type="dxa"/>
            <w:gridSpan w:val="3"/>
          </w:tcPr>
          <w:p>
            <w:pPr>
              <w:tabs>
                <w:tab w:val="left" w:pos="993"/>
              </w:tabs>
              <w:spacing w:line="560" w:lineRule="exact"/>
              <w:rPr>
                <w:rFonts w:ascii="宋体" w:hAnsi="宋体"/>
                <w:color w:val="000000"/>
                <w:szCs w:val="24"/>
              </w:rPr>
            </w:pPr>
            <w:r>
              <w:rPr>
                <w:rFonts w:hint="eastAsia" w:ascii="宋体" w:hAnsi="宋体"/>
                <w:color w:val="000000"/>
                <w:szCs w:val="24"/>
              </w:rPr>
              <w:t>总部地址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77" w:type="dxa"/>
          </w:tcPr>
          <w:p>
            <w:pPr>
              <w:tabs>
                <w:tab w:val="left" w:pos="993"/>
              </w:tabs>
              <w:spacing w:line="560" w:lineRule="exact"/>
              <w:jc w:val="center"/>
              <w:rPr>
                <w:rFonts w:ascii="宋体" w:hAnsi="宋体"/>
                <w:color w:val="000000"/>
                <w:szCs w:val="24"/>
              </w:rPr>
            </w:pPr>
            <w:r>
              <w:rPr>
                <w:rFonts w:hint="eastAsia" w:ascii="宋体" w:hAnsi="宋体"/>
                <w:color w:val="000000"/>
                <w:szCs w:val="24"/>
              </w:rPr>
              <w:t>3</w:t>
            </w:r>
          </w:p>
        </w:tc>
        <w:tc>
          <w:tcPr>
            <w:tcW w:w="7852" w:type="dxa"/>
            <w:gridSpan w:val="3"/>
          </w:tcPr>
          <w:p>
            <w:pPr>
              <w:tabs>
                <w:tab w:val="left" w:pos="993"/>
              </w:tabs>
              <w:spacing w:line="560" w:lineRule="exact"/>
              <w:rPr>
                <w:rFonts w:ascii="宋体" w:hAnsi="宋体"/>
                <w:color w:val="000000"/>
                <w:szCs w:val="24"/>
              </w:rPr>
            </w:pPr>
            <w:r>
              <w:rPr>
                <w:rFonts w:hint="eastAsia" w:ascii="宋体" w:hAnsi="宋体"/>
                <w:color w:val="000000"/>
                <w:szCs w:val="24"/>
              </w:rPr>
              <w:t>南通分部地址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7" w:type="dxa"/>
          </w:tcPr>
          <w:p>
            <w:pPr>
              <w:tabs>
                <w:tab w:val="left" w:pos="993"/>
              </w:tabs>
              <w:spacing w:line="560" w:lineRule="exact"/>
              <w:jc w:val="center"/>
              <w:rPr>
                <w:rFonts w:ascii="宋体" w:hAnsi="宋体"/>
                <w:color w:val="000000"/>
                <w:szCs w:val="24"/>
              </w:rPr>
            </w:pPr>
            <w:r>
              <w:rPr>
                <w:rFonts w:hint="eastAsia" w:ascii="宋体" w:hAnsi="宋体"/>
                <w:color w:val="000000"/>
                <w:szCs w:val="24"/>
              </w:rPr>
              <w:t>4</w:t>
            </w:r>
          </w:p>
        </w:tc>
        <w:tc>
          <w:tcPr>
            <w:tcW w:w="3402" w:type="dxa"/>
            <w:gridSpan w:val="2"/>
          </w:tcPr>
          <w:p>
            <w:pPr>
              <w:tabs>
                <w:tab w:val="left" w:pos="993"/>
              </w:tabs>
              <w:spacing w:line="560" w:lineRule="exact"/>
              <w:rPr>
                <w:rFonts w:ascii="宋体" w:hAnsi="宋体"/>
                <w:color w:val="000000"/>
                <w:szCs w:val="24"/>
              </w:rPr>
            </w:pPr>
            <w:r>
              <w:rPr>
                <w:rFonts w:hint="eastAsia" w:ascii="宋体" w:hAnsi="宋体"/>
                <w:color w:val="000000"/>
                <w:szCs w:val="24"/>
              </w:rPr>
              <w:t>电话</w:t>
            </w:r>
          </w:p>
        </w:tc>
        <w:tc>
          <w:tcPr>
            <w:tcW w:w="4450" w:type="dxa"/>
          </w:tcPr>
          <w:p>
            <w:pPr>
              <w:tabs>
                <w:tab w:val="left" w:pos="993"/>
              </w:tabs>
              <w:spacing w:line="560" w:lineRule="exact"/>
              <w:rPr>
                <w:rFonts w:ascii="宋体" w:hAnsi="宋体"/>
                <w:color w:val="000000"/>
                <w:szCs w:val="24"/>
              </w:rPr>
            </w:pPr>
            <w:r>
              <w:rPr>
                <w:rFonts w:hint="eastAsia" w:ascii="宋体" w:hAnsi="宋体"/>
                <w:color w:val="000000"/>
                <w:szCs w:val="24"/>
              </w:rPr>
              <w:t>联系人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7" w:type="dxa"/>
          </w:tcPr>
          <w:p>
            <w:pPr>
              <w:tabs>
                <w:tab w:val="left" w:pos="993"/>
              </w:tabs>
              <w:spacing w:line="560" w:lineRule="exact"/>
              <w:jc w:val="center"/>
              <w:rPr>
                <w:rFonts w:ascii="宋体" w:hAnsi="宋体"/>
                <w:color w:val="000000"/>
                <w:szCs w:val="24"/>
              </w:rPr>
            </w:pPr>
            <w:r>
              <w:rPr>
                <w:rFonts w:hint="eastAsia" w:ascii="宋体" w:hAnsi="宋体"/>
                <w:color w:val="000000"/>
                <w:szCs w:val="24"/>
              </w:rPr>
              <w:t>5</w:t>
            </w:r>
          </w:p>
        </w:tc>
        <w:tc>
          <w:tcPr>
            <w:tcW w:w="3402" w:type="dxa"/>
            <w:gridSpan w:val="2"/>
          </w:tcPr>
          <w:p>
            <w:pPr>
              <w:tabs>
                <w:tab w:val="left" w:pos="993"/>
              </w:tabs>
              <w:spacing w:line="560" w:lineRule="exact"/>
              <w:rPr>
                <w:rFonts w:ascii="宋体" w:hAnsi="宋体"/>
                <w:color w:val="000000"/>
                <w:szCs w:val="24"/>
              </w:rPr>
            </w:pPr>
            <w:r>
              <w:rPr>
                <w:rFonts w:hint="eastAsia" w:ascii="宋体" w:hAnsi="宋体"/>
                <w:color w:val="000000"/>
                <w:szCs w:val="24"/>
              </w:rPr>
              <w:t>传真</w:t>
            </w:r>
          </w:p>
        </w:tc>
        <w:tc>
          <w:tcPr>
            <w:tcW w:w="4450" w:type="dxa"/>
          </w:tcPr>
          <w:p>
            <w:pPr>
              <w:tabs>
                <w:tab w:val="left" w:pos="993"/>
              </w:tabs>
              <w:spacing w:line="560" w:lineRule="exact"/>
              <w:rPr>
                <w:rFonts w:ascii="宋体" w:hAnsi="宋体"/>
                <w:color w:val="000000"/>
                <w:szCs w:val="24"/>
              </w:rPr>
            </w:pPr>
            <w:r>
              <w:rPr>
                <w:rFonts w:hint="eastAsia" w:ascii="宋体" w:hAnsi="宋体"/>
                <w:color w:val="000000"/>
                <w:szCs w:val="24"/>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7" w:type="dxa"/>
          </w:tcPr>
          <w:p>
            <w:pPr>
              <w:tabs>
                <w:tab w:val="left" w:pos="993"/>
              </w:tabs>
              <w:spacing w:line="560" w:lineRule="exact"/>
              <w:jc w:val="center"/>
              <w:rPr>
                <w:rFonts w:ascii="宋体" w:hAnsi="宋体"/>
                <w:color w:val="000000"/>
                <w:szCs w:val="24"/>
              </w:rPr>
            </w:pPr>
            <w:r>
              <w:rPr>
                <w:rFonts w:hint="eastAsia" w:ascii="宋体" w:hAnsi="宋体"/>
                <w:color w:val="000000"/>
                <w:szCs w:val="24"/>
              </w:rPr>
              <w:t>6</w:t>
            </w:r>
          </w:p>
        </w:tc>
        <w:tc>
          <w:tcPr>
            <w:tcW w:w="3402" w:type="dxa"/>
            <w:gridSpan w:val="2"/>
          </w:tcPr>
          <w:p>
            <w:pPr>
              <w:tabs>
                <w:tab w:val="left" w:pos="993"/>
              </w:tabs>
              <w:spacing w:line="560" w:lineRule="exact"/>
              <w:rPr>
                <w:rFonts w:ascii="宋体" w:hAnsi="宋体"/>
                <w:color w:val="000000"/>
                <w:szCs w:val="24"/>
              </w:rPr>
            </w:pPr>
            <w:r>
              <w:rPr>
                <w:rFonts w:hint="eastAsia" w:ascii="宋体" w:hAnsi="宋体"/>
                <w:color w:val="000000"/>
                <w:szCs w:val="24"/>
              </w:rPr>
              <w:t>注册地</w:t>
            </w:r>
          </w:p>
        </w:tc>
        <w:tc>
          <w:tcPr>
            <w:tcW w:w="4450" w:type="dxa"/>
          </w:tcPr>
          <w:p>
            <w:pPr>
              <w:tabs>
                <w:tab w:val="left" w:pos="993"/>
              </w:tabs>
              <w:spacing w:line="560" w:lineRule="exact"/>
              <w:rPr>
                <w:rFonts w:ascii="宋体" w:hAnsi="宋体"/>
                <w:color w:val="000000"/>
                <w:szCs w:val="24"/>
              </w:rPr>
            </w:pPr>
            <w:r>
              <w:rPr>
                <w:rFonts w:hint="eastAsia" w:ascii="宋体" w:hAnsi="宋体"/>
                <w:color w:val="000000"/>
                <w:szCs w:val="24"/>
              </w:rPr>
              <w:t>注册年份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77" w:type="dxa"/>
          </w:tcPr>
          <w:p>
            <w:pPr>
              <w:tabs>
                <w:tab w:val="left" w:pos="993"/>
              </w:tabs>
              <w:spacing w:line="560" w:lineRule="exact"/>
              <w:jc w:val="center"/>
              <w:rPr>
                <w:rFonts w:ascii="宋体" w:hAnsi="宋体"/>
                <w:color w:val="000000"/>
                <w:szCs w:val="24"/>
              </w:rPr>
            </w:pPr>
            <w:r>
              <w:rPr>
                <w:rFonts w:hint="eastAsia" w:ascii="宋体" w:hAnsi="宋体"/>
                <w:color w:val="000000"/>
                <w:szCs w:val="24"/>
              </w:rPr>
              <w:t>7</w:t>
            </w:r>
          </w:p>
        </w:tc>
        <w:tc>
          <w:tcPr>
            <w:tcW w:w="7852" w:type="dxa"/>
            <w:gridSpan w:val="3"/>
          </w:tcPr>
          <w:p>
            <w:pPr>
              <w:tabs>
                <w:tab w:val="left" w:pos="993"/>
              </w:tabs>
              <w:spacing w:line="560" w:lineRule="exact"/>
              <w:rPr>
                <w:rFonts w:ascii="宋体" w:hAnsi="宋体"/>
                <w:color w:val="000000"/>
                <w:szCs w:val="24"/>
              </w:rPr>
            </w:pPr>
            <w:r>
              <w:rPr>
                <w:rFonts w:hint="eastAsia" w:ascii="宋体" w:hAnsi="宋体"/>
                <w:color w:val="000000"/>
                <w:szCs w:val="24"/>
              </w:rPr>
              <w:t>公司资质等级证书号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77" w:type="dxa"/>
          </w:tcPr>
          <w:p>
            <w:pPr>
              <w:tabs>
                <w:tab w:val="left" w:pos="993"/>
              </w:tabs>
              <w:spacing w:line="560" w:lineRule="exact"/>
              <w:jc w:val="center"/>
              <w:rPr>
                <w:rFonts w:ascii="宋体" w:hAnsi="宋体"/>
                <w:color w:val="000000"/>
                <w:szCs w:val="24"/>
              </w:rPr>
            </w:pPr>
            <w:r>
              <w:rPr>
                <w:rFonts w:hint="eastAsia" w:ascii="宋体" w:hAnsi="宋体"/>
                <w:color w:val="000000"/>
                <w:szCs w:val="24"/>
              </w:rPr>
              <w:t>8</w:t>
            </w:r>
          </w:p>
        </w:tc>
        <w:tc>
          <w:tcPr>
            <w:tcW w:w="7852" w:type="dxa"/>
            <w:gridSpan w:val="3"/>
          </w:tcPr>
          <w:p>
            <w:pPr>
              <w:tabs>
                <w:tab w:val="left" w:pos="993"/>
              </w:tabs>
              <w:spacing w:line="560" w:lineRule="exact"/>
              <w:rPr>
                <w:rFonts w:ascii="宋体" w:hAnsi="宋体"/>
                <w:color w:val="000000"/>
                <w:szCs w:val="24"/>
              </w:rPr>
            </w:pPr>
            <w:r>
              <w:rPr>
                <w:rFonts w:hint="eastAsia" w:ascii="宋体" w:hAnsi="宋体"/>
                <w:color w:val="000000"/>
                <w:szCs w:val="24"/>
              </w:rPr>
              <w:t>公司</w:t>
            </w:r>
            <w:r>
              <w:rPr>
                <w:rFonts w:hint="eastAsia" w:ascii="宋体" w:hAnsi="宋体"/>
                <w:color w:val="000000"/>
                <w:szCs w:val="24"/>
                <w:u w:val="single"/>
              </w:rPr>
              <w:t xml:space="preserve">   （是否通过，何种）   </w:t>
            </w:r>
            <w:r>
              <w:rPr>
                <w:rFonts w:hint="eastAsia" w:ascii="宋体" w:hAnsi="宋体"/>
                <w:color w:val="000000"/>
                <w:szCs w:val="24"/>
              </w:rPr>
              <w:t>质量保证体系认证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77" w:type="dxa"/>
          </w:tcPr>
          <w:p>
            <w:pPr>
              <w:tabs>
                <w:tab w:val="left" w:pos="993"/>
              </w:tabs>
              <w:spacing w:line="560" w:lineRule="exact"/>
              <w:jc w:val="center"/>
              <w:rPr>
                <w:rFonts w:ascii="宋体" w:hAnsi="宋体"/>
                <w:color w:val="000000"/>
                <w:szCs w:val="24"/>
              </w:rPr>
            </w:pPr>
            <w:r>
              <w:rPr>
                <w:rFonts w:hint="eastAsia" w:ascii="宋体" w:hAnsi="宋体"/>
                <w:color w:val="000000"/>
                <w:szCs w:val="24"/>
              </w:rPr>
              <w:t>9</w:t>
            </w:r>
          </w:p>
        </w:tc>
        <w:tc>
          <w:tcPr>
            <w:tcW w:w="7852" w:type="dxa"/>
            <w:gridSpan w:val="3"/>
          </w:tcPr>
          <w:p>
            <w:pPr>
              <w:tabs>
                <w:tab w:val="left" w:pos="993"/>
              </w:tabs>
              <w:spacing w:line="560" w:lineRule="exact"/>
              <w:rPr>
                <w:rFonts w:ascii="宋体" w:hAnsi="宋体"/>
                <w:color w:val="000000"/>
                <w:szCs w:val="24"/>
              </w:rPr>
            </w:pPr>
            <w:r>
              <w:rPr>
                <w:rFonts w:hint="eastAsia" w:ascii="宋体" w:hAnsi="宋体"/>
                <w:color w:val="000000"/>
                <w:szCs w:val="24"/>
              </w:rPr>
              <w:t>主营范围</w:t>
            </w:r>
          </w:p>
          <w:p>
            <w:pPr>
              <w:tabs>
                <w:tab w:val="left" w:pos="993"/>
              </w:tabs>
              <w:spacing w:line="560" w:lineRule="exact"/>
              <w:rPr>
                <w:rFonts w:ascii="宋体" w:hAnsi="宋体"/>
                <w:color w:val="000000"/>
                <w:szCs w:val="24"/>
                <w:u w:val="single"/>
              </w:rPr>
            </w:pPr>
            <w:r>
              <w:rPr>
                <w:rFonts w:hint="eastAsia" w:ascii="宋体" w:hAnsi="宋体"/>
                <w:color w:val="000000"/>
                <w:szCs w:val="24"/>
              </w:rPr>
              <w:t>1.</w:t>
            </w:r>
          </w:p>
          <w:p>
            <w:pPr>
              <w:tabs>
                <w:tab w:val="left" w:pos="993"/>
              </w:tabs>
              <w:spacing w:line="560" w:lineRule="exact"/>
              <w:rPr>
                <w:rFonts w:ascii="宋体" w:hAnsi="宋体"/>
                <w:color w:val="000000"/>
                <w:szCs w:val="24"/>
                <w:u w:val="single"/>
              </w:rPr>
            </w:pPr>
            <w:r>
              <w:rPr>
                <w:rFonts w:hint="eastAsia" w:ascii="宋体" w:hAnsi="宋体"/>
                <w:color w:val="000000"/>
                <w:szCs w:val="24"/>
              </w:rPr>
              <w:t>2.</w:t>
            </w:r>
          </w:p>
          <w:p>
            <w:pPr>
              <w:tabs>
                <w:tab w:val="left" w:pos="993"/>
              </w:tabs>
              <w:spacing w:line="560" w:lineRule="exact"/>
              <w:rPr>
                <w:rFonts w:ascii="宋体" w:hAnsi="宋体"/>
                <w:color w:val="000000"/>
                <w:szCs w:val="24"/>
                <w:u w:val="single"/>
              </w:rPr>
            </w:pPr>
            <w:r>
              <w:rPr>
                <w:rFonts w:hint="eastAsia" w:ascii="宋体" w:hAnsi="宋体"/>
                <w:color w:val="000000"/>
                <w:szCs w:val="24"/>
              </w:rPr>
              <w:t>3.</w:t>
            </w:r>
          </w:p>
          <w:p>
            <w:pPr>
              <w:tabs>
                <w:tab w:val="left" w:pos="993"/>
              </w:tabs>
              <w:spacing w:line="560" w:lineRule="exact"/>
              <w:rPr>
                <w:rFonts w:ascii="宋体" w:hAnsi="宋体"/>
                <w:color w:val="000000"/>
                <w:szCs w:val="24"/>
              </w:rPr>
            </w:pPr>
            <w:r>
              <w:rPr>
                <w:rFonts w:hint="eastAsia" w:ascii="宋体" w:hAnsi="宋体"/>
                <w:color w:val="000000"/>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7" w:type="dxa"/>
          </w:tcPr>
          <w:p>
            <w:pPr>
              <w:tabs>
                <w:tab w:val="left" w:pos="993"/>
              </w:tabs>
              <w:spacing w:line="560" w:lineRule="exact"/>
              <w:jc w:val="center"/>
              <w:rPr>
                <w:rFonts w:ascii="宋体" w:hAnsi="宋体"/>
                <w:color w:val="000000"/>
                <w:szCs w:val="24"/>
              </w:rPr>
            </w:pPr>
            <w:r>
              <w:rPr>
                <w:rFonts w:hint="eastAsia" w:ascii="宋体" w:hAnsi="宋体"/>
                <w:color w:val="000000"/>
                <w:szCs w:val="24"/>
              </w:rPr>
              <w:t>10</w:t>
            </w:r>
          </w:p>
        </w:tc>
        <w:tc>
          <w:tcPr>
            <w:tcW w:w="2551" w:type="dxa"/>
          </w:tcPr>
          <w:p>
            <w:pPr>
              <w:tabs>
                <w:tab w:val="left" w:pos="993"/>
              </w:tabs>
              <w:spacing w:line="560" w:lineRule="exact"/>
              <w:rPr>
                <w:rFonts w:ascii="宋体" w:hAnsi="宋体"/>
                <w:color w:val="000000"/>
                <w:szCs w:val="24"/>
              </w:rPr>
            </w:pPr>
            <w:r>
              <w:rPr>
                <w:rFonts w:hint="eastAsia" w:ascii="宋体" w:hAnsi="宋体"/>
                <w:color w:val="000000"/>
                <w:szCs w:val="24"/>
              </w:rPr>
              <w:t>作为总承包人经历年数</w:t>
            </w:r>
          </w:p>
        </w:tc>
        <w:tc>
          <w:tcPr>
            <w:tcW w:w="5301" w:type="dxa"/>
            <w:gridSpan w:val="2"/>
          </w:tcPr>
          <w:p>
            <w:pPr>
              <w:tabs>
                <w:tab w:val="left" w:pos="993"/>
              </w:tabs>
              <w:spacing w:line="560" w:lineRule="exact"/>
              <w:rPr>
                <w:rFonts w:ascii="宋体" w:hAnsi="宋体"/>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7" w:type="dxa"/>
          </w:tcPr>
          <w:p>
            <w:pPr>
              <w:tabs>
                <w:tab w:val="left" w:pos="993"/>
              </w:tabs>
              <w:spacing w:line="560" w:lineRule="exact"/>
              <w:jc w:val="center"/>
              <w:rPr>
                <w:rFonts w:ascii="宋体" w:hAnsi="宋体"/>
                <w:color w:val="000000"/>
                <w:szCs w:val="24"/>
              </w:rPr>
            </w:pPr>
            <w:r>
              <w:rPr>
                <w:rFonts w:hint="eastAsia" w:ascii="宋体" w:hAnsi="宋体"/>
                <w:color w:val="000000"/>
                <w:szCs w:val="24"/>
              </w:rPr>
              <w:t>11</w:t>
            </w:r>
          </w:p>
        </w:tc>
        <w:tc>
          <w:tcPr>
            <w:tcW w:w="2551" w:type="dxa"/>
          </w:tcPr>
          <w:p>
            <w:pPr>
              <w:tabs>
                <w:tab w:val="left" w:pos="993"/>
              </w:tabs>
              <w:spacing w:line="560" w:lineRule="exact"/>
              <w:rPr>
                <w:rFonts w:ascii="宋体" w:hAnsi="宋体"/>
                <w:color w:val="000000"/>
                <w:szCs w:val="24"/>
              </w:rPr>
            </w:pPr>
            <w:r>
              <w:rPr>
                <w:rFonts w:hint="eastAsia" w:ascii="宋体" w:hAnsi="宋体"/>
                <w:color w:val="000000"/>
                <w:szCs w:val="24"/>
              </w:rPr>
              <w:t>作为分包商经历年数</w:t>
            </w:r>
          </w:p>
        </w:tc>
        <w:tc>
          <w:tcPr>
            <w:tcW w:w="5301" w:type="dxa"/>
            <w:gridSpan w:val="2"/>
          </w:tcPr>
          <w:p>
            <w:pPr>
              <w:tabs>
                <w:tab w:val="left" w:pos="993"/>
              </w:tabs>
              <w:spacing w:line="560" w:lineRule="exact"/>
              <w:rPr>
                <w:rFonts w:ascii="宋体" w:hAnsi="宋体"/>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23" w:hRule="atLeast"/>
        </w:trPr>
        <w:tc>
          <w:tcPr>
            <w:tcW w:w="677" w:type="dxa"/>
          </w:tcPr>
          <w:p>
            <w:pPr>
              <w:tabs>
                <w:tab w:val="left" w:pos="993"/>
              </w:tabs>
              <w:spacing w:line="560" w:lineRule="exact"/>
              <w:jc w:val="center"/>
              <w:rPr>
                <w:rFonts w:ascii="宋体" w:hAnsi="宋体"/>
                <w:color w:val="000000"/>
                <w:szCs w:val="24"/>
              </w:rPr>
            </w:pPr>
            <w:r>
              <w:rPr>
                <w:rFonts w:hint="eastAsia" w:ascii="宋体" w:hAnsi="宋体"/>
                <w:color w:val="000000"/>
                <w:szCs w:val="24"/>
              </w:rPr>
              <w:t>12</w:t>
            </w:r>
          </w:p>
        </w:tc>
        <w:tc>
          <w:tcPr>
            <w:tcW w:w="7852" w:type="dxa"/>
            <w:gridSpan w:val="3"/>
          </w:tcPr>
          <w:p>
            <w:pPr>
              <w:tabs>
                <w:tab w:val="left" w:pos="993"/>
              </w:tabs>
              <w:spacing w:line="560" w:lineRule="exact"/>
              <w:rPr>
                <w:rFonts w:ascii="宋体" w:hAnsi="宋体"/>
                <w:color w:val="000000"/>
                <w:szCs w:val="24"/>
              </w:rPr>
            </w:pPr>
            <w:r>
              <w:rPr>
                <w:rFonts w:hint="eastAsia" w:ascii="宋体" w:hAnsi="宋体"/>
                <w:color w:val="000000"/>
                <w:szCs w:val="24"/>
              </w:rPr>
              <w:t>其他需要说明的情况</w:t>
            </w:r>
          </w:p>
        </w:tc>
      </w:tr>
    </w:tbl>
    <w:p>
      <w:pPr>
        <w:tabs>
          <w:tab w:val="left" w:pos="993"/>
        </w:tabs>
        <w:spacing w:line="560" w:lineRule="exact"/>
        <w:rPr>
          <w:rFonts w:ascii="宋体" w:hAnsi="宋体"/>
          <w:color w:val="000000"/>
          <w:szCs w:val="24"/>
        </w:rPr>
      </w:pPr>
    </w:p>
    <w:p>
      <w:pPr>
        <w:tabs>
          <w:tab w:val="left" w:pos="993"/>
        </w:tabs>
        <w:spacing w:line="560" w:lineRule="exact"/>
        <w:rPr>
          <w:rFonts w:ascii="宋体" w:hAnsi="宋体"/>
          <w:color w:val="000000"/>
          <w:sz w:val="24"/>
          <w:szCs w:val="24"/>
        </w:rPr>
      </w:pPr>
    </w:p>
    <w:p>
      <w:pPr>
        <w:tabs>
          <w:tab w:val="left" w:pos="993"/>
        </w:tabs>
        <w:spacing w:line="560" w:lineRule="exact"/>
        <w:rPr>
          <w:rFonts w:ascii="宋体" w:hAnsi="宋体"/>
          <w:color w:val="000000"/>
          <w:sz w:val="24"/>
          <w:szCs w:val="24"/>
        </w:rPr>
      </w:pPr>
    </w:p>
    <w:p>
      <w:pPr>
        <w:rPr>
          <w:rFonts w:ascii="Cambria" w:hAnsi="Cambria"/>
          <w:b/>
          <w:bCs/>
          <w:color w:val="000000"/>
          <w:kern w:val="0"/>
          <w:sz w:val="32"/>
          <w:szCs w:val="32"/>
        </w:rPr>
      </w:pPr>
      <w:bookmarkStart w:id="155" w:name="_Toc425960677"/>
      <w:bookmarkStart w:id="156" w:name="_Toc420058377"/>
      <w:r>
        <w:rPr>
          <w:rFonts w:hint="eastAsia" w:ascii="Cambria" w:hAnsi="Cambria"/>
          <w:b/>
          <w:bCs/>
          <w:color w:val="000000"/>
          <w:kern w:val="0"/>
          <w:sz w:val="32"/>
          <w:szCs w:val="32"/>
        </w:rPr>
        <w:br w:type="page"/>
      </w:r>
    </w:p>
    <w:p>
      <w:pPr>
        <w:keepNext/>
        <w:keepLines/>
        <w:spacing w:before="260" w:after="260" w:line="416" w:lineRule="auto"/>
        <w:jc w:val="center"/>
        <w:outlineLvl w:val="1"/>
        <w:rPr>
          <w:rFonts w:ascii="Cambria" w:hAnsi="Cambria"/>
          <w:b/>
          <w:bCs/>
          <w:color w:val="000000"/>
          <w:kern w:val="0"/>
          <w:sz w:val="32"/>
          <w:szCs w:val="32"/>
        </w:rPr>
      </w:pPr>
      <w:r>
        <w:rPr>
          <w:rFonts w:hint="eastAsia" w:ascii="Cambria" w:hAnsi="Cambria"/>
          <w:b/>
          <w:bCs/>
          <w:color w:val="000000"/>
          <w:kern w:val="0"/>
          <w:sz w:val="32"/>
          <w:szCs w:val="32"/>
        </w:rPr>
        <w:t>五、</w:t>
      </w:r>
      <w:bookmarkEnd w:id="155"/>
      <w:bookmarkEnd w:id="156"/>
      <w:r>
        <w:rPr>
          <w:rFonts w:hint="eastAsia" w:ascii="Cambria" w:hAnsi="Cambria"/>
          <w:b/>
          <w:bCs/>
          <w:color w:val="000000"/>
          <w:kern w:val="0"/>
          <w:sz w:val="32"/>
          <w:szCs w:val="32"/>
        </w:rPr>
        <w:t>项目负责人等主要人员委任书</w:t>
      </w:r>
    </w:p>
    <w:p>
      <w:pPr>
        <w:spacing w:line="440" w:lineRule="exact"/>
        <w:rPr>
          <w:rFonts w:ascii="宋体" w:hAnsi="宋体" w:cs="宋体"/>
          <w:color w:val="000000"/>
          <w:sz w:val="24"/>
          <w:szCs w:val="24"/>
        </w:rPr>
      </w:pPr>
      <w:r>
        <w:rPr>
          <w:rFonts w:hint="eastAsia" w:ascii="宋体" w:hAnsi="宋体" w:cs="宋体"/>
          <w:b/>
          <w:color w:val="000000"/>
          <w:sz w:val="24"/>
          <w:szCs w:val="24"/>
        </w:rPr>
        <w:t>致：</w:t>
      </w:r>
      <w:r>
        <w:rPr>
          <w:rFonts w:hint="eastAsia" w:ascii="宋体" w:hAnsi="宋体" w:cs="宋体"/>
          <w:b/>
          <w:color w:val="000000"/>
          <w:sz w:val="24"/>
          <w:szCs w:val="24"/>
          <w:u w:val="single"/>
        </w:rPr>
        <w:t xml:space="preserve"> 南通市园林绿化管理处  </w:t>
      </w:r>
    </w:p>
    <w:p>
      <w:pPr>
        <w:spacing w:line="440" w:lineRule="exact"/>
        <w:rPr>
          <w:rFonts w:ascii="宋体" w:hAnsi="宋体" w:cs="宋体"/>
          <w:color w:val="000000"/>
          <w:sz w:val="24"/>
          <w:szCs w:val="24"/>
        </w:rPr>
      </w:pPr>
      <w:r>
        <w:rPr>
          <w:rFonts w:hint="eastAsia" w:ascii="宋体" w:hAnsi="宋体" w:cs="宋体"/>
          <w:color w:val="000000"/>
          <w:sz w:val="24"/>
          <w:szCs w:val="24"/>
        </w:rPr>
        <w:t>我单位派驻本标段的主要人员一览表如下：</w:t>
      </w:r>
    </w:p>
    <w:tbl>
      <w:tblPr>
        <w:tblStyle w:val="5"/>
        <w:tblW w:w="9749" w:type="dxa"/>
        <w:tblInd w:w="-5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844"/>
        <w:gridCol w:w="1560"/>
        <w:gridCol w:w="1984"/>
        <w:gridCol w:w="1985"/>
        <w:gridCol w:w="1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4" w:type="dxa"/>
            <w:vAlign w:val="center"/>
          </w:tcPr>
          <w:p>
            <w:pPr>
              <w:spacing w:line="360" w:lineRule="exact"/>
              <w:jc w:val="center"/>
              <w:rPr>
                <w:rFonts w:ascii="宋体" w:hAnsi="宋体" w:cs="宋体"/>
                <w:color w:val="000000"/>
                <w:sz w:val="24"/>
                <w:szCs w:val="24"/>
              </w:rPr>
            </w:pPr>
            <w:r>
              <w:rPr>
                <w:rFonts w:hint="eastAsia" w:ascii="宋体" w:hAnsi="宋体" w:cs="宋体"/>
                <w:color w:val="000000"/>
                <w:sz w:val="24"/>
                <w:szCs w:val="24"/>
              </w:rPr>
              <w:t>序</w:t>
            </w:r>
          </w:p>
        </w:tc>
        <w:tc>
          <w:tcPr>
            <w:tcW w:w="1844" w:type="dxa"/>
            <w:vAlign w:val="center"/>
          </w:tcPr>
          <w:p>
            <w:pPr>
              <w:spacing w:line="360" w:lineRule="exact"/>
              <w:ind w:firstLine="120" w:firstLineChars="50"/>
              <w:jc w:val="center"/>
              <w:rPr>
                <w:rFonts w:ascii="宋体" w:hAnsi="宋体" w:cs="宋体"/>
                <w:color w:val="000000"/>
                <w:sz w:val="24"/>
                <w:szCs w:val="24"/>
              </w:rPr>
            </w:pPr>
            <w:r>
              <w:rPr>
                <w:rFonts w:hint="eastAsia" w:ascii="宋体" w:hAnsi="宋体" w:cs="宋体"/>
                <w:color w:val="000000"/>
                <w:sz w:val="24"/>
                <w:szCs w:val="24"/>
              </w:rPr>
              <w:t>职务</w:t>
            </w:r>
          </w:p>
        </w:tc>
        <w:tc>
          <w:tcPr>
            <w:tcW w:w="1560" w:type="dxa"/>
            <w:vAlign w:val="center"/>
          </w:tcPr>
          <w:p>
            <w:pPr>
              <w:spacing w:line="360" w:lineRule="exact"/>
              <w:jc w:val="center"/>
              <w:rPr>
                <w:rFonts w:ascii="宋体" w:hAnsi="宋体" w:cs="宋体"/>
                <w:color w:val="000000"/>
                <w:sz w:val="24"/>
                <w:szCs w:val="24"/>
              </w:rPr>
            </w:pPr>
            <w:r>
              <w:rPr>
                <w:rFonts w:hint="eastAsia" w:ascii="宋体" w:hAnsi="宋体" w:cs="宋体"/>
                <w:color w:val="000000"/>
                <w:sz w:val="24"/>
                <w:szCs w:val="24"/>
              </w:rPr>
              <w:t>姓名</w:t>
            </w:r>
          </w:p>
        </w:tc>
        <w:tc>
          <w:tcPr>
            <w:tcW w:w="1984" w:type="dxa"/>
            <w:vAlign w:val="center"/>
          </w:tcPr>
          <w:p>
            <w:pPr>
              <w:spacing w:line="360" w:lineRule="exact"/>
              <w:jc w:val="center"/>
              <w:rPr>
                <w:rFonts w:ascii="宋体" w:hAnsi="宋体" w:cs="宋体"/>
                <w:color w:val="000000"/>
                <w:sz w:val="24"/>
                <w:szCs w:val="24"/>
              </w:rPr>
            </w:pPr>
            <w:r>
              <w:rPr>
                <w:rFonts w:hint="eastAsia" w:ascii="宋体" w:hAnsi="宋体" w:cs="宋体"/>
                <w:color w:val="000000"/>
                <w:sz w:val="24"/>
                <w:szCs w:val="24"/>
              </w:rPr>
              <w:t>身份证号码</w:t>
            </w:r>
          </w:p>
        </w:tc>
        <w:tc>
          <w:tcPr>
            <w:tcW w:w="1985" w:type="dxa"/>
            <w:vAlign w:val="center"/>
          </w:tcPr>
          <w:p>
            <w:pPr>
              <w:spacing w:line="280" w:lineRule="exact"/>
              <w:ind w:left="180" w:hanging="180" w:hangingChars="100"/>
              <w:jc w:val="center"/>
              <w:rPr>
                <w:rFonts w:ascii="宋体" w:hAnsi="宋体" w:cs="宋体"/>
                <w:color w:val="000000"/>
                <w:sz w:val="18"/>
                <w:szCs w:val="18"/>
              </w:rPr>
            </w:pPr>
            <w:r>
              <w:rPr>
                <w:rFonts w:hint="eastAsia" w:ascii="宋体" w:hAnsi="宋体" w:cs="宋体"/>
                <w:color w:val="000000"/>
                <w:sz w:val="18"/>
                <w:szCs w:val="18"/>
              </w:rPr>
              <w:t>职称(资格)(学历)</w:t>
            </w:r>
          </w:p>
          <w:p>
            <w:pPr>
              <w:spacing w:line="280" w:lineRule="exact"/>
              <w:ind w:left="180" w:hanging="180" w:hangingChars="100"/>
              <w:jc w:val="center"/>
              <w:rPr>
                <w:rFonts w:ascii="宋体" w:hAnsi="宋体" w:cs="宋体"/>
                <w:color w:val="000000"/>
                <w:sz w:val="18"/>
                <w:szCs w:val="18"/>
              </w:rPr>
            </w:pPr>
            <w:r>
              <w:rPr>
                <w:rFonts w:hint="eastAsia" w:ascii="宋体" w:hAnsi="宋体" w:cs="宋体"/>
                <w:color w:val="000000"/>
                <w:sz w:val="18"/>
                <w:szCs w:val="18"/>
              </w:rPr>
              <w:t>证书名称</w:t>
            </w:r>
          </w:p>
        </w:tc>
        <w:tc>
          <w:tcPr>
            <w:tcW w:w="1842" w:type="dxa"/>
            <w:vAlign w:val="center"/>
          </w:tcPr>
          <w:p>
            <w:pPr>
              <w:spacing w:line="280" w:lineRule="exact"/>
              <w:ind w:left="180" w:hanging="180" w:hangingChars="100"/>
              <w:jc w:val="center"/>
              <w:rPr>
                <w:rFonts w:ascii="宋体" w:hAnsi="宋体" w:cs="宋体"/>
                <w:color w:val="000000"/>
                <w:sz w:val="18"/>
                <w:szCs w:val="18"/>
              </w:rPr>
            </w:pPr>
            <w:r>
              <w:rPr>
                <w:rFonts w:hint="eastAsia" w:ascii="宋体" w:hAnsi="宋体" w:cs="宋体"/>
                <w:color w:val="000000"/>
                <w:sz w:val="18"/>
                <w:szCs w:val="18"/>
              </w:rPr>
              <w:t>职称(资格)(学历)</w:t>
            </w:r>
          </w:p>
          <w:p>
            <w:pPr>
              <w:spacing w:line="280" w:lineRule="exact"/>
              <w:jc w:val="center"/>
              <w:rPr>
                <w:rFonts w:ascii="宋体" w:hAnsi="宋体" w:cs="宋体"/>
                <w:color w:val="000000"/>
                <w:sz w:val="24"/>
                <w:szCs w:val="24"/>
              </w:rPr>
            </w:pPr>
            <w:r>
              <w:rPr>
                <w:rFonts w:hint="eastAsia" w:ascii="宋体" w:hAnsi="宋体" w:cs="宋体"/>
                <w:color w:val="000000"/>
                <w:sz w:val="18"/>
                <w:szCs w:val="18"/>
              </w:rPr>
              <w:t>证书编号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trPr>
        <w:tc>
          <w:tcPr>
            <w:tcW w:w="534" w:type="dxa"/>
            <w:vAlign w:val="center"/>
          </w:tcPr>
          <w:p>
            <w:pPr>
              <w:spacing w:line="360" w:lineRule="exact"/>
              <w:jc w:val="center"/>
              <w:rPr>
                <w:rFonts w:ascii="宋体" w:hAnsi="宋体" w:cs="宋体"/>
                <w:color w:val="000000"/>
                <w:sz w:val="24"/>
                <w:szCs w:val="24"/>
              </w:rPr>
            </w:pPr>
            <w:r>
              <w:rPr>
                <w:rFonts w:hint="eastAsia" w:ascii="宋体" w:hAnsi="宋体" w:cs="宋体"/>
                <w:color w:val="000000"/>
                <w:sz w:val="24"/>
                <w:szCs w:val="24"/>
              </w:rPr>
              <w:t>1</w:t>
            </w:r>
          </w:p>
        </w:tc>
        <w:tc>
          <w:tcPr>
            <w:tcW w:w="1844" w:type="dxa"/>
            <w:vAlign w:val="center"/>
          </w:tcPr>
          <w:p>
            <w:pPr>
              <w:spacing w:line="360" w:lineRule="exact"/>
              <w:ind w:firstLine="120" w:firstLineChars="50"/>
              <w:jc w:val="left"/>
              <w:rPr>
                <w:rFonts w:ascii="宋体" w:hAnsi="宋体" w:cs="宋体"/>
                <w:color w:val="000000"/>
                <w:sz w:val="24"/>
                <w:szCs w:val="24"/>
              </w:rPr>
            </w:pPr>
            <w:r>
              <w:rPr>
                <w:rFonts w:hint="eastAsia" w:ascii="宋体" w:hAnsi="宋体" w:cs="宋体"/>
                <w:color w:val="000000"/>
                <w:sz w:val="24"/>
                <w:szCs w:val="24"/>
              </w:rPr>
              <w:t>项目负责人</w:t>
            </w:r>
          </w:p>
        </w:tc>
        <w:tc>
          <w:tcPr>
            <w:tcW w:w="1560" w:type="dxa"/>
            <w:vAlign w:val="center"/>
          </w:tcPr>
          <w:p>
            <w:pPr>
              <w:spacing w:line="360" w:lineRule="exact"/>
              <w:jc w:val="center"/>
              <w:rPr>
                <w:rFonts w:ascii="宋体" w:hAnsi="宋体" w:cs="宋体"/>
                <w:color w:val="000000"/>
                <w:sz w:val="24"/>
                <w:szCs w:val="24"/>
              </w:rPr>
            </w:pPr>
          </w:p>
        </w:tc>
        <w:tc>
          <w:tcPr>
            <w:tcW w:w="1984" w:type="dxa"/>
            <w:vAlign w:val="center"/>
          </w:tcPr>
          <w:p>
            <w:pPr>
              <w:spacing w:line="360" w:lineRule="exact"/>
              <w:jc w:val="center"/>
              <w:rPr>
                <w:rFonts w:ascii="宋体" w:hAnsi="宋体" w:cs="宋体"/>
                <w:color w:val="000000"/>
                <w:sz w:val="24"/>
                <w:szCs w:val="24"/>
              </w:rPr>
            </w:pPr>
          </w:p>
        </w:tc>
        <w:tc>
          <w:tcPr>
            <w:tcW w:w="1985" w:type="dxa"/>
            <w:vAlign w:val="center"/>
          </w:tcPr>
          <w:p>
            <w:pPr>
              <w:spacing w:line="360" w:lineRule="exact"/>
              <w:ind w:left="240" w:hanging="240" w:hangingChars="100"/>
              <w:jc w:val="center"/>
              <w:rPr>
                <w:rFonts w:ascii="宋体" w:hAnsi="宋体" w:cs="宋体"/>
                <w:color w:val="000000"/>
                <w:sz w:val="24"/>
                <w:szCs w:val="24"/>
              </w:rPr>
            </w:pPr>
          </w:p>
        </w:tc>
        <w:tc>
          <w:tcPr>
            <w:tcW w:w="1842" w:type="dxa"/>
            <w:vAlign w:val="center"/>
          </w:tcPr>
          <w:p>
            <w:pPr>
              <w:spacing w:line="360" w:lineRule="exact"/>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8" w:hRule="atLeast"/>
        </w:trPr>
        <w:tc>
          <w:tcPr>
            <w:tcW w:w="534" w:type="dxa"/>
            <w:vAlign w:val="center"/>
          </w:tcPr>
          <w:p>
            <w:pPr>
              <w:spacing w:line="360" w:lineRule="exact"/>
              <w:jc w:val="center"/>
              <w:rPr>
                <w:rFonts w:ascii="宋体" w:hAnsi="宋体" w:cs="宋体"/>
                <w:color w:val="000000"/>
                <w:sz w:val="24"/>
                <w:szCs w:val="24"/>
              </w:rPr>
            </w:pPr>
            <w:r>
              <w:rPr>
                <w:rFonts w:hint="eastAsia" w:ascii="宋体" w:hAnsi="宋体" w:cs="宋体"/>
                <w:color w:val="000000"/>
                <w:sz w:val="24"/>
                <w:szCs w:val="24"/>
              </w:rPr>
              <w:t>2</w:t>
            </w:r>
          </w:p>
        </w:tc>
        <w:tc>
          <w:tcPr>
            <w:tcW w:w="1844" w:type="dxa"/>
            <w:vAlign w:val="center"/>
          </w:tcPr>
          <w:p>
            <w:pPr>
              <w:spacing w:line="360" w:lineRule="exact"/>
              <w:ind w:firstLine="120" w:firstLineChars="50"/>
              <w:jc w:val="left"/>
              <w:rPr>
                <w:rFonts w:ascii="宋体" w:hAnsi="宋体" w:cs="宋体"/>
                <w:color w:val="000000"/>
                <w:sz w:val="24"/>
                <w:szCs w:val="24"/>
              </w:rPr>
            </w:pPr>
            <w:r>
              <w:rPr>
                <w:rFonts w:hint="eastAsia" w:ascii="宋体" w:hAnsi="宋体" w:cs="宋体"/>
                <w:color w:val="000000"/>
                <w:sz w:val="24"/>
                <w:szCs w:val="24"/>
              </w:rPr>
              <w:t>现场负责人</w:t>
            </w:r>
          </w:p>
        </w:tc>
        <w:tc>
          <w:tcPr>
            <w:tcW w:w="1560" w:type="dxa"/>
            <w:vAlign w:val="center"/>
          </w:tcPr>
          <w:p>
            <w:pPr>
              <w:spacing w:line="360" w:lineRule="exact"/>
              <w:jc w:val="center"/>
              <w:rPr>
                <w:rFonts w:ascii="宋体" w:hAnsi="宋体" w:cs="宋体"/>
                <w:color w:val="000000"/>
                <w:sz w:val="24"/>
                <w:szCs w:val="24"/>
              </w:rPr>
            </w:pPr>
          </w:p>
        </w:tc>
        <w:tc>
          <w:tcPr>
            <w:tcW w:w="1984" w:type="dxa"/>
            <w:vAlign w:val="center"/>
          </w:tcPr>
          <w:p>
            <w:pPr>
              <w:spacing w:line="360" w:lineRule="exact"/>
              <w:jc w:val="center"/>
              <w:rPr>
                <w:rFonts w:ascii="宋体" w:hAnsi="宋体" w:cs="宋体"/>
                <w:color w:val="000000"/>
                <w:sz w:val="24"/>
                <w:szCs w:val="24"/>
              </w:rPr>
            </w:pPr>
          </w:p>
        </w:tc>
        <w:tc>
          <w:tcPr>
            <w:tcW w:w="1985" w:type="dxa"/>
            <w:vAlign w:val="center"/>
          </w:tcPr>
          <w:p>
            <w:pPr>
              <w:spacing w:line="360" w:lineRule="exact"/>
              <w:ind w:left="240" w:hanging="240" w:hangingChars="100"/>
              <w:jc w:val="center"/>
              <w:rPr>
                <w:rFonts w:ascii="宋体" w:hAnsi="宋体" w:cs="宋体"/>
                <w:color w:val="000000"/>
                <w:sz w:val="24"/>
                <w:szCs w:val="24"/>
              </w:rPr>
            </w:pPr>
          </w:p>
        </w:tc>
        <w:tc>
          <w:tcPr>
            <w:tcW w:w="1842" w:type="dxa"/>
            <w:vAlign w:val="center"/>
          </w:tcPr>
          <w:p>
            <w:pPr>
              <w:spacing w:line="360" w:lineRule="exact"/>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8" w:hRule="atLeast"/>
        </w:trPr>
        <w:tc>
          <w:tcPr>
            <w:tcW w:w="534" w:type="dxa"/>
            <w:vAlign w:val="center"/>
          </w:tcPr>
          <w:p>
            <w:pPr>
              <w:spacing w:line="360" w:lineRule="exact"/>
              <w:jc w:val="center"/>
              <w:rPr>
                <w:rFonts w:ascii="宋体" w:hAnsi="宋体" w:cs="宋体"/>
                <w:color w:val="000000"/>
                <w:sz w:val="24"/>
                <w:szCs w:val="24"/>
              </w:rPr>
            </w:pPr>
            <w:r>
              <w:rPr>
                <w:rFonts w:hint="eastAsia" w:ascii="宋体" w:hAnsi="宋体" w:cs="宋体"/>
                <w:color w:val="000000"/>
                <w:sz w:val="24"/>
                <w:szCs w:val="24"/>
              </w:rPr>
              <w:t>3</w:t>
            </w:r>
          </w:p>
        </w:tc>
        <w:tc>
          <w:tcPr>
            <w:tcW w:w="1844" w:type="dxa"/>
            <w:vAlign w:val="center"/>
          </w:tcPr>
          <w:p>
            <w:pPr>
              <w:spacing w:line="360" w:lineRule="exact"/>
              <w:ind w:firstLine="120" w:firstLineChars="50"/>
              <w:jc w:val="left"/>
              <w:rPr>
                <w:rFonts w:ascii="宋体" w:hAnsi="宋体" w:cs="宋体"/>
                <w:color w:val="000000"/>
                <w:sz w:val="24"/>
                <w:szCs w:val="24"/>
              </w:rPr>
            </w:pPr>
            <w:r>
              <w:rPr>
                <w:rFonts w:hint="eastAsia" w:ascii="宋体" w:hAnsi="宋体" w:cs="宋体"/>
                <w:color w:val="000000"/>
                <w:sz w:val="24"/>
                <w:szCs w:val="24"/>
              </w:rPr>
              <w:t>技术工1</w:t>
            </w:r>
          </w:p>
        </w:tc>
        <w:tc>
          <w:tcPr>
            <w:tcW w:w="1560" w:type="dxa"/>
            <w:vAlign w:val="center"/>
          </w:tcPr>
          <w:p>
            <w:pPr>
              <w:spacing w:line="360" w:lineRule="exact"/>
              <w:jc w:val="center"/>
              <w:rPr>
                <w:rFonts w:ascii="宋体" w:hAnsi="宋体" w:cs="宋体"/>
                <w:color w:val="000000"/>
                <w:sz w:val="24"/>
                <w:szCs w:val="24"/>
              </w:rPr>
            </w:pPr>
          </w:p>
        </w:tc>
        <w:tc>
          <w:tcPr>
            <w:tcW w:w="1984" w:type="dxa"/>
            <w:vAlign w:val="center"/>
          </w:tcPr>
          <w:p>
            <w:pPr>
              <w:spacing w:line="360" w:lineRule="exact"/>
              <w:jc w:val="center"/>
              <w:rPr>
                <w:rFonts w:ascii="宋体" w:hAnsi="宋体" w:cs="宋体"/>
                <w:color w:val="000000"/>
                <w:sz w:val="24"/>
                <w:szCs w:val="24"/>
              </w:rPr>
            </w:pPr>
          </w:p>
        </w:tc>
        <w:tc>
          <w:tcPr>
            <w:tcW w:w="1985" w:type="dxa"/>
            <w:vAlign w:val="center"/>
          </w:tcPr>
          <w:p>
            <w:pPr>
              <w:spacing w:line="360" w:lineRule="exact"/>
              <w:ind w:left="240" w:hanging="240" w:hangingChars="100"/>
              <w:jc w:val="center"/>
              <w:rPr>
                <w:rFonts w:ascii="宋体" w:hAnsi="宋体" w:cs="宋体"/>
                <w:color w:val="000000"/>
                <w:sz w:val="24"/>
                <w:szCs w:val="24"/>
              </w:rPr>
            </w:pPr>
          </w:p>
        </w:tc>
        <w:tc>
          <w:tcPr>
            <w:tcW w:w="1842" w:type="dxa"/>
            <w:vAlign w:val="center"/>
          </w:tcPr>
          <w:p>
            <w:pPr>
              <w:spacing w:line="360" w:lineRule="exact"/>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8" w:hRule="atLeast"/>
        </w:trPr>
        <w:tc>
          <w:tcPr>
            <w:tcW w:w="534" w:type="dxa"/>
            <w:vAlign w:val="center"/>
          </w:tcPr>
          <w:p>
            <w:pPr>
              <w:spacing w:line="360" w:lineRule="exact"/>
              <w:jc w:val="center"/>
              <w:rPr>
                <w:rFonts w:ascii="宋体" w:hAnsi="宋体" w:cs="宋体"/>
                <w:color w:val="000000"/>
                <w:sz w:val="24"/>
                <w:szCs w:val="24"/>
              </w:rPr>
            </w:pPr>
            <w:r>
              <w:rPr>
                <w:rFonts w:hint="eastAsia" w:ascii="宋体" w:hAnsi="宋体" w:cs="宋体"/>
                <w:color w:val="000000"/>
                <w:sz w:val="24"/>
                <w:szCs w:val="24"/>
              </w:rPr>
              <w:t>4</w:t>
            </w:r>
          </w:p>
        </w:tc>
        <w:tc>
          <w:tcPr>
            <w:tcW w:w="1844" w:type="dxa"/>
            <w:vAlign w:val="center"/>
          </w:tcPr>
          <w:p>
            <w:pPr>
              <w:spacing w:line="360" w:lineRule="exact"/>
              <w:ind w:firstLine="120" w:firstLineChars="50"/>
              <w:jc w:val="left"/>
              <w:rPr>
                <w:rFonts w:ascii="宋体" w:hAnsi="宋体" w:cs="宋体"/>
                <w:color w:val="000000"/>
                <w:sz w:val="24"/>
                <w:szCs w:val="24"/>
              </w:rPr>
            </w:pPr>
            <w:r>
              <w:rPr>
                <w:rFonts w:hint="eastAsia" w:ascii="宋体" w:hAnsi="宋体" w:cs="宋体"/>
                <w:color w:val="000000"/>
                <w:sz w:val="24"/>
                <w:szCs w:val="24"/>
              </w:rPr>
              <w:t>技术工2</w:t>
            </w:r>
          </w:p>
        </w:tc>
        <w:tc>
          <w:tcPr>
            <w:tcW w:w="1560" w:type="dxa"/>
            <w:vAlign w:val="center"/>
          </w:tcPr>
          <w:p>
            <w:pPr>
              <w:spacing w:line="360" w:lineRule="exact"/>
              <w:jc w:val="center"/>
              <w:rPr>
                <w:rFonts w:ascii="宋体" w:hAnsi="宋体" w:cs="宋体"/>
                <w:color w:val="000000"/>
                <w:sz w:val="24"/>
                <w:szCs w:val="24"/>
              </w:rPr>
            </w:pPr>
          </w:p>
        </w:tc>
        <w:tc>
          <w:tcPr>
            <w:tcW w:w="1984" w:type="dxa"/>
            <w:vAlign w:val="center"/>
          </w:tcPr>
          <w:p>
            <w:pPr>
              <w:spacing w:line="360" w:lineRule="exact"/>
              <w:jc w:val="center"/>
              <w:rPr>
                <w:rFonts w:ascii="宋体" w:hAnsi="宋体" w:cs="宋体"/>
                <w:color w:val="000000"/>
                <w:sz w:val="24"/>
                <w:szCs w:val="24"/>
              </w:rPr>
            </w:pPr>
          </w:p>
        </w:tc>
        <w:tc>
          <w:tcPr>
            <w:tcW w:w="1985" w:type="dxa"/>
            <w:vAlign w:val="center"/>
          </w:tcPr>
          <w:p>
            <w:pPr>
              <w:spacing w:line="360" w:lineRule="exact"/>
              <w:ind w:left="240" w:hanging="240" w:hangingChars="100"/>
              <w:jc w:val="center"/>
              <w:rPr>
                <w:rFonts w:ascii="宋体" w:hAnsi="宋体" w:cs="宋体"/>
                <w:color w:val="000000"/>
                <w:sz w:val="24"/>
                <w:szCs w:val="24"/>
              </w:rPr>
            </w:pPr>
          </w:p>
        </w:tc>
        <w:tc>
          <w:tcPr>
            <w:tcW w:w="1842" w:type="dxa"/>
            <w:vAlign w:val="center"/>
          </w:tcPr>
          <w:p>
            <w:pPr>
              <w:spacing w:line="360" w:lineRule="exact"/>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8" w:hRule="atLeast"/>
        </w:trPr>
        <w:tc>
          <w:tcPr>
            <w:tcW w:w="534" w:type="dxa"/>
            <w:vAlign w:val="center"/>
          </w:tcPr>
          <w:p>
            <w:pPr>
              <w:spacing w:line="360" w:lineRule="exact"/>
              <w:jc w:val="center"/>
              <w:rPr>
                <w:rFonts w:ascii="宋体" w:hAnsi="宋体" w:cs="宋体"/>
                <w:color w:val="000000"/>
                <w:sz w:val="24"/>
                <w:szCs w:val="24"/>
              </w:rPr>
            </w:pPr>
            <w:r>
              <w:rPr>
                <w:rFonts w:hint="eastAsia" w:ascii="宋体" w:hAnsi="宋体" w:cs="宋体"/>
                <w:color w:val="000000"/>
                <w:sz w:val="24"/>
                <w:szCs w:val="24"/>
              </w:rPr>
              <w:t>5</w:t>
            </w:r>
          </w:p>
        </w:tc>
        <w:tc>
          <w:tcPr>
            <w:tcW w:w="1844" w:type="dxa"/>
            <w:vAlign w:val="center"/>
          </w:tcPr>
          <w:p>
            <w:pPr>
              <w:spacing w:line="360" w:lineRule="exact"/>
              <w:ind w:firstLine="120" w:firstLineChars="50"/>
              <w:jc w:val="left"/>
              <w:rPr>
                <w:rFonts w:ascii="宋体" w:hAnsi="宋体" w:cs="宋体"/>
                <w:color w:val="000000"/>
                <w:sz w:val="24"/>
                <w:szCs w:val="24"/>
              </w:rPr>
            </w:pPr>
            <w:r>
              <w:rPr>
                <w:rFonts w:hint="eastAsia" w:ascii="宋体" w:hAnsi="宋体" w:cs="宋体"/>
                <w:color w:val="000000"/>
                <w:sz w:val="24"/>
                <w:szCs w:val="24"/>
              </w:rPr>
              <w:t>技术工3</w:t>
            </w:r>
          </w:p>
        </w:tc>
        <w:tc>
          <w:tcPr>
            <w:tcW w:w="1560" w:type="dxa"/>
            <w:vAlign w:val="center"/>
          </w:tcPr>
          <w:p>
            <w:pPr>
              <w:spacing w:line="360" w:lineRule="exact"/>
              <w:jc w:val="center"/>
              <w:rPr>
                <w:rFonts w:ascii="宋体" w:hAnsi="宋体" w:cs="宋体"/>
                <w:color w:val="000000"/>
                <w:sz w:val="24"/>
                <w:szCs w:val="24"/>
              </w:rPr>
            </w:pPr>
          </w:p>
        </w:tc>
        <w:tc>
          <w:tcPr>
            <w:tcW w:w="1984" w:type="dxa"/>
            <w:vAlign w:val="center"/>
          </w:tcPr>
          <w:p>
            <w:pPr>
              <w:spacing w:line="360" w:lineRule="exact"/>
              <w:jc w:val="center"/>
              <w:rPr>
                <w:rFonts w:ascii="宋体" w:hAnsi="宋体" w:cs="宋体"/>
                <w:color w:val="000000"/>
                <w:sz w:val="24"/>
                <w:szCs w:val="24"/>
              </w:rPr>
            </w:pPr>
          </w:p>
        </w:tc>
        <w:tc>
          <w:tcPr>
            <w:tcW w:w="1985" w:type="dxa"/>
            <w:vAlign w:val="center"/>
          </w:tcPr>
          <w:p>
            <w:pPr>
              <w:spacing w:line="360" w:lineRule="exact"/>
              <w:ind w:left="240" w:hanging="240" w:hangingChars="100"/>
              <w:jc w:val="center"/>
              <w:rPr>
                <w:rFonts w:ascii="宋体" w:hAnsi="宋体" w:cs="宋体"/>
                <w:color w:val="000000"/>
                <w:sz w:val="24"/>
                <w:szCs w:val="24"/>
              </w:rPr>
            </w:pPr>
          </w:p>
        </w:tc>
        <w:tc>
          <w:tcPr>
            <w:tcW w:w="1842" w:type="dxa"/>
            <w:vAlign w:val="center"/>
          </w:tcPr>
          <w:p>
            <w:pPr>
              <w:spacing w:line="360" w:lineRule="exact"/>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8" w:hRule="atLeast"/>
        </w:trPr>
        <w:tc>
          <w:tcPr>
            <w:tcW w:w="534" w:type="dxa"/>
            <w:vAlign w:val="center"/>
          </w:tcPr>
          <w:p>
            <w:pPr>
              <w:spacing w:line="360" w:lineRule="exact"/>
              <w:jc w:val="center"/>
              <w:rPr>
                <w:rFonts w:ascii="宋体" w:hAnsi="宋体" w:cs="宋体"/>
                <w:color w:val="000000"/>
                <w:sz w:val="24"/>
                <w:szCs w:val="24"/>
              </w:rPr>
            </w:pPr>
            <w:r>
              <w:rPr>
                <w:rFonts w:hint="eastAsia" w:ascii="宋体" w:hAnsi="宋体" w:cs="宋体"/>
                <w:color w:val="000000"/>
                <w:sz w:val="24"/>
                <w:szCs w:val="24"/>
              </w:rPr>
              <w:t>6</w:t>
            </w:r>
          </w:p>
        </w:tc>
        <w:tc>
          <w:tcPr>
            <w:tcW w:w="1844" w:type="dxa"/>
            <w:vAlign w:val="center"/>
          </w:tcPr>
          <w:p>
            <w:pPr>
              <w:spacing w:line="360" w:lineRule="exact"/>
              <w:ind w:firstLine="120" w:firstLineChars="50"/>
              <w:jc w:val="left"/>
              <w:rPr>
                <w:rFonts w:ascii="宋体" w:hAnsi="宋体" w:cs="宋体"/>
                <w:color w:val="000000"/>
                <w:sz w:val="24"/>
                <w:szCs w:val="24"/>
              </w:rPr>
            </w:pPr>
            <w:r>
              <w:rPr>
                <w:rFonts w:hint="eastAsia" w:ascii="宋体" w:hAnsi="宋体" w:cs="宋体"/>
                <w:color w:val="000000"/>
                <w:sz w:val="24"/>
                <w:szCs w:val="24"/>
              </w:rPr>
              <w:t>技术工4</w:t>
            </w:r>
          </w:p>
        </w:tc>
        <w:tc>
          <w:tcPr>
            <w:tcW w:w="1560" w:type="dxa"/>
            <w:vAlign w:val="center"/>
          </w:tcPr>
          <w:p>
            <w:pPr>
              <w:spacing w:line="360" w:lineRule="exact"/>
              <w:jc w:val="center"/>
              <w:rPr>
                <w:rFonts w:ascii="宋体" w:hAnsi="宋体" w:cs="宋体"/>
                <w:color w:val="000000"/>
                <w:sz w:val="24"/>
                <w:szCs w:val="24"/>
              </w:rPr>
            </w:pPr>
          </w:p>
        </w:tc>
        <w:tc>
          <w:tcPr>
            <w:tcW w:w="1984" w:type="dxa"/>
            <w:vAlign w:val="center"/>
          </w:tcPr>
          <w:p>
            <w:pPr>
              <w:spacing w:line="360" w:lineRule="exact"/>
              <w:jc w:val="center"/>
              <w:rPr>
                <w:rFonts w:ascii="宋体" w:hAnsi="宋体" w:cs="宋体"/>
                <w:color w:val="000000"/>
                <w:sz w:val="24"/>
                <w:szCs w:val="24"/>
              </w:rPr>
            </w:pPr>
          </w:p>
        </w:tc>
        <w:tc>
          <w:tcPr>
            <w:tcW w:w="1985" w:type="dxa"/>
            <w:vAlign w:val="center"/>
          </w:tcPr>
          <w:p>
            <w:pPr>
              <w:spacing w:line="360" w:lineRule="exact"/>
              <w:ind w:left="240" w:hanging="240" w:hangingChars="100"/>
              <w:jc w:val="center"/>
              <w:rPr>
                <w:rFonts w:ascii="宋体" w:hAnsi="宋体" w:cs="宋体"/>
                <w:color w:val="000000"/>
                <w:sz w:val="24"/>
                <w:szCs w:val="24"/>
              </w:rPr>
            </w:pPr>
          </w:p>
        </w:tc>
        <w:tc>
          <w:tcPr>
            <w:tcW w:w="1842" w:type="dxa"/>
            <w:vAlign w:val="center"/>
          </w:tcPr>
          <w:p>
            <w:pPr>
              <w:spacing w:line="360" w:lineRule="exact"/>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8" w:hRule="atLeast"/>
        </w:trPr>
        <w:tc>
          <w:tcPr>
            <w:tcW w:w="534" w:type="dxa"/>
            <w:vAlign w:val="center"/>
          </w:tcPr>
          <w:p>
            <w:pPr>
              <w:spacing w:line="360" w:lineRule="exact"/>
              <w:jc w:val="center"/>
              <w:rPr>
                <w:rFonts w:ascii="宋体" w:hAnsi="宋体" w:cs="宋体"/>
                <w:color w:val="000000"/>
                <w:sz w:val="24"/>
                <w:szCs w:val="24"/>
              </w:rPr>
            </w:pPr>
            <w:r>
              <w:rPr>
                <w:rFonts w:hint="eastAsia" w:ascii="宋体" w:hAnsi="宋体" w:cs="宋体"/>
                <w:color w:val="000000"/>
                <w:sz w:val="24"/>
                <w:szCs w:val="24"/>
              </w:rPr>
              <w:t>7</w:t>
            </w:r>
          </w:p>
        </w:tc>
        <w:tc>
          <w:tcPr>
            <w:tcW w:w="1844" w:type="dxa"/>
            <w:vAlign w:val="center"/>
          </w:tcPr>
          <w:p>
            <w:pPr>
              <w:spacing w:line="360" w:lineRule="exact"/>
              <w:ind w:firstLine="120" w:firstLineChars="50"/>
              <w:jc w:val="left"/>
              <w:rPr>
                <w:rFonts w:ascii="宋体" w:hAnsi="宋体" w:cs="宋体"/>
                <w:color w:val="000000"/>
                <w:sz w:val="24"/>
                <w:szCs w:val="24"/>
              </w:rPr>
            </w:pPr>
            <w:r>
              <w:rPr>
                <w:rFonts w:hint="eastAsia" w:ascii="宋体" w:hAnsi="宋体" w:cs="宋体"/>
                <w:color w:val="000000"/>
                <w:sz w:val="24"/>
                <w:szCs w:val="24"/>
              </w:rPr>
              <w:t>技术工5</w:t>
            </w:r>
          </w:p>
        </w:tc>
        <w:tc>
          <w:tcPr>
            <w:tcW w:w="1560" w:type="dxa"/>
            <w:vAlign w:val="center"/>
          </w:tcPr>
          <w:p>
            <w:pPr>
              <w:spacing w:line="360" w:lineRule="exact"/>
              <w:jc w:val="center"/>
              <w:rPr>
                <w:rFonts w:ascii="宋体" w:hAnsi="宋体" w:cs="宋体"/>
                <w:color w:val="000000"/>
                <w:sz w:val="24"/>
                <w:szCs w:val="24"/>
              </w:rPr>
            </w:pPr>
          </w:p>
        </w:tc>
        <w:tc>
          <w:tcPr>
            <w:tcW w:w="1984" w:type="dxa"/>
            <w:vAlign w:val="center"/>
          </w:tcPr>
          <w:p>
            <w:pPr>
              <w:spacing w:line="360" w:lineRule="exact"/>
              <w:jc w:val="center"/>
              <w:rPr>
                <w:rFonts w:ascii="宋体" w:hAnsi="宋体" w:cs="宋体"/>
                <w:color w:val="000000"/>
                <w:sz w:val="24"/>
                <w:szCs w:val="24"/>
              </w:rPr>
            </w:pPr>
          </w:p>
        </w:tc>
        <w:tc>
          <w:tcPr>
            <w:tcW w:w="1985" w:type="dxa"/>
            <w:vAlign w:val="center"/>
          </w:tcPr>
          <w:p>
            <w:pPr>
              <w:spacing w:line="360" w:lineRule="exact"/>
              <w:ind w:left="240" w:hanging="240" w:hangingChars="100"/>
              <w:jc w:val="center"/>
              <w:rPr>
                <w:rFonts w:ascii="宋体" w:hAnsi="宋体" w:cs="宋体"/>
                <w:color w:val="000000"/>
                <w:sz w:val="24"/>
                <w:szCs w:val="24"/>
              </w:rPr>
            </w:pPr>
          </w:p>
        </w:tc>
        <w:tc>
          <w:tcPr>
            <w:tcW w:w="1842" w:type="dxa"/>
            <w:vAlign w:val="center"/>
          </w:tcPr>
          <w:p>
            <w:pPr>
              <w:spacing w:line="360" w:lineRule="exact"/>
              <w:jc w:val="center"/>
              <w:rPr>
                <w:rFonts w:ascii="宋体" w:hAnsi="宋体" w:cs="宋体"/>
                <w:color w:val="000000"/>
                <w:sz w:val="24"/>
                <w:szCs w:val="24"/>
              </w:rPr>
            </w:pPr>
          </w:p>
        </w:tc>
      </w:tr>
    </w:tbl>
    <w:p>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本项目合同执行中的日常工作、现场管理、质量标准、结算与支付等方面工作，均由项目负责人代表本单位全面负责。</w:t>
      </w:r>
    </w:p>
    <w:p>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本项目合同执行中施肥、修剪、病虫害防治、防腐补洞等技术性指导工作，均由现场负责人代表本单位全面负责。</w:t>
      </w:r>
    </w:p>
    <w:p>
      <w:pPr>
        <w:spacing w:line="440" w:lineRule="exact"/>
        <w:ind w:firstLine="480" w:firstLineChars="200"/>
        <w:rPr>
          <w:rFonts w:ascii="宋体" w:hAnsi="宋体" w:cs="宋体"/>
          <w:color w:val="000000"/>
          <w:sz w:val="24"/>
          <w:szCs w:val="24"/>
        </w:rPr>
      </w:pPr>
    </w:p>
    <w:p>
      <w:pPr>
        <w:spacing w:line="440" w:lineRule="exact"/>
        <w:ind w:firstLine="480" w:firstLineChars="200"/>
        <w:rPr>
          <w:rFonts w:ascii="宋体" w:hAnsi="宋体" w:cs="宋体"/>
          <w:color w:val="000000"/>
          <w:sz w:val="24"/>
          <w:szCs w:val="24"/>
        </w:rPr>
      </w:pPr>
    </w:p>
    <w:p>
      <w:pPr>
        <w:spacing w:line="440" w:lineRule="exact"/>
        <w:ind w:firstLine="480" w:firstLineChars="200"/>
        <w:rPr>
          <w:rFonts w:ascii="宋体" w:hAnsi="宋体" w:cs="宋体"/>
          <w:color w:val="000000"/>
          <w:sz w:val="24"/>
          <w:szCs w:val="24"/>
        </w:rPr>
      </w:pPr>
    </w:p>
    <w:p>
      <w:pPr>
        <w:spacing w:line="440" w:lineRule="exact"/>
        <w:ind w:firstLine="480" w:firstLineChars="200"/>
        <w:rPr>
          <w:rFonts w:ascii="宋体" w:hAnsi="宋体" w:cs="宋体"/>
          <w:color w:val="000000"/>
          <w:sz w:val="24"/>
          <w:szCs w:val="24"/>
        </w:rPr>
      </w:pPr>
    </w:p>
    <w:p>
      <w:pPr>
        <w:spacing w:line="440" w:lineRule="exact"/>
        <w:ind w:firstLine="5060" w:firstLineChars="2100"/>
        <w:rPr>
          <w:rFonts w:ascii="宋体" w:hAnsi="宋体" w:cs="宋体"/>
          <w:b/>
          <w:color w:val="000000"/>
          <w:sz w:val="24"/>
          <w:szCs w:val="24"/>
        </w:rPr>
      </w:pPr>
      <w:r>
        <w:rPr>
          <w:rFonts w:hint="eastAsia" w:ascii="宋体" w:hAnsi="宋体" w:cs="宋体"/>
          <w:b/>
          <w:color w:val="000000"/>
          <w:sz w:val="24"/>
          <w:szCs w:val="24"/>
        </w:rPr>
        <w:t>投标单位：</w:t>
      </w:r>
      <w:r>
        <w:rPr>
          <w:rFonts w:hint="eastAsia" w:ascii="宋体" w:hAnsi="宋体" w:cs="宋体"/>
          <w:b/>
          <w:color w:val="000000"/>
          <w:sz w:val="24"/>
          <w:szCs w:val="24"/>
          <w:u w:val="single"/>
        </w:rPr>
        <w:t xml:space="preserve">    （盖章）      </w:t>
      </w:r>
    </w:p>
    <w:p>
      <w:pPr>
        <w:spacing w:line="440" w:lineRule="exact"/>
        <w:ind w:firstLine="5060" w:firstLineChars="2100"/>
        <w:rPr>
          <w:rFonts w:ascii="宋体" w:hAnsi="宋体" w:cs="宋体"/>
          <w:color w:val="000000"/>
          <w:sz w:val="24"/>
          <w:szCs w:val="24"/>
        </w:rPr>
      </w:pPr>
      <w:r>
        <w:rPr>
          <w:rFonts w:hint="eastAsia" w:ascii="宋体" w:hAnsi="宋体" w:cs="宋体"/>
          <w:b/>
          <w:color w:val="000000"/>
          <w:sz w:val="24"/>
          <w:szCs w:val="24"/>
        </w:rPr>
        <w:t>法定代表人：</w:t>
      </w:r>
      <w:r>
        <w:rPr>
          <w:rFonts w:hint="eastAsia" w:ascii="宋体" w:hAnsi="宋体" w:cs="宋体"/>
          <w:b/>
          <w:color w:val="000000"/>
          <w:sz w:val="24"/>
          <w:szCs w:val="24"/>
          <w:u w:val="single"/>
        </w:rPr>
        <w:t xml:space="preserve">  （签名或印章）  </w:t>
      </w:r>
    </w:p>
    <w:p>
      <w:pPr>
        <w:spacing w:line="440" w:lineRule="exact"/>
        <w:ind w:firstLine="5060" w:firstLineChars="2100"/>
        <w:rPr>
          <w:rFonts w:ascii="宋体" w:hAnsi="宋体" w:cs="宋体"/>
          <w:b/>
          <w:color w:val="000000"/>
          <w:sz w:val="24"/>
          <w:szCs w:val="24"/>
        </w:rPr>
      </w:pPr>
      <w:r>
        <w:rPr>
          <w:rFonts w:hint="eastAsia" w:ascii="宋体" w:hAnsi="宋体" w:cs="宋体"/>
          <w:b/>
          <w:color w:val="000000"/>
          <w:sz w:val="24"/>
          <w:szCs w:val="24"/>
        </w:rPr>
        <w:t>日  期：     年   月  日</w:t>
      </w:r>
    </w:p>
    <w:p>
      <w:pPr>
        <w:spacing w:line="440" w:lineRule="exact"/>
        <w:ind w:firstLine="5060" w:firstLineChars="2100"/>
        <w:rPr>
          <w:rFonts w:ascii="宋体" w:hAnsi="宋体" w:cs="宋体"/>
          <w:b/>
          <w:color w:val="000000"/>
          <w:sz w:val="24"/>
          <w:szCs w:val="24"/>
        </w:rPr>
      </w:pPr>
    </w:p>
    <w:p>
      <w:pPr>
        <w:tabs>
          <w:tab w:val="left" w:pos="2020"/>
          <w:tab w:val="center" w:pos="4535"/>
        </w:tabs>
        <w:spacing w:line="500" w:lineRule="exact"/>
        <w:ind w:firstLine="280" w:firstLineChars="100"/>
        <w:outlineLvl w:val="0"/>
        <w:rPr>
          <w:rFonts w:ascii="宋体" w:hAnsi="宋体" w:cs="宋体"/>
          <w:bCs/>
          <w:color w:val="000000"/>
          <w:sz w:val="28"/>
          <w:szCs w:val="24"/>
        </w:rPr>
      </w:pPr>
    </w:p>
    <w:p>
      <w:pPr>
        <w:tabs>
          <w:tab w:val="left" w:pos="2020"/>
          <w:tab w:val="center" w:pos="4535"/>
        </w:tabs>
        <w:spacing w:line="500" w:lineRule="exact"/>
        <w:ind w:firstLine="280" w:firstLineChars="100"/>
        <w:outlineLvl w:val="0"/>
        <w:rPr>
          <w:rFonts w:ascii="宋体" w:hAnsi="宋体" w:cs="宋体"/>
          <w:bCs/>
          <w:color w:val="000000"/>
          <w:sz w:val="28"/>
          <w:szCs w:val="24"/>
        </w:rPr>
      </w:pPr>
    </w:p>
    <w:p>
      <w:pPr>
        <w:spacing w:line="360" w:lineRule="auto"/>
        <w:rPr>
          <w:rFonts w:ascii="宋体" w:hAnsi="宋体" w:cs="宋体"/>
          <w:color w:val="000000"/>
          <w:sz w:val="24"/>
          <w:szCs w:val="24"/>
        </w:rPr>
      </w:pPr>
      <w:r>
        <w:rPr>
          <w:rFonts w:hint="eastAsia" w:ascii="宋体" w:hAnsi="宋体" w:cs="宋体"/>
          <w:color w:val="000000"/>
          <w:sz w:val="24"/>
          <w:szCs w:val="24"/>
        </w:rPr>
        <w:t>备注：必须将上述人员的</w:t>
      </w:r>
      <w:r>
        <w:rPr>
          <w:rFonts w:hint="eastAsia" w:ascii="宋体" w:hAnsi="宋体" w:cs="宋体"/>
          <w:color w:val="000000"/>
          <w:sz w:val="24"/>
          <w:szCs w:val="24"/>
          <w:u w:val="single"/>
        </w:rPr>
        <w:t>身份证、企业聘用合同、社保部门出具的近期</w:t>
      </w:r>
      <w:r>
        <w:rPr>
          <w:rFonts w:hint="eastAsia" w:ascii="宋体" w:hAnsi="宋体" w:cs="宋体"/>
          <w:b/>
          <w:color w:val="0000FF"/>
          <w:sz w:val="24"/>
          <w:szCs w:val="24"/>
          <w:u w:val="single"/>
        </w:rPr>
        <w:t>（2025年9月份）</w:t>
      </w:r>
      <w:r>
        <w:rPr>
          <w:rFonts w:hint="eastAsia" w:ascii="宋体" w:hAnsi="宋体" w:cs="宋体"/>
          <w:color w:val="000000"/>
          <w:sz w:val="24"/>
          <w:szCs w:val="24"/>
          <w:u w:val="single"/>
        </w:rPr>
        <w:t xml:space="preserve">社保缴纳记录、职称（资格）（学历）、技术工绿化养护作业五年以上从业经历 </w:t>
      </w:r>
      <w:r>
        <w:rPr>
          <w:rFonts w:hint="eastAsia" w:ascii="宋体" w:hAnsi="宋体" w:cs="宋体"/>
          <w:color w:val="000000"/>
          <w:sz w:val="24"/>
          <w:szCs w:val="24"/>
        </w:rPr>
        <w:t>等相关证明材料按招标文件要求提供。</w:t>
      </w:r>
    </w:p>
    <w:p>
      <w:pPr>
        <w:widowControl/>
        <w:jc w:val="left"/>
        <w:rPr>
          <w:rFonts w:ascii="宋体" w:hAnsi="宋体" w:cs="宋体"/>
          <w:color w:val="000000"/>
          <w:sz w:val="24"/>
          <w:szCs w:val="24"/>
        </w:rPr>
      </w:pPr>
      <w:r>
        <w:rPr>
          <w:rFonts w:hint="eastAsia" w:ascii="宋体" w:hAnsi="宋体" w:cs="宋体"/>
          <w:color w:val="000000"/>
          <w:sz w:val="24"/>
          <w:szCs w:val="24"/>
        </w:rPr>
        <w:br w:type="page"/>
      </w:r>
    </w:p>
    <w:bookmarkEnd w:id="148"/>
    <w:bookmarkEnd w:id="149"/>
    <w:bookmarkEnd w:id="150"/>
    <w:bookmarkEnd w:id="151"/>
    <w:bookmarkEnd w:id="152"/>
    <w:bookmarkEnd w:id="153"/>
    <w:p>
      <w:pPr>
        <w:widowControl/>
        <w:spacing w:line="520" w:lineRule="exact"/>
        <w:ind w:firstLine="422" w:firstLineChars="150"/>
        <w:contextualSpacing/>
        <w:jc w:val="left"/>
        <w:rPr>
          <w:rFonts w:ascii="宋体" w:hAnsi="宋体" w:cs="宋体"/>
          <w:b/>
          <w:color w:val="0000FF"/>
          <w:sz w:val="28"/>
          <w:szCs w:val="28"/>
        </w:rPr>
      </w:pPr>
      <w:r>
        <w:rPr>
          <w:rFonts w:hint="eastAsia" w:ascii="宋体" w:hAnsi="宋体" w:cs="宋体"/>
          <w:b/>
          <w:color w:val="0000FF"/>
          <w:sz w:val="28"/>
          <w:szCs w:val="28"/>
        </w:rPr>
        <w:t>七、项目负责人或现场负责人近五年内业绩（2分）</w:t>
      </w:r>
    </w:p>
    <w:p>
      <w:pPr>
        <w:spacing w:after="360" w:line="520" w:lineRule="exact"/>
        <w:ind w:firstLine="480" w:firstLineChars="200"/>
        <w:rPr>
          <w:rFonts w:ascii="宋体" w:hAnsi="宋体" w:cs="宋体"/>
          <w:color w:val="0000FF"/>
          <w:sz w:val="24"/>
          <w:szCs w:val="24"/>
        </w:rPr>
      </w:pPr>
      <w:r>
        <w:rPr>
          <w:rFonts w:hint="eastAsia" w:ascii="宋体" w:hAnsi="宋体" w:cs="宋体"/>
          <w:color w:val="0000FF"/>
          <w:sz w:val="24"/>
          <w:szCs w:val="24"/>
        </w:rPr>
        <w:t>本项目拟派项目负责人或现场负责人近五年内（2020-2024年）被南通市园林绿化管理处评为“绿化管护优秀项目负责人（现场负责人）”的，每有1次得0.5分，不超过2分。</w:t>
      </w:r>
    </w:p>
    <w:p>
      <w:pPr>
        <w:pStyle w:val="2"/>
        <w:ind w:left="63" w:right="63"/>
      </w:pPr>
    </w:p>
    <w:p/>
    <w:p/>
    <w:p/>
    <w:p/>
    <w:p/>
    <w:p/>
    <w:p/>
    <w:p/>
    <w:p/>
    <w:p/>
    <w:p/>
    <w:p/>
    <w:p/>
    <w:p/>
    <w:p/>
    <w:p/>
    <w:p>
      <w:pPr>
        <w:spacing w:after="360" w:line="520" w:lineRule="exact"/>
        <w:ind w:firstLine="562" w:firstLineChars="200"/>
        <w:rPr>
          <w:rFonts w:ascii="宋体" w:hAnsi="宋体" w:cs="宋体"/>
          <w:color w:val="0000FF"/>
          <w:sz w:val="24"/>
          <w:szCs w:val="24"/>
        </w:rPr>
      </w:pPr>
      <w:r>
        <w:rPr>
          <w:rFonts w:hint="eastAsia" w:ascii="宋体" w:hAnsi="宋体" w:cs="宋体"/>
          <w:b/>
          <w:color w:val="0000FF"/>
          <w:sz w:val="28"/>
          <w:szCs w:val="28"/>
        </w:rPr>
        <w:t>九、项目负责人或现场负责人现场答辩（2分）</w:t>
      </w:r>
    </w:p>
    <w:p>
      <w:pPr>
        <w:spacing w:after="360" w:line="520" w:lineRule="exact"/>
        <w:ind w:firstLine="480" w:firstLineChars="200"/>
        <w:rPr>
          <w:rFonts w:ascii="宋体" w:hAnsi="宋体" w:cs="宋体"/>
          <w:color w:val="0000FF"/>
          <w:sz w:val="24"/>
          <w:szCs w:val="24"/>
        </w:rPr>
      </w:pPr>
      <w:r>
        <w:rPr>
          <w:rFonts w:hint="eastAsia" w:ascii="宋体" w:hAnsi="宋体" w:cs="宋体"/>
          <w:color w:val="0000FF"/>
          <w:sz w:val="24"/>
          <w:szCs w:val="24"/>
        </w:rPr>
        <w:t>由评标委员会根据行政中心附属绿地的特殊性现场出题，项目负责人或现场负责人现场书面答辩（项目负责人必须认真踏勘现场）。</w:t>
      </w:r>
    </w:p>
    <w:p>
      <w:pPr>
        <w:spacing w:after="360" w:line="520" w:lineRule="exact"/>
        <w:ind w:firstLine="480" w:firstLineChars="200"/>
        <w:rPr>
          <w:rFonts w:ascii="宋体" w:hAnsi="宋体" w:cs="宋体"/>
          <w:color w:val="0000FF"/>
          <w:sz w:val="24"/>
          <w:szCs w:val="24"/>
        </w:rPr>
      </w:pPr>
      <w:r>
        <w:rPr>
          <w:rFonts w:hint="eastAsia" w:ascii="宋体" w:hAnsi="宋体" w:cs="宋体"/>
          <w:color w:val="0000FF"/>
          <w:sz w:val="24"/>
          <w:szCs w:val="24"/>
        </w:rPr>
        <w:t>所有评委评分中去掉一个最高和最低评分后的平均值为最终得分。</w:t>
      </w:r>
    </w:p>
    <w:p>
      <w:pPr>
        <w:spacing w:after="360" w:line="520" w:lineRule="exact"/>
        <w:ind w:firstLine="480" w:firstLineChars="200"/>
        <w:rPr>
          <w:rFonts w:ascii="宋体" w:hAnsi="宋体" w:cs="宋体"/>
          <w:color w:val="0000FF"/>
          <w:sz w:val="24"/>
          <w:szCs w:val="24"/>
        </w:rPr>
      </w:pPr>
      <w:r>
        <w:rPr>
          <w:rFonts w:hint="eastAsia" w:ascii="宋体" w:hAnsi="宋体" w:cs="宋体"/>
          <w:color w:val="0000FF"/>
          <w:sz w:val="24"/>
          <w:szCs w:val="24"/>
        </w:rPr>
        <w:t>好的得1.6-2.0分，较好的得1.1-1.5分，一般的得0.6-1.0分，没有或差的得0.0-0.5分。</w:t>
      </w:r>
    </w:p>
    <w:p>
      <w:pPr>
        <w:spacing w:after="360" w:line="520" w:lineRule="exact"/>
        <w:ind w:firstLine="480" w:firstLineChars="200"/>
        <w:rPr>
          <w:rFonts w:ascii="宋体" w:hAnsi="宋体" w:cs="宋体"/>
          <w:color w:val="0000FF"/>
          <w:sz w:val="24"/>
          <w:szCs w:val="24"/>
        </w:rPr>
      </w:pPr>
    </w:p>
    <w:p>
      <w:pPr>
        <w:spacing w:after="360" w:line="520" w:lineRule="exact"/>
        <w:ind w:firstLine="480" w:firstLineChars="200"/>
        <w:rPr>
          <w:rFonts w:ascii="宋体" w:hAnsi="宋体" w:cs="宋体"/>
          <w:color w:val="0000FF"/>
          <w:sz w:val="24"/>
          <w:szCs w:val="24"/>
        </w:rPr>
      </w:pPr>
    </w:p>
    <w:p/>
    <w:p>
      <w:pPr>
        <w:spacing w:after="360" w:line="440" w:lineRule="exact"/>
        <w:ind w:firstLine="482" w:firstLineChars="200"/>
        <w:rPr>
          <w:rFonts w:ascii="宋体" w:hAnsi="宋体" w:cs="宋体"/>
          <w:b/>
          <w:color w:val="000000"/>
          <w:sz w:val="24"/>
          <w:szCs w:val="24"/>
        </w:rPr>
      </w:pPr>
    </w:p>
    <w:p>
      <w:pPr>
        <w:spacing w:after="360" w:line="320" w:lineRule="exact"/>
        <w:ind w:firstLine="482" w:firstLineChars="200"/>
        <w:rPr>
          <w:rFonts w:ascii="宋体" w:hAnsi="宋体" w:cs="宋体"/>
          <w:b/>
          <w:color w:val="000000"/>
          <w:sz w:val="24"/>
          <w:szCs w:val="24"/>
        </w:rPr>
      </w:pPr>
      <w:r>
        <w:rPr>
          <w:rFonts w:hint="eastAsia" w:ascii="宋体" w:hAnsi="宋体" w:cs="宋体"/>
          <w:b/>
          <w:color w:val="000000"/>
          <w:sz w:val="24"/>
          <w:szCs w:val="24"/>
        </w:rPr>
        <w:t>八、承包期内管护方案（暗标）</w:t>
      </w:r>
    </w:p>
    <w:p>
      <w:pPr>
        <w:spacing w:after="360" w:line="320" w:lineRule="exact"/>
        <w:ind w:firstLine="480" w:firstLineChars="200"/>
        <w:rPr>
          <w:rFonts w:ascii="宋体" w:hAnsi="宋体" w:cs="宋体"/>
          <w:color w:val="000000"/>
          <w:sz w:val="24"/>
          <w:szCs w:val="24"/>
        </w:rPr>
      </w:pPr>
      <w:r>
        <w:rPr>
          <w:rFonts w:hint="eastAsia" w:ascii="宋体" w:hAnsi="宋体" w:cs="宋体"/>
          <w:color w:val="000000"/>
          <w:sz w:val="24"/>
          <w:szCs w:val="24"/>
        </w:rPr>
        <w:t xml:space="preserve">共8分（必须简明扼要，不得超过10页纸。如超过或针对性差、不切实际的，得分为一般或差） </w:t>
      </w:r>
    </w:p>
    <w:p>
      <w:pPr>
        <w:spacing w:after="360" w:line="320" w:lineRule="exact"/>
        <w:ind w:firstLine="480" w:firstLineChars="200"/>
        <w:rPr>
          <w:rFonts w:ascii="宋体" w:hAnsi="宋体" w:cs="宋体"/>
          <w:color w:val="000000"/>
          <w:sz w:val="24"/>
          <w:szCs w:val="24"/>
        </w:rPr>
      </w:pPr>
      <w:r>
        <w:rPr>
          <w:rFonts w:hint="eastAsia" w:ascii="宋体" w:hAnsi="宋体" w:cs="宋体"/>
          <w:color w:val="000000"/>
          <w:sz w:val="24"/>
          <w:szCs w:val="24"/>
        </w:rPr>
        <w:t>所有评委评分中去掉一个最高和最低评分后的平均值为最终得分。</w:t>
      </w:r>
    </w:p>
    <w:p>
      <w:pPr>
        <w:spacing w:after="360" w:line="320" w:lineRule="exact"/>
        <w:ind w:firstLine="480" w:firstLineChars="200"/>
        <w:rPr>
          <w:rFonts w:ascii="宋体" w:hAnsi="宋体" w:cs="宋体"/>
          <w:color w:val="000000"/>
          <w:sz w:val="24"/>
          <w:szCs w:val="24"/>
        </w:rPr>
      </w:pPr>
      <w:r>
        <w:rPr>
          <w:rFonts w:hint="eastAsia" w:ascii="宋体" w:hAnsi="宋体" w:cs="宋体"/>
          <w:color w:val="000000"/>
          <w:sz w:val="24"/>
          <w:szCs w:val="24"/>
        </w:rPr>
        <w:t>针对行政中心附属绿地的特殊性，编制有针对性的养护作业方案。至少包含但不仅限于：有完善的组织管理体系；有针对养护质量和作业时间特殊要求的工作措施；有科学合理的质量、安全、文明管护方案；有关键性环节、重点难点分析、解决方法。</w:t>
      </w:r>
    </w:p>
    <w:p>
      <w:pPr>
        <w:widowControl/>
        <w:spacing w:line="320" w:lineRule="exact"/>
        <w:ind w:firstLine="480" w:firstLineChars="200"/>
        <w:jc w:val="left"/>
        <w:rPr>
          <w:rFonts w:ascii="宋体" w:hAnsi="宋体" w:cs="宋体"/>
          <w:color w:val="000000"/>
          <w:sz w:val="24"/>
          <w:szCs w:val="24"/>
        </w:rPr>
      </w:pPr>
      <w:r>
        <w:rPr>
          <w:rFonts w:hint="eastAsia" w:ascii="宋体" w:hAnsi="宋体" w:cs="宋体"/>
          <w:color w:val="000000"/>
          <w:sz w:val="24"/>
          <w:szCs w:val="24"/>
        </w:rPr>
        <w:t xml:space="preserve">①完善的组织管理体系（2分）。                            </w:t>
      </w:r>
      <w:r>
        <w:rPr>
          <w:rFonts w:hint="eastAsia" w:ascii="宋体" w:hAnsi="宋体" w:cs="宋体"/>
          <w:b/>
          <w:color w:val="FF0000"/>
          <w:sz w:val="24"/>
          <w:szCs w:val="24"/>
        </w:rPr>
        <w:t xml:space="preserve">    </w:t>
      </w:r>
    </w:p>
    <w:p>
      <w:pPr>
        <w:widowControl/>
        <w:spacing w:line="320" w:lineRule="exact"/>
        <w:ind w:firstLine="480" w:firstLineChars="200"/>
        <w:jc w:val="left"/>
        <w:rPr>
          <w:rFonts w:ascii="宋体" w:hAnsi="宋体" w:cs="宋体"/>
          <w:color w:val="000000"/>
          <w:sz w:val="24"/>
          <w:szCs w:val="24"/>
        </w:rPr>
      </w:pPr>
      <w:r>
        <w:rPr>
          <w:rFonts w:hint="eastAsia" w:ascii="宋体" w:hAnsi="宋体" w:cs="宋体"/>
          <w:color w:val="000000"/>
          <w:sz w:val="24"/>
          <w:szCs w:val="24"/>
        </w:rPr>
        <w:t>组织管理体系齐全，岗位职责明确到各工种、各季节、各成员。</w:t>
      </w:r>
    </w:p>
    <w:p>
      <w:pPr>
        <w:widowControl/>
        <w:spacing w:line="320" w:lineRule="exact"/>
        <w:ind w:firstLine="480" w:firstLineChars="200"/>
        <w:jc w:val="left"/>
        <w:rPr>
          <w:rFonts w:ascii="宋体" w:hAnsi="宋体" w:cs="宋体"/>
          <w:color w:val="000000"/>
          <w:sz w:val="24"/>
          <w:szCs w:val="24"/>
        </w:rPr>
      </w:pPr>
      <w:r>
        <w:rPr>
          <w:rFonts w:hint="eastAsia" w:ascii="宋体" w:hAnsi="宋体" w:cs="宋体"/>
          <w:color w:val="000000"/>
          <w:sz w:val="24"/>
          <w:szCs w:val="24"/>
        </w:rPr>
        <w:t>好的得1.6-2.0分、较好的得1.1-1.5分、一般的得0.6-1.0分、没有或差的得0.0-0.5分。</w:t>
      </w:r>
    </w:p>
    <w:p>
      <w:pPr>
        <w:pStyle w:val="2"/>
        <w:spacing w:line="320" w:lineRule="exact"/>
        <w:ind w:left="63" w:right="63"/>
      </w:pPr>
    </w:p>
    <w:p>
      <w:pPr>
        <w:widowControl/>
        <w:spacing w:line="320" w:lineRule="exact"/>
        <w:ind w:firstLine="480" w:firstLineChars="200"/>
        <w:jc w:val="left"/>
        <w:rPr>
          <w:rFonts w:ascii="宋体" w:hAnsi="宋体" w:cs="宋体"/>
          <w:color w:val="000000"/>
          <w:sz w:val="24"/>
          <w:szCs w:val="24"/>
        </w:rPr>
      </w:pPr>
      <w:r>
        <w:rPr>
          <w:rFonts w:hint="eastAsia" w:ascii="宋体" w:hAnsi="宋体" w:cs="宋体"/>
          <w:color w:val="000000"/>
          <w:sz w:val="24"/>
          <w:szCs w:val="24"/>
        </w:rPr>
        <w:t xml:space="preserve">②针对政府大院附属绿地的特殊性，制定包括养护质量、作业时间安排、安全文明措施等个性化的管养方案（3分）。                            </w:t>
      </w:r>
    </w:p>
    <w:p>
      <w:pPr>
        <w:widowControl/>
        <w:spacing w:line="320" w:lineRule="exact"/>
        <w:ind w:firstLine="480" w:firstLineChars="200"/>
        <w:jc w:val="left"/>
        <w:rPr>
          <w:rFonts w:ascii="宋体" w:hAnsi="宋体" w:cs="宋体"/>
          <w:color w:val="000000"/>
          <w:sz w:val="24"/>
          <w:szCs w:val="24"/>
        </w:rPr>
      </w:pPr>
      <w:r>
        <w:rPr>
          <w:rFonts w:hint="eastAsia" w:ascii="宋体" w:hAnsi="宋体" w:cs="宋体"/>
          <w:color w:val="000000"/>
          <w:sz w:val="24"/>
          <w:szCs w:val="24"/>
        </w:rPr>
        <w:t>方案科学合理，针对性及操作性强。</w:t>
      </w:r>
    </w:p>
    <w:p>
      <w:pPr>
        <w:widowControl/>
        <w:spacing w:line="320" w:lineRule="exact"/>
        <w:ind w:firstLine="480" w:firstLineChars="200"/>
        <w:jc w:val="left"/>
        <w:rPr>
          <w:rFonts w:ascii="宋体" w:hAnsi="宋体" w:cs="宋体"/>
          <w:color w:val="000000"/>
          <w:sz w:val="24"/>
          <w:szCs w:val="24"/>
        </w:rPr>
      </w:pPr>
      <w:r>
        <w:rPr>
          <w:rFonts w:hint="eastAsia" w:ascii="宋体" w:hAnsi="宋体" w:cs="宋体"/>
          <w:color w:val="000000"/>
          <w:sz w:val="24"/>
          <w:szCs w:val="24"/>
        </w:rPr>
        <w:t>好的得2.6-3.0分、较好的得2.1-2.5分、一般的得1.1-2.0分；没有或差得0.0-1.0分。</w:t>
      </w:r>
    </w:p>
    <w:p>
      <w:pPr>
        <w:pStyle w:val="2"/>
        <w:spacing w:line="320" w:lineRule="exact"/>
        <w:ind w:left="63" w:right="63"/>
      </w:pPr>
    </w:p>
    <w:p>
      <w:pPr>
        <w:widowControl/>
        <w:spacing w:line="320" w:lineRule="exact"/>
        <w:ind w:firstLine="480" w:firstLineChars="200"/>
        <w:jc w:val="left"/>
        <w:rPr>
          <w:rFonts w:ascii="宋体" w:hAnsi="宋体" w:cs="宋体"/>
          <w:color w:val="000000"/>
          <w:sz w:val="24"/>
          <w:szCs w:val="24"/>
        </w:rPr>
      </w:pPr>
      <w:r>
        <w:rPr>
          <w:rFonts w:hint="eastAsia" w:ascii="宋体" w:hAnsi="宋体" w:cs="宋体"/>
          <w:color w:val="000000"/>
          <w:sz w:val="24"/>
          <w:szCs w:val="24"/>
        </w:rPr>
        <w:t>③养护过程中关键性环节、重点难点分析、解决方法（3分）。</w:t>
      </w:r>
    </w:p>
    <w:p>
      <w:pPr>
        <w:widowControl/>
        <w:spacing w:line="320" w:lineRule="exact"/>
        <w:ind w:firstLine="480" w:firstLineChars="200"/>
        <w:jc w:val="left"/>
        <w:rPr>
          <w:rFonts w:ascii="宋体" w:hAnsi="宋体" w:cs="宋体"/>
          <w:color w:val="000000"/>
          <w:sz w:val="24"/>
          <w:szCs w:val="24"/>
        </w:rPr>
      </w:pPr>
      <w:r>
        <w:rPr>
          <w:rFonts w:hint="eastAsia" w:ascii="宋体" w:hAnsi="宋体" w:cs="宋体"/>
          <w:color w:val="000000"/>
          <w:sz w:val="24"/>
          <w:szCs w:val="24"/>
        </w:rPr>
        <w:t>好的得3.1-4.0分、较好的得2.1-3.0分、一般的得1.1-2.0分；没有或差得0.0-1.0分。</w:t>
      </w:r>
    </w:p>
    <w:p>
      <w:pPr>
        <w:widowControl/>
        <w:spacing w:line="320" w:lineRule="exact"/>
        <w:ind w:firstLine="480" w:firstLineChars="200"/>
        <w:jc w:val="left"/>
        <w:rPr>
          <w:rFonts w:ascii="宋体" w:hAnsi="宋体" w:cs="宋体"/>
          <w:color w:val="000000"/>
          <w:sz w:val="24"/>
          <w:szCs w:val="24"/>
        </w:rPr>
      </w:pPr>
    </w:p>
    <w:p>
      <w:pPr>
        <w:spacing w:after="360" w:line="320" w:lineRule="exact"/>
        <w:ind w:firstLine="480" w:firstLineChars="200"/>
        <w:rPr>
          <w:rFonts w:ascii="宋体" w:hAnsi="宋体" w:cs="宋体"/>
          <w:color w:val="000000"/>
          <w:sz w:val="24"/>
          <w:szCs w:val="24"/>
        </w:rPr>
      </w:pPr>
      <w:r>
        <w:rPr>
          <w:rFonts w:hint="eastAsia" w:ascii="宋体" w:hAnsi="宋体" w:cs="宋体"/>
          <w:color w:val="000000"/>
          <w:sz w:val="24"/>
          <w:szCs w:val="24"/>
        </w:rPr>
        <w:t>上述暗标管护方案：编制时不可以有封面，具体格式和要求如下：</w:t>
      </w:r>
    </w:p>
    <w:p>
      <w:pPr>
        <w:spacing w:line="320" w:lineRule="exact"/>
        <w:ind w:firstLine="480" w:firstLineChars="200"/>
        <w:rPr>
          <w:rFonts w:ascii="宋体" w:hAnsi="宋体" w:cs="宋体"/>
          <w:color w:val="000000"/>
          <w:sz w:val="24"/>
          <w:szCs w:val="24"/>
        </w:rPr>
      </w:pPr>
      <w:r>
        <w:rPr>
          <w:rFonts w:hint="eastAsia" w:ascii="宋体" w:hAnsi="宋体" w:cs="宋体"/>
          <w:color w:val="000000"/>
          <w:sz w:val="24"/>
          <w:szCs w:val="24"/>
        </w:rPr>
        <w:t>①正文（含标题）不得出现可识别投标人身份的任何字符和徽标（包括文字、符号、图案、边框、表格、标识、标志、人员姓名、企业名称、以往工程名称、投标人独有企业标准或编号等）</w:t>
      </w:r>
    </w:p>
    <w:p>
      <w:pPr>
        <w:spacing w:line="320" w:lineRule="exact"/>
        <w:ind w:firstLine="480" w:firstLineChars="200"/>
        <w:contextualSpacing/>
        <w:jc w:val="left"/>
        <w:rPr>
          <w:rFonts w:ascii="宋体" w:hAnsi="宋体" w:cs="宋体"/>
          <w:color w:val="000000"/>
          <w:sz w:val="24"/>
          <w:szCs w:val="24"/>
        </w:rPr>
      </w:pPr>
      <w:r>
        <w:rPr>
          <w:rFonts w:hint="eastAsia" w:ascii="宋体" w:hAnsi="宋体" w:cs="宋体"/>
          <w:color w:val="000000"/>
          <w:sz w:val="24"/>
          <w:szCs w:val="24"/>
        </w:rPr>
        <w:t>②排版要求：必须使用WORD文件形式；A4页面；正文（含标题）仿宋四号字体；行距固定值28磅；页边距（上2.5厘米，其余2.0厘米）；不得有任何加粗、斜体、下划线、边框、表格、底纹、阴影、重复序号等标记；不得出现页眉，页脚只准出现页码；必须编页码，采用阿拉伯数字格式，设在页脚对中位置，页码必须连续，不得按章或节单独编码；不得出现图片；不得出现表格；不得出现边框。（如纸质标书，须A4白色复印纸70g；单面打印，不可双面打印；黑白打印，不可彩色打印；必须左侧装订）</w:t>
      </w:r>
    </w:p>
    <w:p>
      <w:pPr>
        <w:pStyle w:val="2"/>
        <w:ind w:left="63" w:right="63"/>
      </w:pPr>
    </w:p>
    <w:p/>
    <w:p>
      <w:pPr>
        <w:pStyle w:val="2"/>
        <w:ind w:left="63" w:right="63"/>
      </w:pPr>
    </w:p>
    <w:p>
      <w:pPr>
        <w:rPr>
          <w:rFonts w:ascii="宋体" w:hAnsi="宋体" w:cs="宋体"/>
          <w:b/>
          <w:color w:val="000000"/>
          <w:sz w:val="30"/>
          <w:szCs w:val="30"/>
        </w:rPr>
      </w:pPr>
    </w:p>
    <w:p>
      <w:pPr>
        <w:spacing w:after="360" w:line="360" w:lineRule="auto"/>
        <w:jc w:val="center"/>
        <w:rPr>
          <w:rFonts w:ascii="宋体" w:hAnsi="宋体" w:cs="宋体"/>
          <w:b/>
          <w:bCs/>
          <w:color w:val="000000"/>
          <w:kern w:val="0"/>
          <w:sz w:val="32"/>
          <w:szCs w:val="32"/>
        </w:rPr>
      </w:pPr>
      <w:r>
        <w:rPr>
          <w:rFonts w:hint="eastAsia" w:ascii="宋体" w:hAnsi="宋体" w:cs="宋体"/>
          <w:b/>
          <w:bCs/>
          <w:color w:val="000000"/>
          <w:kern w:val="0"/>
          <w:sz w:val="32"/>
          <w:szCs w:val="32"/>
        </w:rPr>
        <w:t>九、投 标 函</w:t>
      </w:r>
    </w:p>
    <w:p>
      <w:pPr>
        <w:spacing w:line="360" w:lineRule="auto"/>
        <w:rPr>
          <w:rFonts w:ascii="宋体" w:hAnsi="宋体" w:cs="宋体"/>
          <w:b/>
          <w:color w:val="000000"/>
          <w:kern w:val="0"/>
          <w:sz w:val="25"/>
          <w:szCs w:val="24"/>
        </w:rPr>
      </w:pPr>
      <w:r>
        <w:rPr>
          <w:rFonts w:hint="eastAsia" w:ascii="宋体" w:hAnsi="宋体" w:cs="宋体"/>
          <w:b/>
          <w:color w:val="000000"/>
          <w:kern w:val="0"/>
          <w:sz w:val="25"/>
          <w:szCs w:val="24"/>
          <w:u w:val="single"/>
        </w:rPr>
        <w:t>南通市园林绿化管理处</w:t>
      </w:r>
      <w:r>
        <w:rPr>
          <w:rFonts w:hint="eastAsia" w:ascii="宋体" w:hAnsi="宋体" w:cs="宋体"/>
          <w:b/>
          <w:color w:val="000000"/>
          <w:kern w:val="0"/>
          <w:sz w:val="25"/>
          <w:szCs w:val="24"/>
        </w:rPr>
        <w:t>：</w:t>
      </w:r>
    </w:p>
    <w:p>
      <w:pPr>
        <w:spacing w:line="360" w:lineRule="auto"/>
        <w:ind w:firstLine="500" w:firstLineChars="200"/>
        <w:jc w:val="left"/>
        <w:rPr>
          <w:rFonts w:ascii="宋体" w:hAnsi="宋体" w:cs="宋体"/>
          <w:color w:val="000000"/>
          <w:kern w:val="0"/>
          <w:sz w:val="25"/>
          <w:szCs w:val="24"/>
        </w:rPr>
      </w:pPr>
    </w:p>
    <w:p>
      <w:pPr>
        <w:spacing w:line="360" w:lineRule="auto"/>
        <w:ind w:firstLine="500" w:firstLineChars="200"/>
        <w:jc w:val="left"/>
        <w:rPr>
          <w:rFonts w:ascii="宋体" w:hAnsi="宋体" w:cs="宋体"/>
          <w:color w:val="000000"/>
          <w:kern w:val="0"/>
          <w:sz w:val="25"/>
          <w:szCs w:val="24"/>
          <w:u w:val="single"/>
        </w:rPr>
      </w:pPr>
      <w:r>
        <w:rPr>
          <w:rFonts w:hint="eastAsia" w:ascii="宋体" w:hAnsi="宋体" w:cs="宋体"/>
          <w:color w:val="000000"/>
          <w:kern w:val="0"/>
          <w:sz w:val="25"/>
          <w:szCs w:val="24"/>
        </w:rPr>
        <w:t>(一)根据已收到的</w:t>
      </w:r>
      <w:r>
        <w:rPr>
          <w:rFonts w:hint="eastAsia" w:ascii="宋体" w:hAnsi="宋体" w:cs="宋体"/>
          <w:color w:val="000000"/>
          <w:kern w:val="0"/>
          <w:sz w:val="25"/>
          <w:szCs w:val="24"/>
          <w:u w:val="single"/>
        </w:rPr>
        <w:t xml:space="preserve">  </w:t>
      </w:r>
      <w:r>
        <w:rPr>
          <w:rFonts w:hint="eastAsia" w:ascii="宋体" w:hAnsi="宋体" w:cs="宋体"/>
          <w:color w:val="000000"/>
          <w:sz w:val="24"/>
          <w:u w:val="single"/>
        </w:rPr>
        <w:t>南通市行政中心（含信访局）附属绿地管护</w:t>
      </w:r>
      <w:r>
        <w:rPr>
          <w:rFonts w:hint="eastAsia" w:ascii="宋体" w:hAnsi="宋体" w:cs="宋体"/>
          <w:color w:val="000000"/>
          <w:kern w:val="0"/>
          <w:sz w:val="25"/>
          <w:szCs w:val="24"/>
          <w:u w:val="single"/>
        </w:rPr>
        <w:t xml:space="preserve">项目 </w:t>
      </w:r>
      <w:r>
        <w:rPr>
          <w:rFonts w:hint="eastAsia" w:ascii="宋体" w:hAnsi="宋体" w:cs="宋体"/>
          <w:color w:val="000000"/>
          <w:kern w:val="0"/>
          <w:sz w:val="25"/>
          <w:szCs w:val="24"/>
        </w:rPr>
        <w:t>的邀请招标文件，我单位将遵照《中华人民共和国招标投标法》等有关规定并根据招标文件的规定，经考察现场和研究招标文件后，愿以人民币</w:t>
      </w:r>
      <w:r>
        <w:rPr>
          <w:rFonts w:hint="eastAsia" w:ascii="宋体" w:hAnsi="宋体" w:cs="宋体"/>
          <w:color w:val="000000"/>
          <w:kern w:val="0"/>
          <w:sz w:val="25"/>
          <w:szCs w:val="24"/>
          <w:u w:val="single"/>
        </w:rPr>
        <w:t>(大写)              （小写）             （单位：万元，保留小数点后四位数）</w:t>
      </w:r>
      <w:r>
        <w:rPr>
          <w:rFonts w:hint="eastAsia" w:ascii="宋体" w:hAnsi="宋体" w:cs="宋体"/>
          <w:color w:val="000000"/>
          <w:kern w:val="0"/>
          <w:sz w:val="25"/>
          <w:szCs w:val="24"/>
        </w:rPr>
        <w:t>的总价，按招标文件要求承包本次招标范围内</w:t>
      </w:r>
      <w:r>
        <w:rPr>
          <w:rFonts w:hint="eastAsia" w:ascii="宋体" w:hAnsi="宋体" w:cs="宋体"/>
          <w:color w:val="000000"/>
          <w:kern w:val="0"/>
          <w:sz w:val="25"/>
          <w:szCs w:val="24"/>
          <w:u w:val="single"/>
        </w:rPr>
        <w:t xml:space="preserve">   </w:t>
      </w:r>
      <w:r>
        <w:rPr>
          <w:rFonts w:hint="eastAsia" w:ascii="宋体" w:hAnsi="宋体" w:cs="宋体"/>
          <w:color w:val="000000"/>
          <w:sz w:val="24"/>
          <w:u w:val="single"/>
        </w:rPr>
        <w:t xml:space="preserve">南通市世纪大道6号：世纪大道北、府东路西、府西路东、江岳路南   </w:t>
      </w:r>
      <w:r>
        <w:rPr>
          <w:rFonts w:hint="eastAsia" w:ascii="宋体" w:hAnsi="宋体" w:cs="宋体"/>
          <w:color w:val="000000"/>
          <w:kern w:val="0"/>
          <w:sz w:val="25"/>
          <w:szCs w:val="24"/>
        </w:rPr>
        <w:t>绿地管护项目。</w:t>
      </w:r>
    </w:p>
    <w:p>
      <w:pPr>
        <w:spacing w:line="360" w:lineRule="auto"/>
        <w:ind w:firstLine="500" w:firstLineChars="200"/>
        <w:rPr>
          <w:rFonts w:ascii="宋体" w:hAnsi="宋体" w:cs="宋体"/>
          <w:color w:val="000000"/>
          <w:kern w:val="0"/>
          <w:sz w:val="25"/>
          <w:szCs w:val="24"/>
        </w:rPr>
      </w:pPr>
      <w:r>
        <w:rPr>
          <w:rFonts w:hint="eastAsia" w:ascii="宋体" w:hAnsi="宋体" w:cs="宋体"/>
          <w:color w:val="000000"/>
          <w:kern w:val="0"/>
          <w:sz w:val="25"/>
          <w:szCs w:val="24"/>
        </w:rPr>
        <w:t>(二)贵单位的招标文件、中标通知书、本投标文件将构成约束双方的合同组成部分。</w:t>
      </w:r>
    </w:p>
    <w:p>
      <w:pPr>
        <w:spacing w:line="360" w:lineRule="auto"/>
        <w:ind w:firstLine="500" w:firstLineChars="200"/>
        <w:rPr>
          <w:rFonts w:ascii="宋体" w:hAnsi="宋体" w:cs="宋体"/>
          <w:color w:val="000000"/>
          <w:kern w:val="0"/>
          <w:sz w:val="25"/>
          <w:szCs w:val="24"/>
        </w:rPr>
      </w:pPr>
    </w:p>
    <w:p>
      <w:pPr>
        <w:spacing w:line="360" w:lineRule="auto"/>
        <w:ind w:firstLine="500" w:firstLineChars="200"/>
        <w:rPr>
          <w:rFonts w:ascii="宋体" w:hAnsi="宋体" w:cs="宋体"/>
          <w:color w:val="000000"/>
          <w:kern w:val="0"/>
          <w:sz w:val="25"/>
          <w:szCs w:val="24"/>
        </w:rPr>
      </w:pPr>
    </w:p>
    <w:p>
      <w:pPr>
        <w:spacing w:line="360" w:lineRule="auto"/>
        <w:ind w:firstLine="500" w:firstLineChars="200"/>
        <w:rPr>
          <w:rFonts w:ascii="宋体" w:hAnsi="宋体" w:cs="宋体"/>
          <w:color w:val="000000"/>
          <w:kern w:val="0"/>
          <w:sz w:val="25"/>
          <w:szCs w:val="24"/>
        </w:rPr>
      </w:pPr>
    </w:p>
    <w:p>
      <w:pPr>
        <w:spacing w:line="360" w:lineRule="auto"/>
        <w:rPr>
          <w:rFonts w:ascii="宋体" w:hAnsi="宋体" w:cs="宋体"/>
          <w:color w:val="000000"/>
          <w:kern w:val="0"/>
          <w:sz w:val="25"/>
          <w:szCs w:val="24"/>
        </w:rPr>
      </w:pPr>
    </w:p>
    <w:p>
      <w:pPr>
        <w:spacing w:line="360" w:lineRule="auto"/>
        <w:ind w:firstLine="3682" w:firstLineChars="1467"/>
        <w:rPr>
          <w:rFonts w:ascii="宋体" w:hAnsi="宋体" w:cs="宋体"/>
          <w:b/>
          <w:color w:val="000000"/>
          <w:kern w:val="0"/>
          <w:sz w:val="25"/>
          <w:szCs w:val="24"/>
          <w:u w:val="single"/>
        </w:rPr>
      </w:pPr>
      <w:r>
        <w:rPr>
          <w:rFonts w:hint="eastAsia" w:ascii="宋体" w:hAnsi="宋体" w:cs="宋体"/>
          <w:b/>
          <w:color w:val="000000"/>
          <w:kern w:val="0"/>
          <w:sz w:val="25"/>
          <w:szCs w:val="24"/>
        </w:rPr>
        <w:t>投标单位(盖章)：</w:t>
      </w:r>
    </w:p>
    <w:p>
      <w:pPr>
        <w:spacing w:line="360" w:lineRule="auto"/>
        <w:ind w:firstLine="422" w:firstLineChars="168"/>
        <w:rPr>
          <w:rFonts w:ascii="宋体" w:hAnsi="宋体" w:cs="宋体"/>
          <w:b/>
          <w:color w:val="000000"/>
          <w:kern w:val="0"/>
          <w:sz w:val="25"/>
          <w:szCs w:val="24"/>
        </w:rPr>
      </w:pPr>
    </w:p>
    <w:p>
      <w:pPr>
        <w:spacing w:line="360" w:lineRule="auto"/>
        <w:ind w:firstLine="3682" w:firstLineChars="1467"/>
        <w:rPr>
          <w:rFonts w:ascii="宋体" w:hAnsi="宋体" w:cs="宋体"/>
          <w:b/>
          <w:color w:val="000000"/>
          <w:kern w:val="0"/>
          <w:sz w:val="25"/>
          <w:szCs w:val="24"/>
        </w:rPr>
      </w:pPr>
      <w:r>
        <w:rPr>
          <w:rFonts w:hint="eastAsia" w:ascii="宋体" w:hAnsi="宋体" w:cs="宋体"/>
          <w:b/>
          <w:color w:val="000000"/>
          <w:kern w:val="0"/>
          <w:sz w:val="25"/>
          <w:szCs w:val="24"/>
        </w:rPr>
        <w:t>法定代表人（签名或印章）：</w:t>
      </w:r>
    </w:p>
    <w:p>
      <w:pPr>
        <w:spacing w:line="360" w:lineRule="auto"/>
        <w:ind w:firstLine="3682" w:firstLineChars="1467"/>
        <w:rPr>
          <w:rFonts w:ascii="宋体" w:hAnsi="宋体" w:cs="宋体"/>
          <w:b/>
          <w:color w:val="000000"/>
          <w:kern w:val="0"/>
          <w:sz w:val="25"/>
          <w:szCs w:val="24"/>
        </w:rPr>
      </w:pPr>
    </w:p>
    <w:p>
      <w:pPr>
        <w:spacing w:line="360" w:lineRule="auto"/>
        <w:ind w:firstLine="3682" w:firstLineChars="1467"/>
        <w:rPr>
          <w:rFonts w:ascii="宋体" w:hAnsi="宋体" w:cs="宋体"/>
          <w:b/>
          <w:color w:val="000000"/>
          <w:kern w:val="0"/>
          <w:sz w:val="25"/>
          <w:szCs w:val="24"/>
        </w:rPr>
      </w:pPr>
      <w:r>
        <w:rPr>
          <w:rFonts w:hint="eastAsia" w:ascii="宋体" w:hAnsi="宋体" w:cs="宋体"/>
          <w:b/>
          <w:color w:val="000000"/>
          <w:kern w:val="0"/>
          <w:sz w:val="25"/>
          <w:szCs w:val="24"/>
        </w:rPr>
        <w:t>或法人授权代理人（签名）：</w:t>
      </w:r>
    </w:p>
    <w:p>
      <w:pPr>
        <w:spacing w:line="360" w:lineRule="auto"/>
        <w:ind w:right="500" w:firstLine="3682" w:firstLineChars="1467"/>
        <w:rPr>
          <w:rFonts w:ascii="宋体" w:hAnsi="宋体" w:cs="宋体"/>
          <w:b/>
          <w:color w:val="000000"/>
          <w:kern w:val="0"/>
          <w:sz w:val="25"/>
          <w:szCs w:val="24"/>
        </w:rPr>
      </w:pPr>
    </w:p>
    <w:p>
      <w:pPr>
        <w:spacing w:line="360" w:lineRule="auto"/>
        <w:ind w:right="500" w:firstLine="3682" w:firstLineChars="1467"/>
        <w:rPr>
          <w:rFonts w:ascii="宋体" w:hAnsi="宋体" w:cs="宋体"/>
          <w:b/>
          <w:color w:val="000000"/>
          <w:kern w:val="0"/>
          <w:sz w:val="25"/>
          <w:szCs w:val="24"/>
        </w:rPr>
      </w:pPr>
      <w:r>
        <w:rPr>
          <w:rFonts w:hint="eastAsia" w:ascii="宋体" w:hAnsi="宋体" w:cs="宋体"/>
          <w:b/>
          <w:color w:val="000000"/>
          <w:kern w:val="0"/>
          <w:sz w:val="25"/>
          <w:szCs w:val="24"/>
        </w:rPr>
        <w:t>日期：      年    月    日</w:t>
      </w:r>
    </w:p>
    <w:p>
      <w:pPr>
        <w:spacing w:after="360" w:line="300" w:lineRule="exact"/>
        <w:jc w:val="center"/>
        <w:rPr>
          <w:rFonts w:ascii="宋体" w:hAnsi="宋体" w:cs="宋体"/>
          <w:b/>
          <w:bCs/>
          <w:color w:val="000000"/>
          <w:spacing w:val="40"/>
          <w:kern w:val="0"/>
          <w:sz w:val="32"/>
          <w:szCs w:val="32"/>
        </w:rPr>
      </w:pPr>
      <w:r>
        <w:rPr>
          <w:rFonts w:hint="eastAsia" w:ascii="宋体" w:hAnsi="宋体" w:cs="宋体"/>
          <w:b/>
          <w:bCs/>
          <w:color w:val="000000"/>
          <w:spacing w:val="40"/>
          <w:kern w:val="0"/>
          <w:sz w:val="32"/>
          <w:szCs w:val="32"/>
        </w:rPr>
        <w:t xml:space="preserve"> </w:t>
      </w:r>
    </w:p>
    <w:p>
      <w:pPr>
        <w:spacing w:after="360" w:line="300" w:lineRule="exact"/>
        <w:jc w:val="center"/>
        <w:rPr>
          <w:rFonts w:ascii="宋体" w:hAnsi="宋体" w:cs="宋体"/>
          <w:b/>
          <w:bCs/>
          <w:color w:val="000000"/>
          <w:spacing w:val="40"/>
          <w:kern w:val="0"/>
          <w:sz w:val="32"/>
          <w:szCs w:val="32"/>
        </w:rPr>
      </w:pPr>
    </w:p>
    <w:p>
      <w:pPr>
        <w:spacing w:after="360" w:line="360" w:lineRule="auto"/>
        <w:jc w:val="center"/>
        <w:rPr>
          <w:rFonts w:ascii="宋体" w:hAnsi="宋体" w:cs="宋体"/>
          <w:b/>
          <w:bCs/>
          <w:color w:val="000000"/>
          <w:kern w:val="0"/>
          <w:sz w:val="32"/>
          <w:szCs w:val="32"/>
        </w:rPr>
      </w:pPr>
    </w:p>
    <w:p>
      <w:pPr>
        <w:spacing w:after="360" w:line="360" w:lineRule="auto"/>
        <w:jc w:val="center"/>
        <w:rPr>
          <w:rFonts w:ascii="宋体" w:hAnsi="宋体" w:cs="宋体"/>
          <w:b/>
          <w:bCs/>
          <w:color w:val="000000"/>
          <w:kern w:val="0"/>
          <w:sz w:val="32"/>
          <w:szCs w:val="32"/>
        </w:rPr>
      </w:pPr>
    </w:p>
    <w:p>
      <w:pPr>
        <w:spacing w:after="360" w:line="360" w:lineRule="auto"/>
        <w:jc w:val="center"/>
        <w:rPr>
          <w:rFonts w:ascii="宋体" w:hAnsi="宋体" w:cs="宋体"/>
          <w:b/>
          <w:bCs/>
          <w:color w:val="000000"/>
          <w:kern w:val="0"/>
          <w:sz w:val="32"/>
          <w:szCs w:val="32"/>
        </w:rPr>
      </w:pPr>
      <w:r>
        <w:rPr>
          <w:rFonts w:hint="eastAsia" w:ascii="宋体" w:hAnsi="宋体" w:cs="宋体"/>
          <w:b/>
          <w:bCs/>
          <w:color w:val="000000"/>
          <w:kern w:val="0"/>
          <w:sz w:val="32"/>
          <w:szCs w:val="32"/>
        </w:rPr>
        <w:t>十、投标报价汇总表</w:t>
      </w:r>
    </w:p>
    <w:tbl>
      <w:tblPr>
        <w:tblStyle w:val="5"/>
        <w:tblW w:w="90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4394"/>
        <w:gridCol w:w="3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5" w:hRule="atLeast"/>
        </w:trPr>
        <w:tc>
          <w:tcPr>
            <w:tcW w:w="1384" w:type="dxa"/>
            <w:vAlign w:val="center"/>
          </w:tcPr>
          <w:p>
            <w:pPr>
              <w:spacing w:line="320" w:lineRule="exact"/>
              <w:jc w:val="center"/>
              <w:rPr>
                <w:rFonts w:ascii="宋体" w:hAnsi="宋体" w:cs="宋体"/>
                <w:b/>
                <w:bCs/>
                <w:color w:val="000000"/>
                <w:kern w:val="0"/>
                <w:szCs w:val="21"/>
              </w:rPr>
            </w:pPr>
            <w:r>
              <w:rPr>
                <w:rFonts w:hint="eastAsia" w:ascii="宋体" w:hAnsi="宋体" w:cs="宋体"/>
                <w:b/>
                <w:bCs/>
                <w:color w:val="000000"/>
                <w:kern w:val="0"/>
                <w:szCs w:val="21"/>
              </w:rPr>
              <w:t>序号</w:t>
            </w:r>
          </w:p>
        </w:tc>
        <w:tc>
          <w:tcPr>
            <w:tcW w:w="4394" w:type="dxa"/>
            <w:vAlign w:val="center"/>
          </w:tcPr>
          <w:p>
            <w:pPr>
              <w:spacing w:line="320" w:lineRule="exact"/>
              <w:jc w:val="center"/>
              <w:rPr>
                <w:rFonts w:ascii="宋体" w:hAnsi="宋体" w:cs="宋体"/>
                <w:b/>
                <w:bCs/>
                <w:color w:val="000000"/>
                <w:kern w:val="0"/>
                <w:szCs w:val="21"/>
              </w:rPr>
            </w:pPr>
            <w:r>
              <w:rPr>
                <w:rFonts w:hint="eastAsia" w:ascii="宋体" w:hAnsi="宋体" w:cs="宋体"/>
                <w:b/>
                <w:bCs/>
                <w:color w:val="000000"/>
                <w:kern w:val="0"/>
                <w:szCs w:val="21"/>
              </w:rPr>
              <w:t>分 项 内 容</w:t>
            </w:r>
          </w:p>
        </w:tc>
        <w:tc>
          <w:tcPr>
            <w:tcW w:w="3260" w:type="dxa"/>
            <w:vAlign w:val="center"/>
          </w:tcPr>
          <w:p>
            <w:pPr>
              <w:spacing w:line="320" w:lineRule="exact"/>
              <w:jc w:val="center"/>
              <w:rPr>
                <w:rFonts w:ascii="宋体" w:hAnsi="宋体" w:cs="宋体"/>
                <w:b/>
                <w:bCs/>
                <w:color w:val="000000"/>
                <w:kern w:val="0"/>
                <w:szCs w:val="21"/>
              </w:rPr>
            </w:pPr>
            <w:r>
              <w:rPr>
                <w:rFonts w:hint="eastAsia" w:ascii="宋体" w:hAnsi="宋体" w:cs="宋体"/>
                <w:b/>
                <w:bCs/>
                <w:color w:val="000000"/>
                <w:kern w:val="0"/>
                <w:szCs w:val="21"/>
              </w:rPr>
              <w:t>投 标 报 价（万元/年）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5" w:hRule="atLeast"/>
        </w:trPr>
        <w:tc>
          <w:tcPr>
            <w:tcW w:w="1384" w:type="dxa"/>
            <w:vAlign w:val="center"/>
          </w:tcPr>
          <w:p>
            <w:pPr>
              <w:spacing w:line="320" w:lineRule="exact"/>
              <w:jc w:val="center"/>
              <w:rPr>
                <w:rFonts w:ascii="宋体" w:hAnsi="宋体" w:cs="宋体"/>
                <w:b/>
                <w:bCs/>
                <w:color w:val="000000"/>
                <w:kern w:val="0"/>
                <w:szCs w:val="21"/>
              </w:rPr>
            </w:pPr>
            <w:r>
              <w:rPr>
                <w:rFonts w:hint="eastAsia" w:ascii="宋体" w:hAnsi="宋体" w:cs="宋体"/>
                <w:b/>
                <w:bCs/>
                <w:color w:val="000000"/>
                <w:kern w:val="0"/>
                <w:szCs w:val="21"/>
              </w:rPr>
              <w:t>第一部分</w:t>
            </w:r>
          </w:p>
        </w:tc>
        <w:tc>
          <w:tcPr>
            <w:tcW w:w="4394" w:type="dxa"/>
            <w:vAlign w:val="center"/>
          </w:tcPr>
          <w:p>
            <w:pPr>
              <w:spacing w:line="320" w:lineRule="exact"/>
              <w:jc w:val="center"/>
              <w:rPr>
                <w:rFonts w:ascii="宋体" w:hAnsi="宋体" w:cs="宋体"/>
                <w:b/>
                <w:bCs/>
                <w:color w:val="000000"/>
                <w:kern w:val="0"/>
                <w:szCs w:val="21"/>
              </w:rPr>
            </w:pPr>
            <w:r>
              <w:rPr>
                <w:rFonts w:hint="eastAsia" w:ascii="宋体" w:hAnsi="宋体" w:cs="宋体"/>
                <w:b/>
                <w:bCs/>
                <w:color w:val="000000"/>
                <w:kern w:val="0"/>
                <w:szCs w:val="21"/>
              </w:rPr>
              <w:t>管护分项</w:t>
            </w:r>
          </w:p>
        </w:tc>
        <w:tc>
          <w:tcPr>
            <w:tcW w:w="3260" w:type="dxa"/>
            <w:vAlign w:val="center"/>
          </w:tcPr>
          <w:p>
            <w:pPr>
              <w:spacing w:line="320" w:lineRule="exact"/>
              <w:jc w:val="center"/>
              <w:rPr>
                <w:rFonts w:ascii="宋体" w:hAnsi="宋体" w:cs="宋体"/>
                <w:b/>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trPr>
        <w:tc>
          <w:tcPr>
            <w:tcW w:w="1384" w:type="dxa"/>
            <w:vAlign w:val="center"/>
          </w:tcPr>
          <w:p>
            <w:pPr>
              <w:spacing w:line="320" w:lineRule="exact"/>
              <w:jc w:val="center"/>
              <w:rPr>
                <w:rFonts w:ascii="宋体" w:hAnsi="宋体" w:cs="宋体"/>
                <w:b/>
                <w:bCs/>
                <w:color w:val="000000"/>
                <w:kern w:val="0"/>
                <w:szCs w:val="21"/>
              </w:rPr>
            </w:pPr>
            <w:r>
              <w:rPr>
                <w:rFonts w:hint="eastAsia" w:ascii="宋体" w:hAnsi="宋体" w:cs="宋体"/>
                <w:b/>
                <w:bCs/>
                <w:color w:val="000000"/>
                <w:kern w:val="0"/>
                <w:szCs w:val="21"/>
              </w:rPr>
              <w:t>第二部分</w:t>
            </w:r>
          </w:p>
        </w:tc>
        <w:tc>
          <w:tcPr>
            <w:tcW w:w="4394" w:type="dxa"/>
            <w:vAlign w:val="center"/>
          </w:tcPr>
          <w:p>
            <w:pPr>
              <w:spacing w:line="320" w:lineRule="exact"/>
              <w:jc w:val="center"/>
              <w:rPr>
                <w:rFonts w:ascii="宋体" w:hAnsi="宋体" w:cs="宋体"/>
                <w:b/>
                <w:bCs/>
                <w:color w:val="000000"/>
                <w:kern w:val="0"/>
                <w:szCs w:val="21"/>
              </w:rPr>
            </w:pPr>
            <w:r>
              <w:rPr>
                <w:rFonts w:hint="eastAsia" w:ascii="宋体" w:hAnsi="宋体" w:cs="宋体"/>
                <w:b/>
                <w:bCs/>
                <w:color w:val="000000"/>
                <w:kern w:val="0"/>
                <w:szCs w:val="21"/>
              </w:rPr>
              <w:t>老绿地缺陷完善分项</w:t>
            </w:r>
          </w:p>
        </w:tc>
        <w:tc>
          <w:tcPr>
            <w:tcW w:w="3260" w:type="dxa"/>
            <w:vAlign w:val="center"/>
          </w:tcPr>
          <w:p>
            <w:pPr>
              <w:spacing w:line="320" w:lineRule="exact"/>
              <w:jc w:val="center"/>
              <w:rPr>
                <w:rFonts w:ascii="宋体" w:hAnsi="宋体" w:cs="宋体"/>
                <w:b/>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5" w:hRule="atLeast"/>
        </w:trPr>
        <w:tc>
          <w:tcPr>
            <w:tcW w:w="5778" w:type="dxa"/>
            <w:gridSpan w:val="2"/>
            <w:vAlign w:val="center"/>
          </w:tcPr>
          <w:p>
            <w:pPr>
              <w:spacing w:line="320" w:lineRule="exact"/>
              <w:ind w:firstLine="211" w:firstLineChars="100"/>
              <w:jc w:val="center"/>
              <w:rPr>
                <w:rFonts w:ascii="宋体" w:hAnsi="宋体" w:cs="宋体"/>
                <w:b/>
                <w:bCs/>
                <w:color w:val="000000"/>
                <w:kern w:val="0"/>
                <w:szCs w:val="21"/>
              </w:rPr>
            </w:pPr>
            <w:r>
              <w:rPr>
                <w:rFonts w:hint="eastAsia" w:ascii="宋体" w:hAnsi="宋体" w:cs="宋体"/>
                <w:b/>
                <w:bCs/>
                <w:color w:val="000000"/>
                <w:kern w:val="0"/>
                <w:szCs w:val="21"/>
              </w:rPr>
              <w:t>以上两个部分合计（即本标段的投标总价）</w:t>
            </w:r>
          </w:p>
        </w:tc>
        <w:tc>
          <w:tcPr>
            <w:tcW w:w="3260" w:type="dxa"/>
            <w:vAlign w:val="center"/>
          </w:tcPr>
          <w:p>
            <w:pPr>
              <w:spacing w:line="320" w:lineRule="exact"/>
              <w:jc w:val="center"/>
              <w:rPr>
                <w:rFonts w:ascii="宋体" w:hAnsi="宋体" w:cs="宋体"/>
                <w:b/>
                <w:bCs/>
                <w:color w:val="000000"/>
                <w:kern w:val="0"/>
                <w:szCs w:val="21"/>
              </w:rPr>
            </w:pPr>
          </w:p>
        </w:tc>
      </w:tr>
    </w:tbl>
    <w:p>
      <w:pPr>
        <w:spacing w:line="280" w:lineRule="exact"/>
        <w:rPr>
          <w:rFonts w:ascii="宋体" w:hAnsi="宋体" w:cs="宋体"/>
          <w:color w:val="000000"/>
          <w:szCs w:val="21"/>
        </w:rPr>
      </w:pPr>
    </w:p>
    <w:p>
      <w:pPr>
        <w:spacing w:line="280" w:lineRule="exact"/>
        <w:rPr>
          <w:rFonts w:cs="宋体" w:asciiTheme="minorEastAsia" w:hAnsiTheme="minorEastAsia" w:eastAsiaTheme="minorEastAsia"/>
          <w:b/>
          <w:color w:val="000000"/>
          <w:szCs w:val="21"/>
        </w:rPr>
      </w:pPr>
      <w:r>
        <w:rPr>
          <w:rFonts w:hint="eastAsia" w:cs="宋体" w:asciiTheme="minorEastAsia" w:hAnsiTheme="minorEastAsia" w:eastAsiaTheme="minorEastAsia"/>
          <w:b/>
          <w:color w:val="000000"/>
          <w:szCs w:val="21"/>
        </w:rPr>
        <w:t>说明：</w:t>
      </w:r>
    </w:p>
    <w:p>
      <w:pPr>
        <w:pStyle w:val="2"/>
        <w:ind w:left="63" w:right="63"/>
      </w:pPr>
    </w:p>
    <w:p>
      <w:pPr>
        <w:spacing w:line="360" w:lineRule="auto"/>
        <w:ind w:firstLine="422" w:firstLineChars="200"/>
        <w:rPr>
          <w:rFonts w:cs="宋体" w:asciiTheme="minorEastAsia" w:hAnsiTheme="minorEastAsia" w:eastAsiaTheme="minorEastAsia"/>
          <w:color w:val="000000"/>
          <w:szCs w:val="21"/>
        </w:rPr>
      </w:pPr>
      <w:r>
        <w:rPr>
          <w:rFonts w:hint="eastAsia" w:cs="宋体" w:asciiTheme="minorEastAsia" w:hAnsiTheme="minorEastAsia" w:eastAsiaTheme="minorEastAsia"/>
          <w:b/>
          <w:color w:val="000000"/>
          <w:szCs w:val="21"/>
        </w:rPr>
        <w:t>1.投标单位编制价格标时，如出现下述任一情况，该标段均按无效报价处置，不再参与评审。</w:t>
      </w:r>
      <w:r>
        <w:rPr>
          <w:rFonts w:hint="eastAsia" w:cs="宋体" w:asciiTheme="minorEastAsia" w:hAnsiTheme="minorEastAsia" w:eastAsiaTheme="minorEastAsia"/>
          <w:color w:val="0000FF"/>
          <w:szCs w:val="21"/>
        </w:rPr>
        <w:t>①投标总价超过187.6980</w:t>
      </w:r>
      <w:r>
        <w:rPr>
          <w:rFonts w:hint="eastAsia" w:cs="宋体" w:asciiTheme="minorEastAsia" w:hAnsiTheme="minorEastAsia" w:eastAsiaTheme="minorEastAsia"/>
          <w:bCs/>
          <w:color w:val="0000FF"/>
          <w:szCs w:val="21"/>
        </w:rPr>
        <w:t>万元/年</w:t>
      </w:r>
      <w:r>
        <w:rPr>
          <w:rFonts w:hint="eastAsia" w:cs="宋体" w:asciiTheme="minorEastAsia" w:hAnsiTheme="minorEastAsia" w:eastAsiaTheme="minorEastAsia"/>
          <w:color w:val="0000FF"/>
          <w:szCs w:val="21"/>
        </w:rPr>
        <w:t>的。②</w:t>
      </w:r>
      <w:r>
        <w:rPr>
          <w:rFonts w:hint="eastAsia" w:cs="宋体" w:asciiTheme="minorEastAsia" w:hAnsiTheme="minorEastAsia" w:eastAsiaTheme="minorEastAsia"/>
          <w:color w:val="0000FF"/>
          <w:kern w:val="0"/>
          <w:szCs w:val="21"/>
        </w:rPr>
        <w:t>绿地管护（含草花）超过185.0292万元/年的；绿地管护（不含草花）综合单价超过10元/㎡.年的；</w:t>
      </w:r>
      <w:r>
        <w:rPr>
          <w:rFonts w:hint="eastAsia" w:cs="宋体" w:asciiTheme="minorEastAsia" w:hAnsiTheme="minorEastAsia" w:eastAsiaTheme="minorEastAsia"/>
          <w:color w:val="0000FF"/>
          <w:szCs w:val="21"/>
        </w:rPr>
        <w:t>草花综合单价超过378元/㎡.年的。③老绿地缺陷完善超过2.6688</w:t>
      </w:r>
      <w:r>
        <w:rPr>
          <w:rFonts w:hint="eastAsia" w:cs="宋体" w:asciiTheme="minorEastAsia" w:hAnsiTheme="minorEastAsia" w:eastAsiaTheme="minorEastAsia"/>
          <w:bCs/>
          <w:color w:val="0000FF"/>
          <w:szCs w:val="21"/>
        </w:rPr>
        <w:t>万</w:t>
      </w:r>
      <w:r>
        <w:rPr>
          <w:rFonts w:hint="eastAsia" w:cs="宋体" w:asciiTheme="minorEastAsia" w:hAnsiTheme="minorEastAsia" w:eastAsiaTheme="minorEastAsia"/>
          <w:color w:val="0000FF"/>
          <w:szCs w:val="21"/>
        </w:rPr>
        <w:t>元/年的。</w:t>
      </w:r>
    </w:p>
    <w:p>
      <w:pPr>
        <w:spacing w:line="360" w:lineRule="auto"/>
        <w:ind w:firstLine="420" w:firstLineChars="200"/>
        <w:rPr>
          <w:rFonts w:cs="宋体" w:asciiTheme="minorEastAsia" w:hAnsiTheme="minorEastAsia" w:eastAsiaTheme="minorEastAsia"/>
          <w:color w:val="000000"/>
          <w:szCs w:val="21"/>
        </w:rPr>
      </w:pPr>
    </w:p>
    <w:p>
      <w:pPr>
        <w:spacing w:line="360" w:lineRule="auto"/>
        <w:ind w:firstLine="422" w:firstLineChars="200"/>
        <w:rPr>
          <w:rFonts w:cs="宋体" w:asciiTheme="minorEastAsia" w:hAnsiTheme="minorEastAsia" w:eastAsiaTheme="minorEastAsia"/>
          <w:b/>
          <w:color w:val="000000"/>
          <w:szCs w:val="21"/>
        </w:rPr>
      </w:pPr>
      <w:r>
        <w:rPr>
          <w:rFonts w:hint="eastAsia" w:cs="宋体" w:asciiTheme="minorEastAsia" w:hAnsiTheme="minorEastAsia" w:eastAsiaTheme="minorEastAsia"/>
          <w:b/>
          <w:color w:val="000000"/>
          <w:szCs w:val="21"/>
        </w:rPr>
        <w:t>2.投标单位自行踏勘现场，理性报价，投标报价内已包含但不限于下面工作内容：</w:t>
      </w:r>
    </w:p>
    <w:p>
      <w:pPr>
        <w:spacing w:line="360" w:lineRule="auto"/>
        <w:ind w:firstLine="420" w:firstLineChars="200"/>
        <w:rPr>
          <w:rFonts w:cs="宋体" w:asciiTheme="minorEastAsia" w:hAnsiTheme="minorEastAsia" w:eastAsiaTheme="minorEastAsia"/>
          <w:color w:val="0000FF"/>
          <w:szCs w:val="21"/>
        </w:rPr>
      </w:pPr>
      <w:r>
        <w:rPr>
          <w:rFonts w:hint="eastAsia" w:cs="宋体" w:asciiTheme="minorEastAsia" w:hAnsiTheme="minorEastAsia" w:eastAsiaTheme="minorEastAsia"/>
          <w:color w:val="000000" w:themeColor="text1"/>
          <w:szCs w:val="21"/>
        </w:rPr>
        <w:t>①</w:t>
      </w:r>
      <w:r>
        <w:rPr>
          <w:rFonts w:hint="eastAsia" w:asciiTheme="minorEastAsia" w:hAnsiTheme="minorEastAsia" w:eastAsiaTheme="minorEastAsia"/>
          <w:color w:val="000000" w:themeColor="text1"/>
          <w:szCs w:val="21"/>
        </w:rPr>
        <w:t>招标文件已将主要缺陷统计标出并单列分项报价。但投标单位投标前仍应自行仔细踏勘现场，绿</w:t>
      </w:r>
      <w:r>
        <w:rPr>
          <w:rFonts w:hint="eastAsia" w:asciiTheme="minorEastAsia" w:hAnsiTheme="minorEastAsia" w:eastAsiaTheme="minorEastAsia"/>
          <w:szCs w:val="21"/>
        </w:rPr>
        <w:t>地管护分项报价时，一并考虑其它未列明现场缺陷和后续养护过程中可能产生的死苗、空缺、脱脚等缺陷，以及台风等恶劣气候引起苗木缺失（气象灾害预警级别橙色及以上并且管护措施到位的除外）整改等，进场后除缺陷完善过渡期外均列入承包期内考核范围。</w:t>
      </w:r>
    </w:p>
    <w:p>
      <w:pPr>
        <w:spacing w:line="360" w:lineRule="auto"/>
        <w:ind w:firstLine="420" w:firstLineChars="200"/>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②所有园路沿线乔灌木每年的整型修剪；承包期内绿化补植及园林设施中小修；极端气候树木倾斜倒伏伤人伤物的保险购买等。</w:t>
      </w:r>
    </w:p>
    <w:p>
      <w:pPr>
        <w:spacing w:line="360" w:lineRule="auto"/>
        <w:ind w:firstLine="420" w:firstLineChars="200"/>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③承包期内对大院绿地外侧密林深处无法正常生长的苗木，进场后由承包方根据现场情况编制既有苗木疏苗调整方案，报甲方及机关事务局审核通过后实施，迁移苗木确保成活率95%以上；疏苗后一周内完成树坑回填、绿地平整、栽植周边相近品种规格地被的复绿工作，费用不另计（基建移伐除外）。疏苗供给新建工程的，承包方须做好配合工作。</w:t>
      </w:r>
    </w:p>
    <w:p>
      <w:pPr>
        <w:spacing w:line="360" w:lineRule="auto"/>
        <w:ind w:firstLine="420" w:firstLineChars="200"/>
        <w:rPr>
          <w:rFonts w:cs="宋体" w:asciiTheme="minorEastAsia" w:hAnsiTheme="minorEastAsia" w:eastAsiaTheme="minorEastAsia"/>
          <w:color w:val="FF0000"/>
          <w:szCs w:val="21"/>
        </w:rPr>
      </w:pPr>
      <w:r>
        <w:rPr>
          <w:rFonts w:hint="eastAsia" w:cs="宋体" w:asciiTheme="minorEastAsia" w:hAnsiTheme="minorEastAsia" w:eastAsiaTheme="minorEastAsia"/>
          <w:color w:val="000000" w:themeColor="text1"/>
          <w:szCs w:val="21"/>
        </w:rPr>
        <w:t>④</w:t>
      </w:r>
      <w:r>
        <w:rPr>
          <w:rFonts w:hint="eastAsia" w:asciiTheme="minorEastAsia" w:hAnsiTheme="minorEastAsia" w:eastAsiaTheme="minorEastAsia"/>
          <w:color w:val="000000" w:themeColor="text1"/>
          <w:szCs w:val="21"/>
        </w:rPr>
        <w:t>根据《南通市区绿化养护管理绩效评价办法的通知》（通绿评【2024】1号文）要求，本标段需配备1名专职巡查员。该名巡查员由中标人自行招聘并经发包人面试合格，合同期交发包人统一管理、调配使用6个月/年。中标人委托南通市人才事务所有限公司根据发包人考核结果按月代发工</w:t>
      </w:r>
      <w:r>
        <w:rPr>
          <w:rFonts w:hint="eastAsia" w:asciiTheme="minorEastAsia" w:hAnsiTheme="minorEastAsia" w:eastAsiaTheme="minorEastAsia"/>
          <w:szCs w:val="21"/>
        </w:rPr>
        <w:t>资。工资不低于政府购买服务岗位人员当期薪酬标准，投标单位在管护分项报价时应考虑此因素。</w:t>
      </w:r>
    </w:p>
    <w:p>
      <w:pPr>
        <w:spacing w:line="360" w:lineRule="auto"/>
        <w:ind w:firstLine="420" w:firstLineChars="200"/>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themeColor="text1"/>
          <w:szCs w:val="21"/>
        </w:rPr>
        <w:t>⑤现有草花点位进场后可根据区位重要性或机关事务局要求作适当调整，进场后一个月内编制草花点位调整方案，报发包方及机关事务局审核同意后实施，调整后原有草花区域复绿费用不再另</w:t>
      </w:r>
      <w:r>
        <w:rPr>
          <w:rFonts w:hint="eastAsia" w:asciiTheme="minorEastAsia" w:hAnsiTheme="minorEastAsia" w:eastAsiaTheme="minorEastAsia"/>
          <w:color w:val="000000" w:themeColor="text1"/>
          <w:szCs w:val="21"/>
        </w:rPr>
        <w:t>计；全年景观效果良好，确保五一、国庆、春节等重大节日期间处于最佳观赏期。9、10月更换的，全部采用菊科草花，其中小菊占比不少于60%，景观效果确保至10月底。</w:t>
      </w:r>
      <w:r>
        <w:rPr>
          <w:rFonts w:hint="eastAsia" w:asciiTheme="minorEastAsia" w:hAnsiTheme="minorEastAsia" w:eastAsiaTheme="minorEastAsia"/>
          <w:szCs w:val="21"/>
        </w:rPr>
        <w:t>草花布置质量差，覆盖率、初花率达不到要求，草花枯萎未及时更换等，由监理现场计量不合格面积，按50元/㎡·次扣减费用，并责成立即整改到位</w:t>
      </w:r>
    </w:p>
    <w:p>
      <w:pPr>
        <w:spacing w:line="360" w:lineRule="auto"/>
        <w:ind w:firstLine="420" w:firstLineChars="200"/>
        <w:jc w:val="left"/>
        <w:rPr>
          <w:rFonts w:cs="宋体" w:asciiTheme="minorEastAsia" w:hAnsiTheme="minorEastAsia" w:eastAsiaTheme="minorEastAsia"/>
          <w:color w:val="0000FF"/>
          <w:szCs w:val="21"/>
        </w:rPr>
      </w:pPr>
      <w:r>
        <w:rPr>
          <w:rFonts w:hint="eastAsia" w:cs="宋体" w:asciiTheme="minorEastAsia" w:hAnsiTheme="minorEastAsia" w:eastAsiaTheme="minorEastAsia"/>
          <w:color w:val="000000" w:themeColor="text1"/>
          <w:szCs w:val="21"/>
        </w:rPr>
        <w:t>⑥</w:t>
      </w:r>
      <w:r>
        <w:rPr>
          <w:rFonts w:hint="eastAsia" w:asciiTheme="minorEastAsia" w:hAnsiTheme="minorEastAsia" w:eastAsiaTheme="minorEastAsia"/>
          <w:color w:val="000000" w:themeColor="text1"/>
          <w:szCs w:val="21"/>
        </w:rPr>
        <w:t>养护管理中产生的枯枝败叶、树枝枝干、草屑等园林绿化垃圾送至发包方(或处置单位)确定的收集点集</w:t>
      </w:r>
      <w:r>
        <w:rPr>
          <w:rFonts w:hint="eastAsia" w:asciiTheme="minorEastAsia" w:hAnsiTheme="minorEastAsia" w:eastAsiaTheme="minorEastAsia"/>
          <w:szCs w:val="21"/>
        </w:rPr>
        <w:t>中处理，尚未确定处置单位前的过渡期内，则由中标人按园林废弃物处理利用相关要求自行处置，严禁随意弃置，相应费用应在投标报价时考虑。</w:t>
      </w:r>
    </w:p>
    <w:p>
      <w:pPr>
        <w:spacing w:line="360" w:lineRule="auto"/>
        <w:ind w:firstLine="420" w:firstLineChars="200"/>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⑦黑麦草要求成坪率达到85%及以上，且成坪均匀。如成坪率低于85%、高于等于60%的，则按每平方米1.80元/年扣减不合格面积的费用，并立即整改到位；成坪率低于60%的，则按每平方米1.80元/年扣减全部面积的费用，并立即整改到位。整改不到位的，另按每平方米1.80元/年进行惩罚性扣款。</w:t>
      </w:r>
      <w:r>
        <w:rPr>
          <w:rFonts w:hint="eastAsia" w:asciiTheme="minorEastAsia" w:hAnsiTheme="minorEastAsia" w:eastAsiaTheme="minorEastAsia"/>
          <w:bCs/>
          <w:szCs w:val="21"/>
        </w:rPr>
        <w:t>每年5月份前，黑麦草出现普遍发黄现象的，1公顷以下扣款1000元/次，1-3公顷扣款2000元/次，3公顷以上扣款3000元/次。</w:t>
      </w:r>
    </w:p>
    <w:p>
      <w:pPr>
        <w:spacing w:line="360" w:lineRule="auto"/>
        <w:ind w:firstLine="422" w:firstLineChars="200"/>
        <w:rPr>
          <w:rFonts w:ascii="宋体" w:hAnsi="宋体"/>
          <w:b/>
          <w:color w:val="0000FF"/>
          <w:szCs w:val="21"/>
        </w:rPr>
      </w:pPr>
      <w:r>
        <w:rPr>
          <w:rFonts w:hint="eastAsia" w:cs="宋体" w:asciiTheme="minorEastAsia" w:hAnsiTheme="minorEastAsia" w:eastAsiaTheme="minorEastAsia"/>
          <w:b/>
          <w:color w:val="0000FF"/>
          <w:szCs w:val="21"/>
        </w:rPr>
        <w:t>⑧</w:t>
      </w:r>
      <w:r>
        <w:rPr>
          <w:rFonts w:hint="eastAsia" w:ascii="宋体" w:hAnsi="宋体"/>
          <w:b/>
          <w:color w:val="0000FF"/>
          <w:szCs w:val="21"/>
        </w:rPr>
        <w:t>服从市机关事务管理局的监督和指导，积极响应并高质量完成该局提出的临时性任务，如四座小楼内庭绿植养护、两办会议室植物摆放（两个会议室，每室摆放雀舌罗汉松3盆、蝴蝶兰1盆、红掌6盆。会议前布置、会议后撤离。每月平均四次；综合楼台阶16只花箱内常年草花布置8平方米）、大院河道两侧绿植花卉养护工作等。合同期内负责大院内草坪河道雨水喷淋系统的使用及修复工作。</w:t>
      </w:r>
    </w:p>
    <w:p>
      <w:pPr>
        <w:spacing w:line="360" w:lineRule="auto"/>
        <w:ind w:firstLine="422" w:firstLineChars="200"/>
        <w:rPr>
          <w:rFonts w:cs="宋体" w:asciiTheme="minorEastAsia" w:hAnsiTheme="minorEastAsia" w:eastAsiaTheme="minorEastAsia"/>
          <w:color w:val="000000" w:themeColor="text1"/>
          <w:szCs w:val="21"/>
        </w:rPr>
      </w:pPr>
      <w:r>
        <w:rPr>
          <w:rFonts w:hint="eastAsia" w:cs="宋体" w:asciiTheme="minorEastAsia" w:hAnsiTheme="minorEastAsia" w:eastAsiaTheme="minorEastAsia"/>
          <w:b/>
          <w:color w:val="000000" w:themeColor="text1"/>
          <w:szCs w:val="21"/>
        </w:rPr>
        <w:t>3.报价表内“绿地管护（不含草花地栽）”分项，</w:t>
      </w:r>
      <w:r>
        <w:rPr>
          <w:rFonts w:hint="eastAsia" w:cs="宋体" w:asciiTheme="minorEastAsia" w:hAnsiTheme="minorEastAsia" w:eastAsiaTheme="minorEastAsia"/>
          <w:color w:val="000000" w:themeColor="text1"/>
          <w:szCs w:val="21"/>
        </w:rPr>
        <w:t>不仅包括招标范围各类树木绿化养护，还包含园林设施维护及中小修、黑麦草复播、绿化补植、园林废弃物处置等等，以及招标文件所列清单以外的现场所有缺陷的完善，其中绿化补植还含台风等恶劣气候引起苗木缺失而进行的补植（气象灾害预警级别橙色及以上并且管护措施到位的除外）等等。</w:t>
      </w:r>
    </w:p>
    <w:p>
      <w:pPr>
        <w:pStyle w:val="2"/>
        <w:ind w:left="63" w:right="63"/>
        <w:rPr>
          <w:rFonts w:asciiTheme="minorEastAsia" w:hAnsiTheme="minorEastAsia" w:eastAsiaTheme="minorEastAsia"/>
          <w:szCs w:val="21"/>
        </w:rPr>
      </w:pPr>
    </w:p>
    <w:p>
      <w:pPr>
        <w:tabs>
          <w:tab w:val="left" w:pos="2020"/>
          <w:tab w:val="center" w:pos="4535"/>
        </w:tabs>
        <w:spacing w:line="360" w:lineRule="auto"/>
        <w:ind w:firstLine="420" w:firstLineChars="200"/>
        <w:outlineLvl w:val="0"/>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4.投标报价时，综合单价以元为单位，保留小数点后两位数。</w:t>
      </w:r>
    </w:p>
    <w:p>
      <w:pPr>
        <w:tabs>
          <w:tab w:val="left" w:pos="2020"/>
          <w:tab w:val="center" w:pos="4535"/>
        </w:tabs>
        <w:spacing w:line="360" w:lineRule="auto"/>
        <w:ind w:firstLine="420" w:firstLineChars="200"/>
        <w:outlineLvl w:val="0"/>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其它费用以万元为单位，保留小数点后四位数。</w:t>
      </w:r>
    </w:p>
    <w:p>
      <w:pPr>
        <w:tabs>
          <w:tab w:val="left" w:pos="2020"/>
          <w:tab w:val="center" w:pos="4535"/>
        </w:tabs>
        <w:spacing w:line="360" w:lineRule="auto"/>
        <w:ind w:firstLine="420" w:firstLineChars="200"/>
        <w:outlineLvl w:val="0"/>
        <w:rPr>
          <w:rFonts w:cs="宋体" w:asciiTheme="minorEastAsia" w:hAnsiTheme="minorEastAsia" w:eastAsiaTheme="minorEastAsia"/>
          <w:bCs/>
          <w:color w:val="000000"/>
          <w:szCs w:val="21"/>
        </w:rPr>
      </w:pPr>
    </w:p>
    <w:p>
      <w:pPr>
        <w:spacing w:line="360" w:lineRule="auto"/>
        <w:ind w:firstLine="420" w:firstLineChars="200"/>
        <w:rPr>
          <w:rFonts w:ascii="宋体" w:hAnsi="宋体" w:cs="宋体"/>
          <w:color w:val="000000" w:themeColor="text1"/>
          <w:szCs w:val="21"/>
        </w:rPr>
        <w:sectPr>
          <w:footerReference r:id="rId11" w:type="default"/>
          <w:pgSz w:w="11906" w:h="16838"/>
          <w:pgMar w:top="850" w:right="1797" w:bottom="1417" w:left="1644" w:header="851" w:footer="992" w:gutter="0"/>
          <w:pgNumType w:start="1"/>
          <w:cols w:space="720" w:num="1"/>
          <w:docGrid w:linePitch="312" w:charSpace="0"/>
        </w:sectPr>
      </w:pPr>
      <w:r>
        <w:rPr>
          <w:rFonts w:hint="eastAsia" w:cs="宋体" w:asciiTheme="minorEastAsia" w:hAnsiTheme="minorEastAsia" w:eastAsiaTheme="minorEastAsia"/>
          <w:color w:val="000000" w:themeColor="text1"/>
          <w:szCs w:val="21"/>
        </w:rPr>
        <w:t>5.承包起始日暂定，实际以进场指令单为准，费用按实调整后拨付。</w:t>
      </w:r>
    </w:p>
    <w:p>
      <w:pPr>
        <w:spacing w:after="360" w:line="300" w:lineRule="exact"/>
        <w:ind w:firstLine="2168" w:firstLineChars="900"/>
        <w:rPr>
          <w:rFonts w:ascii="宋体" w:hAnsi="宋体" w:cs="宋体"/>
          <w:b/>
          <w:color w:val="000000"/>
          <w:kern w:val="0"/>
          <w:sz w:val="24"/>
          <w:szCs w:val="24"/>
        </w:rPr>
      </w:pPr>
      <w:r>
        <w:rPr>
          <w:rFonts w:hint="eastAsia" w:ascii="宋体" w:hAnsi="宋体" w:cs="宋体"/>
          <w:b/>
          <w:color w:val="000000"/>
          <w:kern w:val="0"/>
          <w:sz w:val="24"/>
          <w:szCs w:val="24"/>
        </w:rPr>
        <w:t>十一、第一部分   管护分项报价表</w:t>
      </w:r>
    </w:p>
    <w:p>
      <w:pPr>
        <w:pStyle w:val="2"/>
        <w:ind w:left="63" w:right="63"/>
      </w:pPr>
    </w:p>
    <w:p>
      <w:pPr>
        <w:spacing w:line="520" w:lineRule="exact"/>
        <w:rPr>
          <w:rFonts w:ascii="宋体" w:hAnsi="宋体"/>
          <w:b/>
          <w:color w:val="000000"/>
          <w:sz w:val="24"/>
        </w:rPr>
      </w:pPr>
      <w:r>
        <w:rPr>
          <w:rFonts w:hint="eastAsia" w:ascii="宋体" w:hAnsi="宋体"/>
          <w:b/>
          <w:color w:val="000000"/>
          <w:sz w:val="24"/>
        </w:rPr>
        <w:t>南通市行政中心（含信访局）附属绿地管护项目（一级管护标准）：</w:t>
      </w:r>
    </w:p>
    <w:p>
      <w:pPr>
        <w:spacing w:line="520" w:lineRule="exact"/>
        <w:rPr>
          <w:rFonts w:ascii="宋体" w:hAnsi="宋体"/>
          <w:color w:val="000000"/>
          <w:sz w:val="24"/>
        </w:rPr>
      </w:pPr>
      <w:r>
        <w:rPr>
          <w:rFonts w:hint="eastAsia" w:ascii="宋体" w:hAnsi="宋体"/>
          <w:color w:val="000000"/>
          <w:sz w:val="24"/>
        </w:rPr>
        <w:t>该绿地位于南通市世纪大道6号：世纪大道北、府东路西、府西路东、江岳路南</w:t>
      </w:r>
    </w:p>
    <w:p>
      <w:pPr>
        <w:pStyle w:val="2"/>
        <w:ind w:left="63" w:right="63"/>
      </w:pPr>
    </w:p>
    <w:tbl>
      <w:tblPr>
        <w:tblStyle w:val="5"/>
        <w:tblW w:w="10207"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2"/>
        <w:gridCol w:w="2592"/>
        <w:gridCol w:w="1968"/>
        <w:gridCol w:w="923"/>
        <w:gridCol w:w="1275"/>
        <w:gridCol w:w="1701"/>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472" w:type="dxa"/>
            <w:vMerge w:val="restart"/>
            <w:vAlign w:val="center"/>
          </w:tcPr>
          <w:p>
            <w:pPr>
              <w:spacing w:line="240" w:lineRule="exact"/>
              <w:jc w:val="center"/>
            </w:pPr>
            <w:r>
              <w:rPr>
                <w:rFonts w:hint="eastAsia" w:ascii="宋体" w:hAnsi="宋体"/>
                <w:b/>
                <w:color w:val="000000"/>
                <w:sz w:val="18"/>
                <w:szCs w:val="18"/>
              </w:rPr>
              <w:t>序号</w:t>
            </w:r>
          </w:p>
        </w:tc>
        <w:tc>
          <w:tcPr>
            <w:tcW w:w="2592" w:type="dxa"/>
            <w:vMerge w:val="restart"/>
            <w:vAlign w:val="center"/>
          </w:tcPr>
          <w:p>
            <w:pPr>
              <w:spacing w:line="240" w:lineRule="exact"/>
              <w:jc w:val="center"/>
              <w:rPr>
                <w:rFonts w:ascii="宋体" w:hAnsi="宋体"/>
                <w:b/>
                <w:color w:val="000000"/>
                <w:sz w:val="18"/>
                <w:szCs w:val="18"/>
              </w:rPr>
            </w:pPr>
            <w:r>
              <w:rPr>
                <w:rFonts w:hint="eastAsia" w:ascii="宋体" w:hAnsi="宋体"/>
                <w:b/>
                <w:color w:val="000000"/>
                <w:sz w:val="18"/>
                <w:szCs w:val="18"/>
              </w:rPr>
              <w:t>工作分项内容</w:t>
            </w:r>
          </w:p>
        </w:tc>
        <w:tc>
          <w:tcPr>
            <w:tcW w:w="1968" w:type="dxa"/>
            <w:vMerge w:val="restart"/>
            <w:vAlign w:val="center"/>
          </w:tcPr>
          <w:p>
            <w:pPr>
              <w:spacing w:line="240" w:lineRule="exact"/>
              <w:jc w:val="center"/>
              <w:rPr>
                <w:rFonts w:ascii="宋体" w:hAnsi="宋体"/>
                <w:b/>
                <w:color w:val="000000"/>
                <w:sz w:val="18"/>
                <w:szCs w:val="18"/>
              </w:rPr>
            </w:pPr>
            <w:r>
              <w:rPr>
                <w:rFonts w:hint="eastAsia" w:ascii="宋体" w:hAnsi="宋体"/>
                <w:b/>
                <w:color w:val="000000"/>
                <w:sz w:val="18"/>
                <w:szCs w:val="18"/>
              </w:rPr>
              <w:t>承包期限</w:t>
            </w:r>
          </w:p>
        </w:tc>
        <w:tc>
          <w:tcPr>
            <w:tcW w:w="2198" w:type="dxa"/>
            <w:gridSpan w:val="2"/>
            <w:vAlign w:val="center"/>
          </w:tcPr>
          <w:p>
            <w:pPr>
              <w:spacing w:line="240" w:lineRule="exact"/>
              <w:jc w:val="center"/>
              <w:rPr>
                <w:rFonts w:ascii="宋体" w:hAnsi="宋体"/>
                <w:b/>
                <w:color w:val="000000"/>
                <w:sz w:val="18"/>
                <w:szCs w:val="18"/>
              </w:rPr>
            </w:pPr>
            <w:r>
              <w:rPr>
                <w:rFonts w:hint="eastAsia" w:ascii="宋体" w:hAnsi="宋体"/>
                <w:b/>
                <w:color w:val="000000"/>
                <w:sz w:val="18"/>
                <w:szCs w:val="18"/>
              </w:rPr>
              <w:t>年度管护量</w:t>
            </w:r>
          </w:p>
        </w:tc>
        <w:tc>
          <w:tcPr>
            <w:tcW w:w="2977" w:type="dxa"/>
            <w:gridSpan w:val="2"/>
            <w:vAlign w:val="center"/>
          </w:tcPr>
          <w:p>
            <w:pPr>
              <w:spacing w:line="240" w:lineRule="exact"/>
              <w:jc w:val="center"/>
              <w:rPr>
                <w:rFonts w:ascii="宋体" w:hAnsi="宋体"/>
                <w:b/>
                <w:color w:val="000000"/>
                <w:sz w:val="18"/>
                <w:szCs w:val="18"/>
              </w:rPr>
            </w:pPr>
            <w:r>
              <w:rPr>
                <w:rFonts w:hint="eastAsia" w:ascii="宋体" w:hAnsi="宋体"/>
                <w:b/>
                <w:color w:val="000000"/>
                <w:sz w:val="18"/>
                <w:szCs w:val="18"/>
              </w:rPr>
              <w:t>投标报价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4" w:hRule="atLeast"/>
        </w:trPr>
        <w:tc>
          <w:tcPr>
            <w:tcW w:w="472" w:type="dxa"/>
            <w:vMerge w:val="continue"/>
            <w:vAlign w:val="center"/>
          </w:tcPr>
          <w:p>
            <w:pPr>
              <w:spacing w:line="240" w:lineRule="exact"/>
              <w:jc w:val="center"/>
              <w:rPr>
                <w:rFonts w:ascii="宋体" w:hAnsi="宋体"/>
                <w:b/>
                <w:color w:val="000000"/>
                <w:sz w:val="18"/>
                <w:szCs w:val="18"/>
              </w:rPr>
            </w:pPr>
          </w:p>
        </w:tc>
        <w:tc>
          <w:tcPr>
            <w:tcW w:w="2592" w:type="dxa"/>
            <w:vMerge w:val="continue"/>
            <w:vAlign w:val="center"/>
          </w:tcPr>
          <w:p>
            <w:pPr>
              <w:spacing w:line="240" w:lineRule="exact"/>
              <w:jc w:val="center"/>
              <w:rPr>
                <w:rFonts w:ascii="宋体" w:hAnsi="宋体"/>
                <w:b/>
                <w:color w:val="000000"/>
                <w:sz w:val="18"/>
                <w:szCs w:val="18"/>
              </w:rPr>
            </w:pPr>
          </w:p>
        </w:tc>
        <w:tc>
          <w:tcPr>
            <w:tcW w:w="1968" w:type="dxa"/>
            <w:vMerge w:val="continue"/>
            <w:vAlign w:val="center"/>
          </w:tcPr>
          <w:p>
            <w:pPr>
              <w:spacing w:line="240" w:lineRule="exact"/>
              <w:jc w:val="center"/>
              <w:rPr>
                <w:rFonts w:ascii="宋体" w:hAnsi="宋体"/>
                <w:b/>
                <w:color w:val="000000"/>
                <w:sz w:val="18"/>
                <w:szCs w:val="18"/>
              </w:rPr>
            </w:pPr>
          </w:p>
        </w:tc>
        <w:tc>
          <w:tcPr>
            <w:tcW w:w="923" w:type="dxa"/>
            <w:vAlign w:val="center"/>
          </w:tcPr>
          <w:p>
            <w:pPr>
              <w:spacing w:line="240" w:lineRule="exact"/>
              <w:jc w:val="center"/>
              <w:rPr>
                <w:rFonts w:ascii="宋体" w:hAnsi="宋体"/>
                <w:b/>
                <w:color w:val="000000"/>
                <w:sz w:val="18"/>
                <w:szCs w:val="18"/>
              </w:rPr>
            </w:pPr>
            <w:r>
              <w:rPr>
                <w:rFonts w:hint="eastAsia" w:ascii="宋体" w:hAnsi="宋体"/>
                <w:b/>
                <w:color w:val="000000"/>
                <w:sz w:val="18"/>
                <w:szCs w:val="18"/>
              </w:rPr>
              <w:t>单位</w:t>
            </w:r>
          </w:p>
        </w:tc>
        <w:tc>
          <w:tcPr>
            <w:tcW w:w="1275" w:type="dxa"/>
            <w:vAlign w:val="center"/>
          </w:tcPr>
          <w:p>
            <w:pPr>
              <w:spacing w:line="240" w:lineRule="exact"/>
              <w:jc w:val="center"/>
              <w:rPr>
                <w:rFonts w:ascii="宋体" w:hAnsi="宋体"/>
                <w:b/>
                <w:color w:val="000000"/>
                <w:sz w:val="18"/>
                <w:szCs w:val="18"/>
              </w:rPr>
            </w:pPr>
            <w:r>
              <w:rPr>
                <w:rFonts w:hint="eastAsia" w:ascii="宋体" w:hAnsi="宋体"/>
                <w:b/>
                <w:color w:val="000000"/>
                <w:sz w:val="18"/>
                <w:szCs w:val="18"/>
              </w:rPr>
              <w:t>数量</w:t>
            </w:r>
          </w:p>
        </w:tc>
        <w:tc>
          <w:tcPr>
            <w:tcW w:w="1701" w:type="dxa"/>
            <w:vAlign w:val="center"/>
          </w:tcPr>
          <w:p>
            <w:pPr>
              <w:spacing w:line="240" w:lineRule="exact"/>
              <w:jc w:val="center"/>
              <w:rPr>
                <w:rFonts w:ascii="宋体" w:hAnsi="宋体"/>
                <w:b/>
                <w:color w:val="000000"/>
                <w:sz w:val="18"/>
                <w:szCs w:val="18"/>
              </w:rPr>
            </w:pPr>
            <w:r>
              <w:rPr>
                <w:rFonts w:hint="eastAsia" w:ascii="宋体" w:hAnsi="宋体"/>
                <w:b/>
                <w:color w:val="000000"/>
                <w:sz w:val="18"/>
                <w:szCs w:val="18"/>
              </w:rPr>
              <w:t>综合单价</w:t>
            </w:r>
          </w:p>
          <w:p>
            <w:pPr>
              <w:spacing w:line="240" w:lineRule="exact"/>
              <w:jc w:val="center"/>
              <w:rPr>
                <w:rFonts w:ascii="宋体" w:hAnsi="宋体"/>
                <w:b/>
                <w:color w:val="000000"/>
                <w:sz w:val="18"/>
                <w:szCs w:val="18"/>
              </w:rPr>
            </w:pPr>
            <w:r>
              <w:rPr>
                <w:rFonts w:hint="eastAsia" w:ascii="宋体" w:hAnsi="宋体"/>
                <w:b/>
                <w:color w:val="000000"/>
                <w:sz w:val="18"/>
                <w:szCs w:val="18"/>
              </w:rPr>
              <w:t>（元/㎡·年）</w:t>
            </w:r>
          </w:p>
        </w:tc>
        <w:tc>
          <w:tcPr>
            <w:tcW w:w="1276" w:type="dxa"/>
            <w:vAlign w:val="center"/>
          </w:tcPr>
          <w:p>
            <w:pPr>
              <w:spacing w:line="240" w:lineRule="exact"/>
              <w:jc w:val="center"/>
              <w:rPr>
                <w:rFonts w:ascii="宋体" w:hAnsi="宋体"/>
                <w:b/>
                <w:color w:val="000000"/>
                <w:sz w:val="18"/>
                <w:szCs w:val="18"/>
              </w:rPr>
            </w:pPr>
            <w:r>
              <w:rPr>
                <w:rFonts w:hint="eastAsia" w:ascii="宋体" w:hAnsi="宋体"/>
                <w:b/>
                <w:color w:val="000000"/>
                <w:sz w:val="18"/>
                <w:szCs w:val="18"/>
              </w:rPr>
              <w:t>年度费用</w:t>
            </w:r>
          </w:p>
          <w:p>
            <w:pPr>
              <w:spacing w:line="240" w:lineRule="exact"/>
              <w:jc w:val="center"/>
              <w:rPr>
                <w:rFonts w:ascii="宋体" w:hAnsi="宋体"/>
                <w:b/>
                <w:color w:val="000000"/>
                <w:sz w:val="18"/>
                <w:szCs w:val="18"/>
              </w:rPr>
            </w:pPr>
            <w:r>
              <w:rPr>
                <w:rFonts w:hint="eastAsia" w:ascii="宋体" w:hAnsi="宋体"/>
                <w:b/>
                <w:color w:val="000000"/>
                <w:sz w:val="18"/>
                <w:szCs w:val="18"/>
              </w:rPr>
              <w:t>（万元/年）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7" w:hRule="atLeast"/>
        </w:trPr>
        <w:tc>
          <w:tcPr>
            <w:tcW w:w="472" w:type="dxa"/>
            <w:vAlign w:val="center"/>
          </w:tcPr>
          <w:p>
            <w:pPr>
              <w:spacing w:line="200" w:lineRule="exact"/>
              <w:jc w:val="center"/>
              <w:rPr>
                <w:rFonts w:ascii="宋体" w:hAnsi="宋体"/>
                <w:b/>
                <w:color w:val="000000"/>
                <w:sz w:val="18"/>
                <w:szCs w:val="18"/>
              </w:rPr>
            </w:pPr>
          </w:p>
        </w:tc>
        <w:tc>
          <w:tcPr>
            <w:tcW w:w="6758" w:type="dxa"/>
            <w:gridSpan w:val="4"/>
            <w:vAlign w:val="center"/>
          </w:tcPr>
          <w:p>
            <w:r>
              <w:rPr>
                <w:rFonts w:hint="eastAsia" w:ascii="宋体" w:hAnsi="宋体"/>
                <w:bCs/>
                <w:color w:val="000000"/>
                <w:sz w:val="18"/>
                <w:szCs w:val="18"/>
              </w:rPr>
              <w:t>绿地总面积155442平方米</w:t>
            </w:r>
            <w:r>
              <w:rPr>
                <w:rFonts w:hint="eastAsia" w:ascii="宋体" w:hAnsi="宋体"/>
                <w:sz w:val="18"/>
                <w:szCs w:val="18"/>
              </w:rPr>
              <w:t>（含廊架及6座木桥等园林设施，但不含水面），其中草坪117254平方米、园路广场等地面硬质铺装7716平方米、草花804平方米。</w:t>
            </w:r>
          </w:p>
        </w:tc>
        <w:tc>
          <w:tcPr>
            <w:tcW w:w="1701" w:type="dxa"/>
            <w:vAlign w:val="center"/>
          </w:tcPr>
          <w:p>
            <w:pPr>
              <w:spacing w:line="200" w:lineRule="exact"/>
              <w:rPr>
                <w:rFonts w:ascii="宋体" w:hAnsi="宋体"/>
                <w:color w:val="000000"/>
                <w:sz w:val="18"/>
                <w:szCs w:val="18"/>
              </w:rPr>
            </w:pPr>
          </w:p>
        </w:tc>
        <w:tc>
          <w:tcPr>
            <w:tcW w:w="1276" w:type="dxa"/>
            <w:vAlign w:val="center"/>
          </w:tcPr>
          <w:p>
            <w:pPr>
              <w:spacing w:line="200" w:lineRule="exact"/>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49" w:hRule="atLeast"/>
        </w:trPr>
        <w:tc>
          <w:tcPr>
            <w:tcW w:w="472" w:type="dxa"/>
            <w:vAlign w:val="center"/>
          </w:tcPr>
          <w:p>
            <w:pPr>
              <w:spacing w:line="200" w:lineRule="exact"/>
              <w:jc w:val="center"/>
              <w:rPr>
                <w:rFonts w:ascii="宋体" w:hAnsi="宋体"/>
                <w:bCs/>
                <w:color w:val="000000"/>
                <w:sz w:val="18"/>
                <w:szCs w:val="18"/>
              </w:rPr>
            </w:pPr>
            <w:r>
              <w:rPr>
                <w:rFonts w:hint="eastAsia" w:ascii="宋体" w:hAnsi="宋体"/>
                <w:bCs/>
                <w:color w:val="000000"/>
                <w:sz w:val="18"/>
                <w:szCs w:val="18"/>
              </w:rPr>
              <w:t>1</w:t>
            </w:r>
          </w:p>
        </w:tc>
        <w:tc>
          <w:tcPr>
            <w:tcW w:w="2592" w:type="dxa"/>
            <w:vAlign w:val="center"/>
          </w:tcPr>
          <w:p>
            <w:pPr>
              <w:spacing w:line="200" w:lineRule="exact"/>
              <w:rPr>
                <w:rFonts w:ascii="宋体" w:hAnsi="宋体"/>
                <w:bCs/>
                <w:color w:val="000000"/>
                <w:sz w:val="18"/>
                <w:szCs w:val="18"/>
              </w:rPr>
            </w:pPr>
            <w:r>
              <w:rPr>
                <w:rFonts w:hint="eastAsia" w:ascii="宋体" w:hAnsi="宋体"/>
                <w:bCs/>
                <w:color w:val="000000"/>
                <w:sz w:val="18"/>
                <w:szCs w:val="18"/>
              </w:rPr>
              <w:t>绿地管护</w:t>
            </w:r>
          </w:p>
          <w:p>
            <w:pPr>
              <w:spacing w:line="200" w:lineRule="exact"/>
              <w:rPr>
                <w:rFonts w:ascii="宋体" w:hAnsi="宋体"/>
                <w:bCs/>
                <w:color w:val="000000"/>
                <w:sz w:val="18"/>
                <w:szCs w:val="18"/>
              </w:rPr>
            </w:pPr>
            <w:r>
              <w:rPr>
                <w:rFonts w:hint="eastAsia" w:ascii="宋体" w:hAnsi="宋体"/>
                <w:bCs/>
                <w:color w:val="000000"/>
                <w:sz w:val="18"/>
                <w:szCs w:val="18"/>
              </w:rPr>
              <w:t>（不含草花地栽）</w:t>
            </w:r>
          </w:p>
          <w:p>
            <w:pPr>
              <w:spacing w:line="200" w:lineRule="exact"/>
              <w:rPr>
                <w:rFonts w:ascii="宋体" w:hAnsi="宋体"/>
                <w:bCs/>
                <w:color w:val="000000"/>
                <w:sz w:val="18"/>
                <w:szCs w:val="18"/>
              </w:rPr>
            </w:pPr>
            <w:r>
              <w:rPr>
                <w:rFonts w:hint="eastAsia" w:ascii="宋体" w:hAnsi="宋体"/>
                <w:b/>
                <w:bCs/>
                <w:color w:val="0000FF"/>
                <w:sz w:val="18"/>
                <w:szCs w:val="18"/>
              </w:rPr>
              <w:t>备注：综合单价的投标报价不得超过10</w:t>
            </w:r>
            <w:r>
              <w:rPr>
                <w:rFonts w:hint="eastAsia" w:ascii="宋体" w:hAnsi="宋体"/>
                <w:b/>
                <w:color w:val="0000FF"/>
                <w:sz w:val="18"/>
                <w:szCs w:val="18"/>
              </w:rPr>
              <w:t>元/㎡·年</w:t>
            </w:r>
          </w:p>
        </w:tc>
        <w:tc>
          <w:tcPr>
            <w:tcW w:w="1968" w:type="dxa"/>
            <w:vMerge w:val="restart"/>
            <w:vAlign w:val="center"/>
          </w:tcPr>
          <w:p>
            <w:pPr>
              <w:rPr>
                <w:rFonts w:ascii="宋体" w:hAnsi="宋体"/>
                <w:bCs/>
                <w:color w:val="000000"/>
                <w:sz w:val="18"/>
                <w:szCs w:val="18"/>
              </w:rPr>
            </w:pPr>
            <w:r>
              <w:rPr>
                <w:rFonts w:hint="eastAsia" w:ascii="宋体" w:hAnsi="宋体"/>
                <w:bCs/>
                <w:color w:val="000000"/>
                <w:sz w:val="18"/>
                <w:szCs w:val="18"/>
              </w:rPr>
              <w:t>本次招标合同期一年（2025年11月1日-2026年10月31日），管护起始日暂定，实际以进场指令单为准。如合同期内每月考核得分均合格的，次年可按原中标价续签，但只可续签一次。</w:t>
            </w:r>
          </w:p>
        </w:tc>
        <w:tc>
          <w:tcPr>
            <w:tcW w:w="923" w:type="dxa"/>
            <w:vAlign w:val="center"/>
          </w:tcPr>
          <w:p>
            <w:pPr>
              <w:spacing w:line="200" w:lineRule="exact"/>
              <w:jc w:val="center"/>
              <w:rPr>
                <w:rFonts w:ascii="宋体" w:hAnsi="宋体"/>
                <w:color w:val="000000"/>
                <w:sz w:val="18"/>
                <w:szCs w:val="18"/>
              </w:rPr>
            </w:pPr>
            <w:r>
              <w:rPr>
                <w:rFonts w:hint="eastAsia" w:ascii="宋体" w:hAnsi="宋体"/>
                <w:color w:val="000000"/>
                <w:sz w:val="18"/>
                <w:szCs w:val="18"/>
              </w:rPr>
              <w:t>㎡</w:t>
            </w:r>
          </w:p>
        </w:tc>
        <w:tc>
          <w:tcPr>
            <w:tcW w:w="1275" w:type="dxa"/>
            <w:vAlign w:val="center"/>
          </w:tcPr>
          <w:p>
            <w:pPr>
              <w:spacing w:line="200" w:lineRule="exact"/>
              <w:jc w:val="center"/>
              <w:rPr>
                <w:rFonts w:ascii="宋体" w:hAnsi="宋体"/>
                <w:color w:val="000000"/>
                <w:szCs w:val="21"/>
              </w:rPr>
            </w:pPr>
            <w:r>
              <w:rPr>
                <w:rFonts w:hint="eastAsia" w:ascii="宋体" w:hAnsi="宋体"/>
                <w:color w:val="000000"/>
                <w:szCs w:val="21"/>
              </w:rPr>
              <w:t>154638</w:t>
            </w:r>
          </w:p>
        </w:tc>
        <w:tc>
          <w:tcPr>
            <w:tcW w:w="1701" w:type="dxa"/>
            <w:vAlign w:val="center"/>
          </w:tcPr>
          <w:p>
            <w:pPr>
              <w:spacing w:line="200" w:lineRule="exact"/>
              <w:rPr>
                <w:rFonts w:ascii="宋体" w:hAnsi="宋体"/>
                <w:color w:val="000000"/>
                <w:sz w:val="18"/>
                <w:szCs w:val="18"/>
              </w:rPr>
            </w:pPr>
          </w:p>
        </w:tc>
        <w:tc>
          <w:tcPr>
            <w:tcW w:w="1276" w:type="dxa"/>
            <w:vAlign w:val="center"/>
          </w:tcPr>
          <w:p>
            <w:pPr>
              <w:spacing w:line="200" w:lineRule="exact"/>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65" w:hRule="atLeast"/>
        </w:trPr>
        <w:tc>
          <w:tcPr>
            <w:tcW w:w="472" w:type="dxa"/>
            <w:vAlign w:val="center"/>
          </w:tcPr>
          <w:p>
            <w:pPr>
              <w:spacing w:line="200" w:lineRule="exact"/>
              <w:jc w:val="center"/>
              <w:rPr>
                <w:rFonts w:ascii="宋体" w:hAnsi="宋体"/>
                <w:bCs/>
                <w:color w:val="000000"/>
                <w:sz w:val="18"/>
                <w:szCs w:val="18"/>
              </w:rPr>
            </w:pPr>
            <w:r>
              <w:rPr>
                <w:rFonts w:hint="eastAsia" w:ascii="宋体" w:hAnsi="宋体"/>
                <w:bCs/>
                <w:color w:val="000000"/>
                <w:sz w:val="18"/>
                <w:szCs w:val="18"/>
              </w:rPr>
              <w:t>2</w:t>
            </w:r>
          </w:p>
        </w:tc>
        <w:tc>
          <w:tcPr>
            <w:tcW w:w="2592" w:type="dxa"/>
            <w:vAlign w:val="center"/>
          </w:tcPr>
          <w:p>
            <w:pPr>
              <w:spacing w:line="200" w:lineRule="exact"/>
              <w:rPr>
                <w:rFonts w:ascii="宋体" w:hAnsi="宋体"/>
                <w:bCs/>
                <w:color w:val="000000"/>
                <w:sz w:val="18"/>
                <w:szCs w:val="18"/>
              </w:rPr>
            </w:pPr>
            <w:r>
              <w:rPr>
                <w:rFonts w:hint="eastAsia" w:ascii="宋体" w:hAnsi="宋体"/>
                <w:bCs/>
                <w:color w:val="000000"/>
                <w:sz w:val="18"/>
                <w:szCs w:val="18"/>
              </w:rPr>
              <w:t>草花地栽布置</w:t>
            </w:r>
          </w:p>
          <w:p>
            <w:pPr>
              <w:pStyle w:val="2"/>
              <w:ind w:left="0" w:leftChars="0" w:right="63"/>
              <w:jc w:val="both"/>
              <w:rPr>
                <w:rFonts w:ascii="宋体" w:hAnsi="宋体"/>
                <w:b/>
                <w:bCs/>
                <w:color w:val="0000FF"/>
                <w:sz w:val="18"/>
                <w:szCs w:val="18"/>
              </w:rPr>
            </w:pPr>
            <w:r>
              <w:rPr>
                <w:rFonts w:hint="eastAsia" w:ascii="宋体" w:hAnsi="宋体"/>
                <w:b/>
                <w:bCs/>
                <w:color w:val="0000FF"/>
                <w:sz w:val="18"/>
                <w:szCs w:val="18"/>
              </w:rPr>
              <w:t>备注：综合单价的投标报价不得超过378元/㎡·年</w:t>
            </w:r>
          </w:p>
        </w:tc>
        <w:tc>
          <w:tcPr>
            <w:tcW w:w="1968" w:type="dxa"/>
            <w:vMerge w:val="continue"/>
            <w:vAlign w:val="center"/>
          </w:tcPr>
          <w:p>
            <w:pPr>
              <w:spacing w:line="200" w:lineRule="exact"/>
              <w:rPr>
                <w:rFonts w:ascii="宋体" w:hAnsi="宋体"/>
                <w:color w:val="0000FF"/>
                <w:sz w:val="18"/>
                <w:szCs w:val="18"/>
              </w:rPr>
            </w:pPr>
          </w:p>
        </w:tc>
        <w:tc>
          <w:tcPr>
            <w:tcW w:w="923" w:type="dxa"/>
            <w:vAlign w:val="center"/>
          </w:tcPr>
          <w:p>
            <w:pPr>
              <w:spacing w:line="200" w:lineRule="exact"/>
              <w:jc w:val="center"/>
              <w:rPr>
                <w:rFonts w:ascii="宋体" w:hAnsi="宋体"/>
                <w:color w:val="000000"/>
                <w:sz w:val="18"/>
                <w:szCs w:val="18"/>
              </w:rPr>
            </w:pPr>
            <w:r>
              <w:rPr>
                <w:rFonts w:hint="eastAsia" w:ascii="宋体" w:hAnsi="宋体"/>
                <w:color w:val="000000"/>
                <w:sz w:val="18"/>
                <w:szCs w:val="18"/>
              </w:rPr>
              <w:t>㎡</w:t>
            </w:r>
          </w:p>
        </w:tc>
        <w:tc>
          <w:tcPr>
            <w:tcW w:w="1275" w:type="dxa"/>
            <w:vAlign w:val="center"/>
          </w:tcPr>
          <w:p>
            <w:pPr>
              <w:spacing w:line="200" w:lineRule="exact"/>
              <w:jc w:val="center"/>
              <w:rPr>
                <w:rFonts w:ascii="宋体" w:hAnsi="宋体"/>
                <w:color w:val="000000"/>
                <w:szCs w:val="21"/>
              </w:rPr>
            </w:pPr>
            <w:r>
              <w:rPr>
                <w:rFonts w:hint="eastAsia" w:ascii="宋体" w:hAnsi="宋体"/>
                <w:color w:val="000000"/>
                <w:szCs w:val="21"/>
              </w:rPr>
              <w:t>804</w:t>
            </w:r>
          </w:p>
        </w:tc>
        <w:tc>
          <w:tcPr>
            <w:tcW w:w="1701" w:type="dxa"/>
            <w:vAlign w:val="center"/>
          </w:tcPr>
          <w:p>
            <w:pPr>
              <w:spacing w:line="200" w:lineRule="exact"/>
              <w:rPr>
                <w:rFonts w:ascii="宋体" w:hAnsi="宋体"/>
                <w:color w:val="000000"/>
                <w:sz w:val="18"/>
                <w:szCs w:val="18"/>
              </w:rPr>
            </w:pPr>
          </w:p>
        </w:tc>
        <w:tc>
          <w:tcPr>
            <w:tcW w:w="1276" w:type="dxa"/>
            <w:vAlign w:val="center"/>
          </w:tcPr>
          <w:p>
            <w:pPr>
              <w:spacing w:line="200" w:lineRule="exact"/>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8" w:hRule="atLeast"/>
        </w:trPr>
        <w:tc>
          <w:tcPr>
            <w:tcW w:w="8931" w:type="dxa"/>
            <w:gridSpan w:val="6"/>
            <w:vAlign w:val="center"/>
          </w:tcPr>
          <w:p>
            <w:pPr>
              <w:spacing w:line="240" w:lineRule="exact"/>
              <w:jc w:val="center"/>
              <w:rPr>
                <w:rFonts w:ascii="宋体" w:hAnsi="宋体"/>
                <w:b/>
                <w:bCs/>
                <w:color w:val="000000"/>
                <w:sz w:val="18"/>
                <w:szCs w:val="18"/>
              </w:rPr>
            </w:pPr>
            <w:r>
              <w:rPr>
                <w:rFonts w:hint="eastAsia" w:ascii="宋体" w:hAnsi="宋体"/>
                <w:b/>
                <w:bCs/>
                <w:color w:val="000000"/>
                <w:sz w:val="18"/>
                <w:szCs w:val="18"/>
              </w:rPr>
              <w:t>上述合计</w:t>
            </w:r>
            <w:r>
              <w:rPr>
                <w:rFonts w:hint="eastAsia" w:ascii="宋体" w:hAnsi="宋体"/>
                <w:b/>
                <w:bCs/>
                <w:color w:val="0000FF"/>
                <w:sz w:val="18"/>
                <w:szCs w:val="18"/>
              </w:rPr>
              <w:t>（年度管护费不得超过185.0292万元/年）</w:t>
            </w:r>
          </w:p>
        </w:tc>
        <w:tc>
          <w:tcPr>
            <w:tcW w:w="1276" w:type="dxa"/>
            <w:vAlign w:val="center"/>
          </w:tcPr>
          <w:p>
            <w:pPr>
              <w:rPr>
                <w:rFonts w:ascii="宋体" w:hAnsi="宋体"/>
                <w:color w:val="000000"/>
                <w:sz w:val="18"/>
                <w:szCs w:val="18"/>
              </w:rPr>
            </w:pPr>
          </w:p>
        </w:tc>
      </w:tr>
    </w:tbl>
    <w:p>
      <w:pPr>
        <w:tabs>
          <w:tab w:val="left" w:pos="765"/>
        </w:tabs>
        <w:rPr>
          <w:rFonts w:ascii="宋体" w:hAnsi="宋体"/>
          <w:bCs/>
          <w:color w:val="000000"/>
          <w:sz w:val="18"/>
          <w:szCs w:val="18"/>
        </w:rPr>
        <w:sectPr>
          <w:pgSz w:w="11906" w:h="16838"/>
          <w:pgMar w:top="851" w:right="1797" w:bottom="1418" w:left="1644" w:header="851" w:footer="992" w:gutter="0"/>
          <w:cols w:space="720" w:num="1"/>
          <w:docGrid w:linePitch="312" w:charSpace="0"/>
        </w:sectPr>
      </w:pPr>
    </w:p>
    <w:p>
      <w:pPr>
        <w:tabs>
          <w:tab w:val="left" w:pos="2020"/>
          <w:tab w:val="center" w:pos="4535"/>
        </w:tabs>
        <w:spacing w:line="500" w:lineRule="exact"/>
        <w:ind w:firstLine="3855" w:firstLineChars="1600"/>
        <w:outlineLvl w:val="0"/>
        <w:rPr>
          <w:rFonts w:ascii="华文彩云" w:hAnsi="宋体"/>
          <w:bCs/>
          <w:color w:val="FF0000"/>
          <w:sz w:val="24"/>
          <w:szCs w:val="24"/>
        </w:rPr>
      </w:pPr>
      <w:r>
        <w:rPr>
          <w:rFonts w:hint="eastAsia" w:ascii="宋体" w:hAnsi="宋体" w:cs="宋体"/>
          <w:b/>
          <w:color w:val="000000"/>
          <w:kern w:val="0"/>
          <w:sz w:val="24"/>
          <w:szCs w:val="24"/>
        </w:rPr>
        <w:t>十一、第二部分：老绿地缺陷完善分项的报价表</w:t>
      </w:r>
    </w:p>
    <w:p>
      <w:pPr>
        <w:tabs>
          <w:tab w:val="left" w:pos="20"/>
        </w:tabs>
        <w:rPr>
          <w:rFonts w:ascii="宋体" w:hAnsi="宋体"/>
          <w:bCs/>
          <w:color w:val="FF0000"/>
          <w:sz w:val="24"/>
          <w:szCs w:val="24"/>
        </w:rPr>
      </w:pPr>
    </w:p>
    <w:p>
      <w:pPr>
        <w:tabs>
          <w:tab w:val="left" w:pos="20"/>
        </w:tabs>
        <w:rPr>
          <w:rFonts w:ascii="宋体" w:hAnsi="宋体"/>
          <w:color w:val="000000"/>
          <w:sz w:val="24"/>
        </w:rPr>
      </w:pPr>
      <w:r>
        <w:rPr>
          <w:rFonts w:hint="eastAsia" w:ascii="宋体" w:hAnsi="宋体"/>
          <w:b/>
          <w:color w:val="000000"/>
          <w:sz w:val="24"/>
          <w:szCs w:val="24"/>
        </w:rPr>
        <w:t xml:space="preserve">   </w:t>
      </w:r>
      <w:r>
        <w:rPr>
          <w:rFonts w:hint="eastAsia" w:ascii="宋体" w:hAnsi="宋体"/>
          <w:color w:val="000000"/>
          <w:sz w:val="24"/>
        </w:rPr>
        <w:t>南通市行政中心（含信访局）附属绿地管护项目：位于南通市世纪大道6号。世纪大道北、府东路西、府西路东、江岳路南。</w:t>
      </w:r>
    </w:p>
    <w:tbl>
      <w:tblPr>
        <w:tblStyle w:val="5"/>
        <w:tblW w:w="15540" w:type="dxa"/>
        <w:tblInd w:w="-763" w:type="dxa"/>
        <w:tblLayout w:type="fixed"/>
        <w:tblCellMar>
          <w:top w:w="0" w:type="dxa"/>
          <w:left w:w="108" w:type="dxa"/>
          <w:bottom w:w="0" w:type="dxa"/>
          <w:right w:w="108" w:type="dxa"/>
        </w:tblCellMar>
      </w:tblPr>
      <w:tblGrid>
        <w:gridCol w:w="680"/>
        <w:gridCol w:w="3980"/>
        <w:gridCol w:w="580"/>
        <w:gridCol w:w="2820"/>
        <w:gridCol w:w="3140"/>
        <w:gridCol w:w="700"/>
        <w:gridCol w:w="940"/>
        <w:gridCol w:w="1120"/>
        <w:gridCol w:w="1580"/>
      </w:tblGrid>
      <w:tr>
        <w:tblPrEx>
          <w:tblLayout w:type="fixed"/>
          <w:tblCellMar>
            <w:top w:w="0" w:type="dxa"/>
            <w:left w:w="108" w:type="dxa"/>
            <w:bottom w:w="0" w:type="dxa"/>
            <w:right w:w="108" w:type="dxa"/>
          </w:tblCellMar>
        </w:tblPrEx>
        <w:trPr>
          <w:trHeight w:val="424" w:hRule="atLeast"/>
        </w:trPr>
        <w:tc>
          <w:tcPr>
            <w:tcW w:w="680"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点位</w:t>
            </w:r>
          </w:p>
        </w:tc>
        <w:tc>
          <w:tcPr>
            <w:tcW w:w="3980" w:type="dxa"/>
            <w:vMerge w:val="restart"/>
            <w:tcBorders>
              <w:top w:val="single" w:color="auto" w:sz="4" w:space="0"/>
              <w:left w:val="single" w:color="auto" w:sz="4" w:space="0"/>
              <w:right w:val="single" w:color="000000" w:sz="4" w:space="0"/>
            </w:tcBorders>
            <w:shd w:val="clear" w:color="auto" w:fill="auto"/>
            <w:vAlign w:val="center"/>
          </w:tcPr>
          <w:p>
            <w:pPr>
              <w:widowControl/>
              <w:jc w:val="center"/>
              <w:rPr>
                <w:rFonts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现状缺陷</w:t>
            </w:r>
          </w:p>
        </w:tc>
        <w:tc>
          <w:tcPr>
            <w:tcW w:w="10880" w:type="dxa"/>
            <w:gridSpan w:val="7"/>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改造方案</w:t>
            </w:r>
          </w:p>
        </w:tc>
      </w:tr>
      <w:tr>
        <w:tblPrEx>
          <w:tblLayout w:type="fixed"/>
          <w:tblCellMar>
            <w:top w:w="0" w:type="dxa"/>
            <w:left w:w="108" w:type="dxa"/>
            <w:bottom w:w="0" w:type="dxa"/>
            <w:right w:w="108" w:type="dxa"/>
          </w:tblCellMar>
        </w:tblPrEx>
        <w:trPr>
          <w:trHeight w:val="415" w:hRule="atLeast"/>
        </w:trPr>
        <w:tc>
          <w:tcPr>
            <w:tcW w:w="680" w:type="dxa"/>
            <w:vMerge w:val="continue"/>
            <w:tcBorders>
              <w:left w:val="single" w:color="auto" w:sz="4" w:space="0"/>
              <w:right w:val="single" w:color="auto" w:sz="4" w:space="0"/>
            </w:tcBorders>
            <w:vAlign w:val="center"/>
          </w:tcPr>
          <w:p>
            <w:pPr>
              <w:widowControl/>
              <w:jc w:val="left"/>
              <w:rPr>
                <w:rFonts w:cs="宋体" w:asciiTheme="minorEastAsia" w:hAnsiTheme="minorEastAsia" w:eastAsiaTheme="minorEastAsia"/>
                <w:b/>
                <w:bCs/>
                <w:color w:val="000000"/>
                <w:kern w:val="0"/>
                <w:sz w:val="18"/>
                <w:szCs w:val="18"/>
              </w:rPr>
            </w:pPr>
          </w:p>
        </w:tc>
        <w:tc>
          <w:tcPr>
            <w:tcW w:w="3980" w:type="dxa"/>
            <w:vMerge w:val="continue"/>
            <w:tcBorders>
              <w:left w:val="single" w:color="auto" w:sz="4" w:space="0"/>
              <w:right w:val="single" w:color="000000" w:sz="4" w:space="0"/>
            </w:tcBorders>
            <w:vAlign w:val="center"/>
          </w:tcPr>
          <w:p>
            <w:pPr>
              <w:widowControl/>
              <w:jc w:val="left"/>
              <w:rPr>
                <w:rFonts w:cs="宋体" w:asciiTheme="minorEastAsia" w:hAnsiTheme="minorEastAsia" w:eastAsiaTheme="minorEastAsia"/>
                <w:b/>
                <w:bCs/>
                <w:color w:val="000000"/>
                <w:kern w:val="0"/>
                <w:sz w:val="18"/>
                <w:szCs w:val="18"/>
              </w:rPr>
            </w:pPr>
          </w:p>
        </w:tc>
        <w:tc>
          <w:tcPr>
            <w:tcW w:w="580" w:type="dxa"/>
            <w:vMerge w:val="restart"/>
            <w:tcBorders>
              <w:top w:val="nil"/>
              <w:left w:val="nil"/>
              <w:right w:val="single" w:color="auto" w:sz="4" w:space="0"/>
            </w:tcBorders>
            <w:shd w:val="clear" w:color="auto" w:fill="auto"/>
            <w:noWrap/>
            <w:vAlign w:val="center"/>
          </w:tcPr>
          <w:p>
            <w:pPr>
              <w:widowControl/>
              <w:jc w:val="center"/>
              <w:rPr>
                <w:rFonts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序</w:t>
            </w:r>
          </w:p>
        </w:tc>
        <w:tc>
          <w:tcPr>
            <w:tcW w:w="2820" w:type="dxa"/>
            <w:vMerge w:val="restart"/>
            <w:tcBorders>
              <w:top w:val="nil"/>
              <w:left w:val="nil"/>
              <w:right w:val="single" w:color="auto" w:sz="4" w:space="0"/>
            </w:tcBorders>
            <w:shd w:val="clear" w:color="auto" w:fill="auto"/>
            <w:noWrap/>
            <w:vAlign w:val="center"/>
          </w:tcPr>
          <w:p>
            <w:pPr>
              <w:widowControl/>
              <w:jc w:val="center"/>
              <w:rPr>
                <w:rFonts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完善内容</w:t>
            </w:r>
          </w:p>
        </w:tc>
        <w:tc>
          <w:tcPr>
            <w:tcW w:w="3140" w:type="dxa"/>
            <w:vMerge w:val="restart"/>
            <w:tcBorders>
              <w:top w:val="nil"/>
              <w:left w:val="nil"/>
              <w:right w:val="single" w:color="auto" w:sz="4" w:space="0"/>
            </w:tcBorders>
            <w:shd w:val="clear" w:color="000000" w:fill="FFFFFF"/>
            <w:noWrap/>
            <w:vAlign w:val="center"/>
          </w:tcPr>
          <w:p>
            <w:pPr>
              <w:widowControl/>
              <w:jc w:val="center"/>
              <w:rPr>
                <w:rFonts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规格</w:t>
            </w:r>
          </w:p>
        </w:tc>
        <w:tc>
          <w:tcPr>
            <w:tcW w:w="700" w:type="dxa"/>
            <w:vMerge w:val="restart"/>
            <w:tcBorders>
              <w:top w:val="nil"/>
              <w:left w:val="nil"/>
              <w:right w:val="single" w:color="auto" w:sz="4" w:space="0"/>
            </w:tcBorders>
            <w:shd w:val="clear" w:color="auto" w:fill="auto"/>
            <w:noWrap/>
            <w:vAlign w:val="center"/>
          </w:tcPr>
          <w:p>
            <w:pPr>
              <w:widowControl/>
              <w:jc w:val="center"/>
              <w:rPr>
                <w:rFonts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单位</w:t>
            </w:r>
          </w:p>
        </w:tc>
        <w:tc>
          <w:tcPr>
            <w:tcW w:w="940" w:type="dxa"/>
            <w:vMerge w:val="restart"/>
            <w:tcBorders>
              <w:top w:val="nil"/>
              <w:left w:val="nil"/>
              <w:right w:val="single" w:color="auto" w:sz="4" w:space="0"/>
            </w:tcBorders>
            <w:shd w:val="clear" w:color="auto" w:fill="auto"/>
            <w:noWrap/>
            <w:vAlign w:val="center"/>
          </w:tcPr>
          <w:p>
            <w:pPr>
              <w:widowControl/>
              <w:jc w:val="center"/>
              <w:rPr>
                <w:rFonts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数量</w:t>
            </w:r>
          </w:p>
        </w:tc>
        <w:tc>
          <w:tcPr>
            <w:tcW w:w="2700" w:type="dxa"/>
            <w:gridSpan w:val="2"/>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投标报价</w:t>
            </w:r>
          </w:p>
        </w:tc>
      </w:tr>
      <w:tr>
        <w:tblPrEx>
          <w:tblLayout w:type="fixed"/>
          <w:tblCellMar>
            <w:top w:w="0" w:type="dxa"/>
            <w:left w:w="108" w:type="dxa"/>
            <w:bottom w:w="0" w:type="dxa"/>
            <w:right w:w="108" w:type="dxa"/>
          </w:tblCellMar>
        </w:tblPrEx>
        <w:trPr>
          <w:trHeight w:val="660" w:hRule="atLeast"/>
        </w:trPr>
        <w:tc>
          <w:tcPr>
            <w:tcW w:w="680" w:type="dxa"/>
            <w:vMerge w:val="continue"/>
            <w:tcBorders>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b/>
                <w:bCs/>
                <w:color w:val="000000"/>
                <w:kern w:val="0"/>
                <w:sz w:val="18"/>
                <w:szCs w:val="18"/>
              </w:rPr>
            </w:pPr>
          </w:p>
        </w:tc>
        <w:tc>
          <w:tcPr>
            <w:tcW w:w="3980" w:type="dxa"/>
            <w:vMerge w:val="continue"/>
            <w:tcBorders>
              <w:left w:val="single" w:color="auto" w:sz="4" w:space="0"/>
              <w:bottom w:val="single" w:color="000000" w:sz="4" w:space="0"/>
              <w:right w:val="single" w:color="000000" w:sz="4" w:space="0"/>
            </w:tcBorders>
            <w:vAlign w:val="center"/>
          </w:tcPr>
          <w:p>
            <w:pPr>
              <w:widowControl/>
              <w:jc w:val="left"/>
              <w:rPr>
                <w:rFonts w:cs="宋体" w:asciiTheme="minorEastAsia" w:hAnsiTheme="minorEastAsia" w:eastAsiaTheme="minorEastAsia"/>
                <w:b/>
                <w:bCs/>
                <w:color w:val="000000"/>
                <w:kern w:val="0"/>
                <w:sz w:val="18"/>
                <w:szCs w:val="18"/>
              </w:rPr>
            </w:pPr>
          </w:p>
        </w:tc>
        <w:tc>
          <w:tcPr>
            <w:tcW w:w="580" w:type="dxa"/>
            <w:vMerge w:val="continue"/>
            <w:tcBorders>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b/>
                <w:bCs/>
                <w:color w:val="000000"/>
                <w:kern w:val="0"/>
                <w:sz w:val="18"/>
                <w:szCs w:val="18"/>
              </w:rPr>
            </w:pPr>
          </w:p>
        </w:tc>
        <w:tc>
          <w:tcPr>
            <w:tcW w:w="2820" w:type="dxa"/>
            <w:vMerge w:val="continue"/>
            <w:tcBorders>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b/>
                <w:bCs/>
                <w:color w:val="000000"/>
                <w:kern w:val="0"/>
                <w:sz w:val="18"/>
                <w:szCs w:val="18"/>
              </w:rPr>
            </w:pPr>
          </w:p>
        </w:tc>
        <w:tc>
          <w:tcPr>
            <w:tcW w:w="3140" w:type="dxa"/>
            <w:vMerge w:val="continue"/>
            <w:tcBorders>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eastAsiaTheme="minorEastAsia"/>
                <w:b/>
                <w:bCs/>
                <w:color w:val="000000"/>
                <w:kern w:val="0"/>
                <w:sz w:val="18"/>
                <w:szCs w:val="18"/>
              </w:rPr>
            </w:pPr>
          </w:p>
        </w:tc>
        <w:tc>
          <w:tcPr>
            <w:tcW w:w="700" w:type="dxa"/>
            <w:vMerge w:val="continue"/>
            <w:tcBorders>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b/>
                <w:bCs/>
                <w:color w:val="000000"/>
                <w:kern w:val="0"/>
                <w:sz w:val="18"/>
                <w:szCs w:val="18"/>
              </w:rPr>
            </w:pPr>
          </w:p>
        </w:tc>
        <w:tc>
          <w:tcPr>
            <w:tcW w:w="940" w:type="dxa"/>
            <w:vMerge w:val="continue"/>
            <w:tcBorders>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b/>
                <w:bCs/>
                <w:color w:val="000000"/>
                <w:kern w:val="0"/>
                <w:sz w:val="18"/>
                <w:szCs w:val="18"/>
              </w:rPr>
            </w:pPr>
          </w:p>
        </w:tc>
        <w:tc>
          <w:tcPr>
            <w:tcW w:w="112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综合单价（元）</w:t>
            </w:r>
          </w:p>
        </w:tc>
        <w:tc>
          <w:tcPr>
            <w:tcW w:w="158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合价</w:t>
            </w:r>
          </w:p>
          <w:p>
            <w:pPr>
              <w:widowControl/>
              <w:jc w:val="center"/>
              <w:rPr>
                <w:rFonts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（元）</w:t>
            </w:r>
          </w:p>
        </w:tc>
      </w:tr>
      <w:tr>
        <w:tblPrEx>
          <w:tblLayout w:type="fixed"/>
          <w:tblCellMar>
            <w:top w:w="0" w:type="dxa"/>
            <w:left w:w="108" w:type="dxa"/>
            <w:bottom w:w="0" w:type="dxa"/>
            <w:right w:w="108" w:type="dxa"/>
          </w:tblCellMar>
        </w:tblPrEx>
        <w:trPr>
          <w:trHeight w:val="799" w:hRule="atLeast"/>
        </w:trPr>
        <w:tc>
          <w:tcPr>
            <w:tcW w:w="680" w:type="dxa"/>
            <w:tcBorders>
              <w:top w:val="nil"/>
              <w:left w:val="single" w:color="auto" w:sz="4" w:space="0"/>
              <w:bottom w:val="nil"/>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w:t>
            </w:r>
          </w:p>
        </w:tc>
        <w:tc>
          <w:tcPr>
            <w:tcW w:w="3980" w:type="dxa"/>
            <w:tcBorders>
              <w:top w:val="single" w:color="auto" w:sz="4" w:space="0"/>
              <w:left w:val="nil"/>
              <w:bottom w:val="nil"/>
              <w:right w:val="single" w:color="000000" w:sz="4" w:space="0"/>
            </w:tcBorders>
            <w:shd w:val="clear" w:color="auto" w:fill="auto"/>
            <w:vAlign w:val="center"/>
          </w:tcPr>
          <w:p>
            <w:pPr>
              <w:widowControl/>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综合楼周边及主干道两旁等重要区域内275株大乔木树穴裸露849m2</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w:t>
            </w:r>
          </w:p>
        </w:tc>
        <w:tc>
          <w:tcPr>
            <w:tcW w:w="282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铺设火山岩覆盖树穴裸土</w:t>
            </w:r>
          </w:p>
        </w:tc>
        <w:tc>
          <w:tcPr>
            <w:tcW w:w="3140" w:type="dxa"/>
            <w:tcBorders>
              <w:top w:val="nil"/>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1、品种：火山岩</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2、规格：粒径3-5cm</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3、厚度：5cm</w:t>
            </w:r>
          </w:p>
        </w:tc>
        <w:tc>
          <w:tcPr>
            <w:tcW w:w="70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m2</w:t>
            </w:r>
          </w:p>
        </w:tc>
        <w:tc>
          <w:tcPr>
            <w:tcW w:w="94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xml:space="preserve">849 </w:t>
            </w:r>
          </w:p>
        </w:tc>
        <w:tc>
          <w:tcPr>
            <w:tcW w:w="112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18"/>
                <w:szCs w:val="18"/>
              </w:rPr>
            </w:pPr>
          </w:p>
        </w:tc>
        <w:tc>
          <w:tcPr>
            <w:tcW w:w="158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18"/>
                <w:szCs w:val="18"/>
              </w:rPr>
            </w:pPr>
          </w:p>
        </w:tc>
      </w:tr>
      <w:tr>
        <w:tblPrEx>
          <w:tblLayout w:type="fixed"/>
          <w:tblCellMar>
            <w:top w:w="0" w:type="dxa"/>
            <w:left w:w="108" w:type="dxa"/>
            <w:bottom w:w="0" w:type="dxa"/>
            <w:right w:w="108" w:type="dxa"/>
          </w:tblCellMar>
        </w:tblPrEx>
        <w:trPr>
          <w:trHeight w:val="438" w:hRule="atLeast"/>
        </w:trPr>
        <w:tc>
          <w:tcPr>
            <w:tcW w:w="6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一</w:t>
            </w:r>
          </w:p>
        </w:tc>
        <w:tc>
          <w:tcPr>
            <w:tcW w:w="13280" w:type="dxa"/>
            <w:gridSpan w:val="7"/>
            <w:tcBorders>
              <w:top w:val="single" w:color="auto" w:sz="4" w:space="0"/>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分部分项工程量清单</w:t>
            </w:r>
          </w:p>
        </w:tc>
        <w:tc>
          <w:tcPr>
            <w:tcW w:w="158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p>
        </w:tc>
      </w:tr>
      <w:tr>
        <w:tblPrEx>
          <w:tblLayout w:type="fixed"/>
          <w:tblCellMar>
            <w:top w:w="0" w:type="dxa"/>
            <w:left w:w="108" w:type="dxa"/>
            <w:bottom w:w="0" w:type="dxa"/>
            <w:right w:w="108" w:type="dxa"/>
          </w:tblCellMar>
        </w:tblPrEx>
        <w:trPr>
          <w:trHeight w:val="416" w:hRule="atLeast"/>
        </w:trPr>
        <w:tc>
          <w:tcPr>
            <w:tcW w:w="6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二</w:t>
            </w:r>
          </w:p>
        </w:tc>
        <w:tc>
          <w:tcPr>
            <w:tcW w:w="13280" w:type="dxa"/>
            <w:gridSpan w:val="7"/>
            <w:tcBorders>
              <w:top w:val="single" w:color="auto" w:sz="4" w:space="0"/>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总价措施项目</w:t>
            </w:r>
          </w:p>
        </w:tc>
        <w:tc>
          <w:tcPr>
            <w:tcW w:w="158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b/>
                <w:bCs/>
                <w:color w:val="000000"/>
                <w:kern w:val="0"/>
                <w:sz w:val="18"/>
                <w:szCs w:val="18"/>
              </w:rPr>
            </w:pPr>
          </w:p>
        </w:tc>
      </w:tr>
      <w:tr>
        <w:tblPrEx>
          <w:tblLayout w:type="fixed"/>
          <w:tblCellMar>
            <w:top w:w="0" w:type="dxa"/>
            <w:left w:w="108" w:type="dxa"/>
            <w:bottom w:w="0" w:type="dxa"/>
            <w:right w:w="108" w:type="dxa"/>
          </w:tblCellMar>
        </w:tblPrEx>
        <w:trPr>
          <w:trHeight w:val="409" w:hRule="atLeast"/>
        </w:trPr>
        <w:tc>
          <w:tcPr>
            <w:tcW w:w="6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w:t>
            </w:r>
          </w:p>
        </w:tc>
        <w:tc>
          <w:tcPr>
            <w:tcW w:w="13280" w:type="dxa"/>
            <w:gridSpan w:val="7"/>
            <w:tcBorders>
              <w:top w:val="single" w:color="auto" w:sz="4" w:space="0"/>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现场安全文明施工</w:t>
            </w:r>
          </w:p>
        </w:tc>
        <w:tc>
          <w:tcPr>
            <w:tcW w:w="158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r>
      <w:tr>
        <w:tblPrEx>
          <w:tblLayout w:type="fixed"/>
          <w:tblCellMar>
            <w:top w:w="0" w:type="dxa"/>
            <w:left w:w="108" w:type="dxa"/>
            <w:bottom w:w="0" w:type="dxa"/>
            <w:right w:w="108" w:type="dxa"/>
          </w:tblCellMar>
        </w:tblPrEx>
        <w:trPr>
          <w:trHeight w:val="429" w:hRule="atLeast"/>
        </w:trPr>
        <w:tc>
          <w:tcPr>
            <w:tcW w:w="6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①</w:t>
            </w:r>
          </w:p>
        </w:tc>
        <w:tc>
          <w:tcPr>
            <w:tcW w:w="13280" w:type="dxa"/>
            <w:gridSpan w:val="7"/>
            <w:tcBorders>
              <w:top w:val="single" w:color="auto" w:sz="4" w:space="0"/>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基本费：（分部分项工程费+单价措施项目费-除税工程设备费）*1%</w:t>
            </w:r>
          </w:p>
        </w:tc>
        <w:tc>
          <w:tcPr>
            <w:tcW w:w="158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p>
        </w:tc>
      </w:tr>
      <w:tr>
        <w:tblPrEx>
          <w:tblLayout w:type="fixed"/>
          <w:tblCellMar>
            <w:top w:w="0" w:type="dxa"/>
            <w:left w:w="108" w:type="dxa"/>
            <w:bottom w:w="0" w:type="dxa"/>
            <w:right w:w="108" w:type="dxa"/>
          </w:tblCellMar>
        </w:tblPrEx>
        <w:trPr>
          <w:trHeight w:val="406" w:hRule="atLeast"/>
        </w:trPr>
        <w:tc>
          <w:tcPr>
            <w:tcW w:w="6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②</w:t>
            </w:r>
          </w:p>
        </w:tc>
        <w:tc>
          <w:tcPr>
            <w:tcW w:w="13280" w:type="dxa"/>
            <w:gridSpan w:val="7"/>
            <w:tcBorders>
              <w:top w:val="single" w:color="auto" w:sz="4" w:space="0"/>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扬尘污染防治增加费：（分部分项工程费+单价措施项目费-除税工程设备费）*0.21%</w:t>
            </w:r>
          </w:p>
        </w:tc>
        <w:tc>
          <w:tcPr>
            <w:tcW w:w="158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p>
        </w:tc>
      </w:tr>
      <w:tr>
        <w:tblPrEx>
          <w:tblLayout w:type="fixed"/>
          <w:tblCellMar>
            <w:top w:w="0" w:type="dxa"/>
            <w:left w:w="108" w:type="dxa"/>
            <w:bottom w:w="0" w:type="dxa"/>
            <w:right w:w="108" w:type="dxa"/>
          </w:tblCellMar>
        </w:tblPrEx>
        <w:trPr>
          <w:trHeight w:val="426" w:hRule="atLeast"/>
        </w:trPr>
        <w:tc>
          <w:tcPr>
            <w:tcW w:w="6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三</w:t>
            </w:r>
          </w:p>
        </w:tc>
        <w:tc>
          <w:tcPr>
            <w:tcW w:w="13280" w:type="dxa"/>
            <w:gridSpan w:val="7"/>
            <w:tcBorders>
              <w:top w:val="single" w:color="auto" w:sz="4" w:space="0"/>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规费：社会保险费+住房公积金=(分部分项工程费+措施项目费+其他项目费-除税工程设备费)*(3.3%+0.55%)</w:t>
            </w:r>
          </w:p>
        </w:tc>
        <w:tc>
          <w:tcPr>
            <w:tcW w:w="158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b/>
                <w:bCs/>
                <w:color w:val="000000"/>
                <w:kern w:val="0"/>
                <w:sz w:val="18"/>
                <w:szCs w:val="18"/>
              </w:rPr>
            </w:pPr>
          </w:p>
        </w:tc>
      </w:tr>
      <w:tr>
        <w:tblPrEx>
          <w:tblLayout w:type="fixed"/>
          <w:tblCellMar>
            <w:top w:w="0" w:type="dxa"/>
            <w:left w:w="108" w:type="dxa"/>
            <w:bottom w:w="0" w:type="dxa"/>
            <w:right w:w="108" w:type="dxa"/>
          </w:tblCellMar>
        </w:tblPrEx>
        <w:trPr>
          <w:trHeight w:val="544" w:hRule="atLeast"/>
        </w:trPr>
        <w:tc>
          <w:tcPr>
            <w:tcW w:w="6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四</w:t>
            </w:r>
          </w:p>
        </w:tc>
        <w:tc>
          <w:tcPr>
            <w:tcW w:w="13280" w:type="dxa"/>
            <w:gridSpan w:val="7"/>
            <w:tcBorders>
              <w:top w:val="single" w:color="auto" w:sz="4" w:space="0"/>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税金：(分部分项工程费+措施项目费+其他项目费+规费-除税甲供材料和甲供设备费/1.01)*9%</w:t>
            </w:r>
          </w:p>
        </w:tc>
        <w:tc>
          <w:tcPr>
            <w:tcW w:w="158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b/>
                <w:bCs/>
                <w:color w:val="000000"/>
                <w:kern w:val="0"/>
                <w:sz w:val="18"/>
                <w:szCs w:val="18"/>
              </w:rPr>
            </w:pPr>
          </w:p>
        </w:tc>
      </w:tr>
      <w:tr>
        <w:tblPrEx>
          <w:tblLayout w:type="fixed"/>
          <w:tblCellMar>
            <w:top w:w="0" w:type="dxa"/>
            <w:left w:w="108" w:type="dxa"/>
            <w:bottom w:w="0" w:type="dxa"/>
            <w:right w:w="108" w:type="dxa"/>
          </w:tblCellMar>
        </w:tblPrEx>
        <w:trPr>
          <w:trHeight w:val="426" w:hRule="atLeast"/>
        </w:trPr>
        <w:tc>
          <w:tcPr>
            <w:tcW w:w="6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五</w:t>
            </w:r>
          </w:p>
        </w:tc>
        <w:tc>
          <w:tcPr>
            <w:tcW w:w="13280" w:type="dxa"/>
            <w:gridSpan w:val="7"/>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b/>
                <w:bCs/>
                <w:color w:val="000000"/>
                <w:kern w:val="0"/>
                <w:sz w:val="18"/>
                <w:szCs w:val="18"/>
              </w:rPr>
              <w:t xml:space="preserve">总造价（上述四个分项合计）  本项单位为“万元”    </w:t>
            </w:r>
            <w:r>
              <w:rPr>
                <w:rFonts w:hint="eastAsia" w:ascii="宋体" w:hAnsi="宋体" w:cs="宋体"/>
                <w:color w:val="000000"/>
                <w:kern w:val="0"/>
                <w:sz w:val="18"/>
                <w:szCs w:val="18"/>
              </w:rPr>
              <w:t xml:space="preserve"> </w:t>
            </w:r>
            <w:r>
              <w:rPr>
                <w:rFonts w:hint="eastAsia" w:ascii="宋体" w:hAnsi="宋体" w:cs="宋体"/>
                <w:b/>
                <w:color w:val="0000FF"/>
                <w:kern w:val="0"/>
                <w:szCs w:val="21"/>
              </w:rPr>
              <w:t>特别提醒：不得超过5.3376</w:t>
            </w:r>
            <w:r>
              <w:rPr>
                <w:rFonts w:hint="eastAsia" w:ascii="宋体" w:hAnsi="宋体" w:cs="宋体"/>
                <w:b/>
                <w:bCs/>
                <w:color w:val="0000FF"/>
                <w:kern w:val="0"/>
                <w:szCs w:val="21"/>
              </w:rPr>
              <w:t>万</w:t>
            </w:r>
            <w:r>
              <w:rPr>
                <w:rFonts w:hint="eastAsia" w:ascii="宋体" w:hAnsi="宋体" w:cs="宋体"/>
                <w:b/>
                <w:color w:val="0000FF"/>
                <w:kern w:val="0"/>
                <w:szCs w:val="21"/>
              </w:rPr>
              <w:t>元，</w:t>
            </w:r>
            <w:r>
              <w:rPr>
                <w:rFonts w:hint="eastAsia" w:ascii="宋体" w:hAnsi="宋体"/>
                <w:b/>
                <w:color w:val="0000FF"/>
                <w:szCs w:val="21"/>
              </w:rPr>
              <w:t>否则为无效报价。</w:t>
            </w:r>
          </w:p>
        </w:tc>
        <w:tc>
          <w:tcPr>
            <w:tcW w:w="15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b/>
                <w:bCs/>
                <w:color w:val="000000"/>
                <w:kern w:val="0"/>
                <w:sz w:val="18"/>
                <w:szCs w:val="18"/>
              </w:rPr>
            </w:pPr>
          </w:p>
        </w:tc>
      </w:tr>
      <w:tr>
        <w:tblPrEx>
          <w:tblLayout w:type="fixed"/>
          <w:tblCellMar>
            <w:top w:w="0" w:type="dxa"/>
            <w:left w:w="108" w:type="dxa"/>
            <w:bottom w:w="0" w:type="dxa"/>
            <w:right w:w="108" w:type="dxa"/>
          </w:tblCellMar>
        </w:tblPrEx>
        <w:trPr>
          <w:trHeight w:val="566" w:hRule="atLeast"/>
        </w:trPr>
        <w:tc>
          <w:tcPr>
            <w:tcW w:w="6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六</w:t>
            </w:r>
          </w:p>
        </w:tc>
        <w:tc>
          <w:tcPr>
            <w:tcW w:w="13280" w:type="dxa"/>
            <w:gridSpan w:val="7"/>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18"/>
                <w:szCs w:val="18"/>
              </w:rPr>
            </w:pPr>
            <w:r>
              <w:rPr>
                <w:rFonts w:hint="eastAsia" w:ascii="宋体" w:hAnsi="宋体" w:cs="宋体"/>
                <w:b/>
                <w:bCs/>
                <w:color w:val="000000"/>
                <w:kern w:val="0"/>
                <w:sz w:val="18"/>
                <w:szCs w:val="18"/>
              </w:rPr>
              <w:t xml:space="preserve">上述内容在两年内实施完成，每年的平均费用，即第五项/2年   本项单位为“万元/年”    </w:t>
            </w:r>
            <w:r>
              <w:rPr>
                <w:rFonts w:hint="eastAsia" w:ascii="宋体" w:hAnsi="宋体" w:cs="宋体"/>
                <w:b/>
                <w:bCs/>
                <w:color w:val="0000FF"/>
                <w:kern w:val="0"/>
                <w:sz w:val="18"/>
                <w:szCs w:val="18"/>
              </w:rPr>
              <w:t>特别提醒：不得超过2.6688万元/年，否则为无效报价。</w:t>
            </w:r>
          </w:p>
        </w:tc>
        <w:tc>
          <w:tcPr>
            <w:tcW w:w="15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b/>
                <w:bCs/>
                <w:color w:val="000000"/>
                <w:kern w:val="0"/>
                <w:sz w:val="18"/>
                <w:szCs w:val="18"/>
              </w:rPr>
            </w:pPr>
          </w:p>
        </w:tc>
      </w:tr>
    </w:tbl>
    <w:p>
      <w:pPr>
        <w:widowControl/>
        <w:jc w:val="left"/>
        <w:rPr>
          <w:rFonts w:ascii="宋体" w:hAnsi="宋体" w:cs="宋体"/>
          <w:b/>
          <w:color w:val="000000"/>
          <w:kern w:val="0"/>
          <w:sz w:val="18"/>
          <w:szCs w:val="18"/>
        </w:rPr>
      </w:pPr>
      <w:r>
        <w:rPr>
          <w:rFonts w:hint="eastAsia" w:ascii="宋体" w:hAnsi="宋体" w:cs="宋体"/>
          <w:b/>
          <w:color w:val="000000"/>
          <w:kern w:val="0"/>
          <w:sz w:val="18"/>
          <w:szCs w:val="18"/>
        </w:rPr>
        <w:t>说明：</w:t>
      </w:r>
      <w:r>
        <w:rPr>
          <w:rFonts w:hint="eastAsia" w:ascii="宋体" w:hAnsi="宋体" w:cs="宋体"/>
          <w:color w:val="000000"/>
          <w:kern w:val="0"/>
          <w:sz w:val="18"/>
          <w:szCs w:val="18"/>
        </w:rPr>
        <w:t>①按同类工程专业规范（定额、造价信息等）理性报价。②中标后，承包人需向发包方提出申请，核批后才能实施。③数量暂定，以监理签证量为准，按实结算。</w:t>
      </w:r>
    </w:p>
    <w:p>
      <w:pPr>
        <w:widowControl/>
        <w:textAlignment w:val="center"/>
        <w:rPr>
          <w:rFonts w:ascii="宋体" w:hAnsi="宋体"/>
          <w:b/>
          <w:bCs/>
          <w:color w:val="000000"/>
          <w:sz w:val="24"/>
        </w:rPr>
        <w:sectPr>
          <w:headerReference r:id="rId12" w:type="default"/>
          <w:footerReference r:id="rId13" w:type="default"/>
          <w:pgSz w:w="16838" w:h="11906" w:orient="landscape"/>
          <w:pgMar w:top="1644" w:right="851" w:bottom="1797" w:left="1418" w:header="885" w:footer="839" w:gutter="0"/>
          <w:cols w:space="0" w:num="1"/>
        </w:sectPr>
      </w:pPr>
    </w:p>
    <w:p>
      <w:pPr>
        <w:widowControl/>
        <w:textAlignment w:val="center"/>
        <w:rPr>
          <w:rFonts w:ascii="宋体" w:hAnsi="宋体"/>
          <w:b/>
          <w:bCs/>
          <w:color w:val="000000"/>
          <w:sz w:val="24"/>
        </w:rPr>
      </w:pPr>
      <w:r>
        <w:rPr>
          <w:rFonts w:hint="eastAsia" w:ascii="宋体" w:hAnsi="宋体"/>
          <w:b/>
          <w:bCs/>
          <w:color w:val="000000"/>
          <w:sz w:val="24"/>
        </w:rPr>
        <w:t>十二、附表</w:t>
      </w:r>
    </w:p>
    <w:p>
      <w:pPr>
        <w:widowControl/>
        <w:textAlignment w:val="center"/>
        <w:rPr>
          <w:rFonts w:ascii="宋体" w:hAnsi="宋体"/>
          <w:b/>
          <w:bCs/>
          <w:color w:val="000000"/>
          <w:sz w:val="24"/>
        </w:rPr>
      </w:pPr>
    </w:p>
    <w:p>
      <w:pPr>
        <w:widowControl/>
        <w:textAlignment w:val="center"/>
        <w:rPr>
          <w:rFonts w:ascii="宋体" w:hAnsi="宋体"/>
          <w:b/>
          <w:bCs/>
          <w:color w:val="000000"/>
          <w:sz w:val="24"/>
        </w:rPr>
      </w:pPr>
    </w:p>
    <w:p>
      <w:pPr>
        <w:widowControl/>
        <w:textAlignment w:val="center"/>
        <w:rPr>
          <w:rFonts w:ascii="宋体" w:hAnsi="宋体" w:cs="宋体"/>
          <w:b/>
          <w:bCs/>
          <w:color w:val="000000"/>
          <w:kern w:val="0"/>
          <w:sz w:val="24"/>
          <w:szCs w:val="24"/>
        </w:rPr>
      </w:pPr>
      <w:r>
        <w:rPr>
          <w:rFonts w:hint="eastAsia" w:ascii="宋体" w:hAnsi="宋体"/>
          <w:b/>
          <w:bCs/>
          <w:color w:val="000000"/>
          <w:sz w:val="24"/>
        </w:rPr>
        <w:t>附表1：管护量明细表--南通市行政中心（含信访局）附属绿地</w:t>
      </w:r>
      <w:r>
        <w:rPr>
          <w:rFonts w:hint="eastAsia" w:ascii="宋体" w:hAnsi="宋体" w:cs="宋体"/>
          <w:b/>
          <w:bCs/>
          <w:color w:val="000000"/>
          <w:kern w:val="0"/>
          <w:sz w:val="24"/>
          <w:szCs w:val="24"/>
        </w:rPr>
        <w:t>管护项目</w:t>
      </w:r>
    </w:p>
    <w:tbl>
      <w:tblPr>
        <w:tblStyle w:val="5"/>
        <w:tblW w:w="8687" w:type="dxa"/>
        <w:tblInd w:w="10" w:type="dxa"/>
        <w:tblLayout w:type="fixed"/>
        <w:tblCellMar>
          <w:top w:w="0" w:type="dxa"/>
          <w:left w:w="108" w:type="dxa"/>
          <w:bottom w:w="0" w:type="dxa"/>
          <w:right w:w="108" w:type="dxa"/>
        </w:tblCellMar>
      </w:tblPr>
      <w:tblGrid>
        <w:gridCol w:w="1652"/>
        <w:gridCol w:w="855"/>
        <w:gridCol w:w="1170"/>
        <w:gridCol w:w="1080"/>
        <w:gridCol w:w="1155"/>
        <w:gridCol w:w="975"/>
        <w:gridCol w:w="900"/>
        <w:gridCol w:w="900"/>
      </w:tblGrid>
      <w:tr>
        <w:tblPrEx>
          <w:tblLayout w:type="fixed"/>
          <w:tblCellMar>
            <w:top w:w="0" w:type="dxa"/>
            <w:left w:w="108" w:type="dxa"/>
            <w:bottom w:w="0" w:type="dxa"/>
            <w:right w:w="108" w:type="dxa"/>
          </w:tblCellMar>
        </w:tblPrEx>
        <w:trPr>
          <w:trHeight w:val="420" w:hRule="atLeast"/>
        </w:trPr>
        <w:tc>
          <w:tcPr>
            <w:tcW w:w="8687" w:type="dxa"/>
            <w:gridSpan w:val="8"/>
            <w:tcBorders>
              <w:top w:val="nil"/>
              <w:left w:val="nil"/>
              <w:bottom w:val="nil"/>
              <w:right w:val="nil"/>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地点：南通市世纪大道6号，世纪大道侧、府东路西、府西路东、江岳路南</w:t>
            </w:r>
          </w:p>
          <w:p>
            <w:pPr>
              <w:pStyle w:val="2"/>
              <w:ind w:left="0" w:leftChars="0" w:right="63"/>
              <w:jc w:val="both"/>
              <w:rPr>
                <w:rFonts w:ascii="宋体" w:hAnsi="宋体" w:cs="宋体"/>
                <w:color w:val="000000"/>
                <w:kern w:val="0"/>
                <w:szCs w:val="21"/>
              </w:rPr>
            </w:pPr>
            <w:r>
              <w:rPr>
                <w:rFonts w:hint="eastAsia" w:ascii="宋体" w:hAnsi="宋体" w:cs="宋体"/>
                <w:color w:val="000000"/>
                <w:kern w:val="0"/>
                <w:szCs w:val="21"/>
              </w:rPr>
              <w:t>养护等级：一级</w:t>
            </w:r>
          </w:p>
        </w:tc>
      </w:tr>
      <w:tr>
        <w:tblPrEx>
          <w:tblLayout w:type="fixed"/>
          <w:tblCellMar>
            <w:top w:w="0" w:type="dxa"/>
            <w:left w:w="108" w:type="dxa"/>
            <w:bottom w:w="0" w:type="dxa"/>
            <w:right w:w="108" w:type="dxa"/>
          </w:tblCellMar>
        </w:tblPrEx>
        <w:trPr>
          <w:trHeight w:val="700" w:hRule="atLeast"/>
        </w:trPr>
        <w:tc>
          <w:tcPr>
            <w:tcW w:w="165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地段名称及起讫点</w:t>
            </w:r>
          </w:p>
        </w:tc>
        <w:tc>
          <w:tcPr>
            <w:tcW w:w="85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绿地                                                     总面积                                              （㎡）</w:t>
            </w:r>
          </w:p>
        </w:tc>
        <w:tc>
          <w:tcPr>
            <w:tcW w:w="5280" w:type="dxa"/>
            <w:gridSpan w:val="5"/>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其中</w:t>
            </w:r>
          </w:p>
        </w:tc>
        <w:tc>
          <w:tcPr>
            <w:tcW w:w="90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草花                                     面积                                    （㎡）</w:t>
            </w:r>
          </w:p>
        </w:tc>
      </w:tr>
      <w:tr>
        <w:tblPrEx>
          <w:tblLayout w:type="fixed"/>
          <w:tblCellMar>
            <w:top w:w="0" w:type="dxa"/>
            <w:left w:w="108" w:type="dxa"/>
            <w:bottom w:w="0" w:type="dxa"/>
            <w:right w:w="108" w:type="dxa"/>
          </w:tblCellMar>
        </w:tblPrEx>
        <w:trPr>
          <w:trHeight w:val="1140" w:hRule="atLeast"/>
        </w:trPr>
        <w:tc>
          <w:tcPr>
            <w:tcW w:w="165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Cs w:val="21"/>
              </w:rPr>
            </w:pPr>
          </w:p>
        </w:tc>
        <w:tc>
          <w:tcPr>
            <w:tcW w:w="85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Cs w:val="21"/>
              </w:rPr>
            </w:pPr>
          </w:p>
        </w:tc>
        <w:tc>
          <w:tcPr>
            <w:tcW w:w="11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色块地被                                                                                 乔灌木                          （㎡）</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草坪</w:t>
            </w:r>
          </w:p>
          <w:p>
            <w:pPr>
              <w:widowControl/>
              <w:jc w:val="center"/>
              <w:textAlignment w:val="center"/>
              <w:rPr>
                <w:rFonts w:ascii="宋体" w:hAnsi="宋体" w:cs="宋体"/>
                <w:color w:val="000000"/>
                <w:szCs w:val="21"/>
              </w:rPr>
            </w:pPr>
            <w:r>
              <w:rPr>
                <w:rFonts w:hint="eastAsia" w:ascii="宋体" w:hAnsi="宋体" w:cs="宋体"/>
                <w:color w:val="000000"/>
                <w:kern w:val="0"/>
                <w:szCs w:val="21"/>
              </w:rPr>
              <w:t>（复播                                                           黑麦草）（㎡）</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铺装                                    （㎡）</w:t>
            </w:r>
          </w:p>
        </w:tc>
        <w:tc>
          <w:tcPr>
            <w:tcW w:w="9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设施</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小计</w:t>
            </w:r>
          </w:p>
        </w:tc>
        <w:tc>
          <w:tcPr>
            <w:tcW w:w="90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Cs w:val="21"/>
              </w:rPr>
            </w:pPr>
          </w:p>
        </w:tc>
      </w:tr>
      <w:tr>
        <w:tblPrEx>
          <w:tblLayout w:type="fixed"/>
          <w:tblCellMar>
            <w:top w:w="0" w:type="dxa"/>
            <w:left w:w="108" w:type="dxa"/>
            <w:bottom w:w="0" w:type="dxa"/>
            <w:right w:w="108" w:type="dxa"/>
          </w:tblCellMar>
        </w:tblPrEx>
        <w:trPr>
          <w:trHeight w:val="2380" w:hRule="atLeast"/>
        </w:trPr>
        <w:tc>
          <w:tcPr>
            <w:tcW w:w="1652" w:type="dxa"/>
            <w:vMerge w:val="restart"/>
            <w:tcBorders>
              <w:top w:val="single" w:color="000000" w:sz="4" w:space="0"/>
              <w:left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南通市世纪大道6号，世纪大道北侧，府东路以西、府西路以东、江岳路以南，行政中心（含信访局）附属绿地（一级）</w:t>
            </w:r>
          </w:p>
        </w:tc>
        <w:tc>
          <w:tcPr>
            <w:tcW w:w="8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155442</w:t>
            </w:r>
          </w:p>
        </w:tc>
        <w:tc>
          <w:tcPr>
            <w:tcW w:w="11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29667.8</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117254</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7716</w:t>
            </w:r>
          </w:p>
        </w:tc>
        <w:tc>
          <w:tcPr>
            <w:tcW w:w="9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6座木桥园路、廊架、汀步等</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154638</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804</w:t>
            </w:r>
          </w:p>
        </w:tc>
      </w:tr>
      <w:tr>
        <w:tblPrEx>
          <w:tblLayout w:type="fixed"/>
          <w:tblCellMar>
            <w:top w:w="0" w:type="dxa"/>
            <w:left w:w="108" w:type="dxa"/>
            <w:bottom w:w="0" w:type="dxa"/>
            <w:right w:w="108" w:type="dxa"/>
          </w:tblCellMar>
        </w:tblPrEx>
        <w:trPr>
          <w:trHeight w:val="2170" w:hRule="atLeast"/>
        </w:trPr>
        <w:tc>
          <w:tcPr>
            <w:tcW w:w="1652" w:type="dxa"/>
            <w:vMerge w:val="continue"/>
            <w:tcBorders>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Cs w:val="21"/>
              </w:rPr>
            </w:pPr>
          </w:p>
        </w:tc>
        <w:tc>
          <w:tcPr>
            <w:tcW w:w="7035" w:type="dxa"/>
            <w:gridSpan w:val="7"/>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Cs w:val="21"/>
              </w:rPr>
            </w:pPr>
            <w:r>
              <w:rPr>
                <w:rFonts w:hint="eastAsia" w:ascii="宋体" w:hAnsi="宋体"/>
                <w:b/>
                <w:color w:val="0000FF"/>
                <w:szCs w:val="21"/>
              </w:rPr>
              <w:t>服从市机关事务管理局的监督和指导，积极响应并高质量完成该局提出的临时性任务，如四座小楼内庭绿植养护、两办会议室植物摆放（两个会议室，每室摆放雀舌罗汉松3盆、蝴蝶兰1盆、红掌6盆。会议前布置、会议后撤离。每月平均四次；综合楼台阶16只花箱内常年草花布置8平方米）、大院河道两侧绿植花卉养护工作等。合同期内负责大院内草坪河道雨水喷淋系统的使用及修复工作。</w:t>
            </w:r>
          </w:p>
        </w:tc>
      </w:tr>
    </w:tbl>
    <w:p>
      <w:pPr>
        <w:pStyle w:val="2"/>
        <w:ind w:left="63" w:right="63"/>
      </w:pPr>
    </w:p>
    <w:p/>
    <w:p>
      <w:pPr>
        <w:pStyle w:val="2"/>
        <w:ind w:left="63" w:right="63"/>
      </w:pPr>
    </w:p>
    <w:p/>
    <w:p>
      <w:pPr>
        <w:rPr>
          <w:rFonts w:ascii="宋体" w:hAnsi="宋体"/>
          <w:b/>
          <w:bCs/>
          <w:color w:val="000000"/>
          <w:sz w:val="24"/>
        </w:rPr>
      </w:pPr>
      <w:r>
        <w:rPr>
          <w:rFonts w:hint="eastAsia" w:ascii="宋体" w:hAnsi="宋体"/>
          <w:b/>
          <w:bCs/>
          <w:color w:val="000000"/>
          <w:sz w:val="24"/>
        </w:rPr>
        <w:br w:type="page"/>
      </w:r>
    </w:p>
    <w:p>
      <w:pPr>
        <w:widowControl/>
        <w:textAlignment w:val="center"/>
        <w:rPr>
          <w:rFonts w:ascii="宋体" w:hAnsi="宋体"/>
          <w:b/>
          <w:bCs/>
          <w:color w:val="000000"/>
          <w:sz w:val="24"/>
        </w:rPr>
      </w:pPr>
      <w:r>
        <w:rPr>
          <w:rFonts w:hint="eastAsia" w:ascii="宋体" w:hAnsi="宋体"/>
          <w:b/>
          <w:bCs/>
          <w:color w:val="000000"/>
          <w:sz w:val="24"/>
        </w:rPr>
        <w:t>附表2：绿地内绿化及设施参考明细表--市行政中心附属绿地管护项目</w:t>
      </w:r>
    </w:p>
    <w:tbl>
      <w:tblPr>
        <w:tblStyle w:val="5"/>
        <w:tblW w:w="8020" w:type="dxa"/>
        <w:tblInd w:w="95" w:type="dxa"/>
        <w:tblLayout w:type="fixed"/>
        <w:tblCellMar>
          <w:top w:w="0" w:type="dxa"/>
          <w:left w:w="108" w:type="dxa"/>
          <w:bottom w:w="0" w:type="dxa"/>
          <w:right w:w="108" w:type="dxa"/>
        </w:tblCellMar>
      </w:tblPr>
      <w:tblGrid>
        <w:gridCol w:w="560"/>
        <w:gridCol w:w="1180"/>
        <w:gridCol w:w="1080"/>
        <w:gridCol w:w="1080"/>
        <w:gridCol w:w="1080"/>
        <w:gridCol w:w="1080"/>
        <w:gridCol w:w="880"/>
        <w:gridCol w:w="1080"/>
      </w:tblGrid>
      <w:tr>
        <w:tblPrEx>
          <w:tblLayout w:type="fixed"/>
          <w:tblCellMar>
            <w:top w:w="0" w:type="dxa"/>
            <w:left w:w="108" w:type="dxa"/>
            <w:bottom w:w="0" w:type="dxa"/>
            <w:right w:w="108" w:type="dxa"/>
          </w:tblCellMar>
        </w:tblPrEx>
        <w:trPr>
          <w:trHeight w:val="570" w:hRule="atLeast"/>
        </w:trPr>
        <w:tc>
          <w:tcPr>
            <w:tcW w:w="8020" w:type="dxa"/>
            <w:gridSpan w:val="8"/>
            <w:tcBorders>
              <w:top w:val="nil"/>
              <w:left w:val="nil"/>
              <w:bottom w:val="nil"/>
              <w:right w:val="nil"/>
            </w:tcBorders>
            <w:shd w:val="clear" w:color="auto" w:fill="auto"/>
            <w:vAlign w:val="center"/>
          </w:tcPr>
          <w:p>
            <w:pPr>
              <w:widowControl/>
              <w:jc w:val="left"/>
              <w:rPr>
                <w:rFonts w:ascii="宋体" w:hAnsi="宋体" w:cs="宋体"/>
                <w:b/>
                <w:bCs/>
                <w:kern w:val="0"/>
                <w:sz w:val="24"/>
                <w:szCs w:val="24"/>
              </w:rPr>
            </w:pPr>
            <w:r>
              <w:rPr>
                <w:rFonts w:hint="eastAsia" w:ascii="宋体" w:hAnsi="宋体" w:cs="宋体"/>
                <w:b/>
                <w:bCs/>
                <w:kern w:val="0"/>
                <w:sz w:val="24"/>
                <w:szCs w:val="24"/>
              </w:rPr>
              <w:t xml:space="preserve">                    绿地内绿化明细参考清单</w:t>
            </w:r>
          </w:p>
        </w:tc>
      </w:tr>
      <w:tr>
        <w:tblPrEx>
          <w:tblLayout w:type="fixed"/>
          <w:tblCellMar>
            <w:top w:w="0" w:type="dxa"/>
            <w:left w:w="108" w:type="dxa"/>
            <w:bottom w:w="0" w:type="dxa"/>
            <w:right w:w="108" w:type="dxa"/>
          </w:tblCellMar>
        </w:tblPrEx>
        <w:trPr>
          <w:trHeight w:val="630" w:hRule="atLeast"/>
        </w:trPr>
        <w:tc>
          <w:tcPr>
            <w:tcW w:w="5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序</w:t>
            </w:r>
          </w:p>
        </w:tc>
        <w:tc>
          <w:tcPr>
            <w:tcW w:w="11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树种名称</w:t>
            </w:r>
          </w:p>
        </w:tc>
        <w:tc>
          <w:tcPr>
            <w:tcW w:w="432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规格(cm)</w:t>
            </w:r>
          </w:p>
        </w:tc>
        <w:tc>
          <w:tcPr>
            <w:tcW w:w="8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单位</w:t>
            </w:r>
          </w:p>
        </w:tc>
        <w:tc>
          <w:tcPr>
            <w:tcW w:w="10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数量</w:t>
            </w:r>
          </w:p>
        </w:tc>
      </w:tr>
      <w:tr>
        <w:tblPrEx>
          <w:tblLayout w:type="fixed"/>
          <w:tblCellMar>
            <w:top w:w="0" w:type="dxa"/>
            <w:left w:w="108" w:type="dxa"/>
            <w:bottom w:w="0" w:type="dxa"/>
            <w:right w:w="108" w:type="dxa"/>
          </w:tblCellMar>
        </w:tblPrEx>
        <w:trPr>
          <w:trHeight w:val="600" w:hRule="atLeast"/>
        </w:trPr>
        <w:tc>
          <w:tcPr>
            <w:tcW w:w="5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11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胸径</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地径</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蓬径</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高度</w:t>
            </w:r>
          </w:p>
        </w:tc>
        <w:tc>
          <w:tcPr>
            <w:tcW w:w="8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r>
      <w:tr>
        <w:tblPrEx>
          <w:tblLayout w:type="fixed"/>
          <w:tblCellMar>
            <w:top w:w="0" w:type="dxa"/>
            <w:left w:w="108" w:type="dxa"/>
            <w:bottom w:w="0" w:type="dxa"/>
            <w:right w:w="108" w:type="dxa"/>
          </w:tblCellMar>
        </w:tblPrEx>
        <w:trPr>
          <w:trHeight w:val="600" w:hRule="atLeast"/>
        </w:trPr>
        <w:tc>
          <w:tcPr>
            <w:tcW w:w="56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11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丛生榆树</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8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株</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r>
      <w:tr>
        <w:tblPrEx>
          <w:tblLayout w:type="fixed"/>
          <w:tblCellMar>
            <w:top w:w="0" w:type="dxa"/>
            <w:left w:w="108" w:type="dxa"/>
            <w:bottom w:w="0" w:type="dxa"/>
            <w:right w:w="108" w:type="dxa"/>
          </w:tblCellMar>
        </w:tblPrEx>
        <w:trPr>
          <w:trHeight w:val="600" w:hRule="atLeast"/>
        </w:trPr>
        <w:tc>
          <w:tcPr>
            <w:tcW w:w="56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3</w:t>
            </w:r>
          </w:p>
        </w:tc>
        <w:tc>
          <w:tcPr>
            <w:tcW w:w="11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白榆</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Φ55</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8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株</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r>
      <w:tr>
        <w:tblPrEx>
          <w:tblLayout w:type="fixed"/>
          <w:tblCellMar>
            <w:top w:w="0" w:type="dxa"/>
            <w:left w:w="108" w:type="dxa"/>
            <w:bottom w:w="0" w:type="dxa"/>
            <w:right w:w="108" w:type="dxa"/>
          </w:tblCellMar>
        </w:tblPrEx>
        <w:trPr>
          <w:trHeight w:val="600" w:hRule="atLeast"/>
        </w:trPr>
        <w:tc>
          <w:tcPr>
            <w:tcW w:w="56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4</w:t>
            </w:r>
          </w:p>
        </w:tc>
        <w:tc>
          <w:tcPr>
            <w:tcW w:w="11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池杉A</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Φ6-20</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8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株</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145</w:t>
            </w:r>
          </w:p>
        </w:tc>
      </w:tr>
      <w:tr>
        <w:tblPrEx>
          <w:tblLayout w:type="fixed"/>
          <w:tblCellMar>
            <w:top w:w="0" w:type="dxa"/>
            <w:left w:w="108" w:type="dxa"/>
            <w:bottom w:w="0" w:type="dxa"/>
            <w:right w:w="108" w:type="dxa"/>
          </w:tblCellMar>
        </w:tblPrEx>
        <w:trPr>
          <w:trHeight w:val="600" w:hRule="atLeast"/>
        </w:trPr>
        <w:tc>
          <w:tcPr>
            <w:tcW w:w="56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5</w:t>
            </w:r>
          </w:p>
        </w:tc>
        <w:tc>
          <w:tcPr>
            <w:tcW w:w="11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池杉B</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Φ20-25</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8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株</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7</w:t>
            </w:r>
          </w:p>
        </w:tc>
      </w:tr>
      <w:tr>
        <w:tblPrEx>
          <w:tblLayout w:type="fixed"/>
          <w:tblCellMar>
            <w:top w:w="0" w:type="dxa"/>
            <w:left w:w="108" w:type="dxa"/>
            <w:bottom w:w="0" w:type="dxa"/>
            <w:right w:w="108" w:type="dxa"/>
          </w:tblCellMar>
        </w:tblPrEx>
        <w:trPr>
          <w:trHeight w:val="600" w:hRule="atLeast"/>
        </w:trPr>
        <w:tc>
          <w:tcPr>
            <w:tcW w:w="56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6</w:t>
            </w:r>
          </w:p>
        </w:tc>
        <w:tc>
          <w:tcPr>
            <w:tcW w:w="11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垂柳A</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Φ8-10</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8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株</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20</w:t>
            </w:r>
          </w:p>
        </w:tc>
      </w:tr>
      <w:tr>
        <w:tblPrEx>
          <w:tblLayout w:type="fixed"/>
          <w:tblCellMar>
            <w:top w:w="0" w:type="dxa"/>
            <w:left w:w="108" w:type="dxa"/>
            <w:bottom w:w="0" w:type="dxa"/>
            <w:right w:w="108" w:type="dxa"/>
          </w:tblCellMar>
        </w:tblPrEx>
        <w:trPr>
          <w:trHeight w:val="600" w:hRule="atLeast"/>
        </w:trPr>
        <w:tc>
          <w:tcPr>
            <w:tcW w:w="56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7</w:t>
            </w:r>
          </w:p>
        </w:tc>
        <w:tc>
          <w:tcPr>
            <w:tcW w:w="11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垂柳B</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Φ10-18</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8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株</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94</w:t>
            </w:r>
          </w:p>
        </w:tc>
      </w:tr>
      <w:tr>
        <w:tblPrEx>
          <w:tblLayout w:type="fixed"/>
          <w:tblCellMar>
            <w:top w:w="0" w:type="dxa"/>
            <w:left w:w="108" w:type="dxa"/>
            <w:bottom w:w="0" w:type="dxa"/>
            <w:right w:w="108" w:type="dxa"/>
          </w:tblCellMar>
        </w:tblPrEx>
        <w:trPr>
          <w:trHeight w:val="600" w:hRule="atLeast"/>
        </w:trPr>
        <w:tc>
          <w:tcPr>
            <w:tcW w:w="56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8</w:t>
            </w:r>
          </w:p>
        </w:tc>
        <w:tc>
          <w:tcPr>
            <w:tcW w:w="11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垂柳C</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φ19-20</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8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株</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52</w:t>
            </w:r>
          </w:p>
        </w:tc>
      </w:tr>
      <w:tr>
        <w:tblPrEx>
          <w:tblLayout w:type="fixed"/>
          <w:tblCellMar>
            <w:top w:w="0" w:type="dxa"/>
            <w:left w:w="108" w:type="dxa"/>
            <w:bottom w:w="0" w:type="dxa"/>
            <w:right w:w="108" w:type="dxa"/>
          </w:tblCellMar>
        </w:tblPrEx>
        <w:trPr>
          <w:trHeight w:val="600" w:hRule="atLeast"/>
        </w:trPr>
        <w:tc>
          <w:tcPr>
            <w:tcW w:w="56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9</w:t>
            </w:r>
          </w:p>
        </w:tc>
        <w:tc>
          <w:tcPr>
            <w:tcW w:w="11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垂柳D</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Φ20-25</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8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株</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9</w:t>
            </w:r>
          </w:p>
        </w:tc>
      </w:tr>
      <w:tr>
        <w:tblPrEx>
          <w:tblLayout w:type="fixed"/>
          <w:tblCellMar>
            <w:top w:w="0" w:type="dxa"/>
            <w:left w:w="108" w:type="dxa"/>
            <w:bottom w:w="0" w:type="dxa"/>
            <w:right w:w="108" w:type="dxa"/>
          </w:tblCellMar>
        </w:tblPrEx>
        <w:trPr>
          <w:trHeight w:val="600" w:hRule="atLeast"/>
        </w:trPr>
        <w:tc>
          <w:tcPr>
            <w:tcW w:w="56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10</w:t>
            </w:r>
          </w:p>
        </w:tc>
        <w:tc>
          <w:tcPr>
            <w:tcW w:w="11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垂柳E</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Φ26-30</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8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株</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23</w:t>
            </w:r>
          </w:p>
        </w:tc>
      </w:tr>
      <w:tr>
        <w:tblPrEx>
          <w:tblLayout w:type="fixed"/>
          <w:tblCellMar>
            <w:top w:w="0" w:type="dxa"/>
            <w:left w:w="108" w:type="dxa"/>
            <w:bottom w:w="0" w:type="dxa"/>
            <w:right w:w="108" w:type="dxa"/>
          </w:tblCellMar>
        </w:tblPrEx>
        <w:trPr>
          <w:trHeight w:val="600" w:hRule="atLeast"/>
        </w:trPr>
        <w:tc>
          <w:tcPr>
            <w:tcW w:w="56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11</w:t>
            </w:r>
          </w:p>
        </w:tc>
        <w:tc>
          <w:tcPr>
            <w:tcW w:w="11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丛生苦楝</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8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株</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w:t>
            </w:r>
          </w:p>
        </w:tc>
      </w:tr>
      <w:tr>
        <w:tblPrEx>
          <w:tblLayout w:type="fixed"/>
          <w:tblCellMar>
            <w:top w:w="0" w:type="dxa"/>
            <w:left w:w="108" w:type="dxa"/>
            <w:bottom w:w="0" w:type="dxa"/>
            <w:right w:w="108" w:type="dxa"/>
          </w:tblCellMar>
        </w:tblPrEx>
        <w:trPr>
          <w:trHeight w:val="600" w:hRule="atLeast"/>
        </w:trPr>
        <w:tc>
          <w:tcPr>
            <w:tcW w:w="56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12</w:t>
            </w:r>
          </w:p>
        </w:tc>
        <w:tc>
          <w:tcPr>
            <w:tcW w:w="11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苦楝</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Φ40</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8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株</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r>
      <w:tr>
        <w:tblPrEx>
          <w:tblLayout w:type="fixed"/>
          <w:tblCellMar>
            <w:top w:w="0" w:type="dxa"/>
            <w:left w:w="108" w:type="dxa"/>
            <w:bottom w:w="0" w:type="dxa"/>
            <w:right w:w="108" w:type="dxa"/>
          </w:tblCellMar>
        </w:tblPrEx>
        <w:trPr>
          <w:trHeight w:val="600" w:hRule="atLeast"/>
        </w:trPr>
        <w:tc>
          <w:tcPr>
            <w:tcW w:w="56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13</w:t>
            </w:r>
          </w:p>
        </w:tc>
        <w:tc>
          <w:tcPr>
            <w:tcW w:w="11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丛生女贞</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8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株</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r>
      <w:tr>
        <w:tblPrEx>
          <w:tblLayout w:type="fixed"/>
          <w:tblCellMar>
            <w:top w:w="0" w:type="dxa"/>
            <w:left w:w="108" w:type="dxa"/>
            <w:bottom w:w="0" w:type="dxa"/>
            <w:right w:w="108" w:type="dxa"/>
          </w:tblCellMar>
        </w:tblPrEx>
        <w:trPr>
          <w:trHeight w:val="600" w:hRule="atLeast"/>
        </w:trPr>
        <w:tc>
          <w:tcPr>
            <w:tcW w:w="56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14</w:t>
            </w:r>
          </w:p>
        </w:tc>
        <w:tc>
          <w:tcPr>
            <w:tcW w:w="11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女贞A</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D8-12</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8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株</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w:t>
            </w:r>
          </w:p>
        </w:tc>
      </w:tr>
      <w:tr>
        <w:tblPrEx>
          <w:tblLayout w:type="fixed"/>
          <w:tblCellMar>
            <w:top w:w="0" w:type="dxa"/>
            <w:left w:w="108" w:type="dxa"/>
            <w:bottom w:w="0" w:type="dxa"/>
            <w:right w:w="108" w:type="dxa"/>
          </w:tblCellMar>
        </w:tblPrEx>
        <w:trPr>
          <w:trHeight w:val="600" w:hRule="atLeast"/>
        </w:trPr>
        <w:tc>
          <w:tcPr>
            <w:tcW w:w="56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15</w:t>
            </w:r>
          </w:p>
        </w:tc>
        <w:tc>
          <w:tcPr>
            <w:tcW w:w="11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女贞B</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φ13-16</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8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株</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10</w:t>
            </w:r>
          </w:p>
        </w:tc>
      </w:tr>
      <w:tr>
        <w:tblPrEx>
          <w:tblLayout w:type="fixed"/>
          <w:tblCellMar>
            <w:top w:w="0" w:type="dxa"/>
            <w:left w:w="108" w:type="dxa"/>
            <w:bottom w:w="0" w:type="dxa"/>
            <w:right w:w="108" w:type="dxa"/>
          </w:tblCellMar>
        </w:tblPrEx>
        <w:trPr>
          <w:trHeight w:val="600" w:hRule="atLeast"/>
        </w:trPr>
        <w:tc>
          <w:tcPr>
            <w:tcW w:w="56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16</w:t>
            </w:r>
          </w:p>
        </w:tc>
        <w:tc>
          <w:tcPr>
            <w:tcW w:w="11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丛生朴树A</w:t>
            </w:r>
          </w:p>
        </w:tc>
        <w:tc>
          <w:tcPr>
            <w:tcW w:w="3240" w:type="dxa"/>
            <w:gridSpan w:val="3"/>
            <w:tcBorders>
              <w:top w:val="single" w:color="auto" w:sz="4" w:space="0"/>
              <w:left w:val="nil"/>
              <w:bottom w:val="single" w:color="auto" w:sz="4" w:space="0"/>
              <w:right w:val="single" w:color="000000"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二杆：6-10</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8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株</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11</w:t>
            </w:r>
          </w:p>
        </w:tc>
      </w:tr>
      <w:tr>
        <w:tblPrEx>
          <w:tblLayout w:type="fixed"/>
          <w:tblCellMar>
            <w:top w:w="0" w:type="dxa"/>
            <w:left w:w="108" w:type="dxa"/>
            <w:bottom w:w="0" w:type="dxa"/>
            <w:right w:w="108" w:type="dxa"/>
          </w:tblCellMar>
        </w:tblPrEx>
        <w:trPr>
          <w:trHeight w:val="600" w:hRule="atLeast"/>
        </w:trPr>
        <w:tc>
          <w:tcPr>
            <w:tcW w:w="56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17</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丛生朴树B</w:t>
            </w:r>
          </w:p>
        </w:tc>
        <w:tc>
          <w:tcPr>
            <w:tcW w:w="3240" w:type="dxa"/>
            <w:gridSpan w:val="3"/>
            <w:tcBorders>
              <w:top w:val="single" w:color="auto" w:sz="4" w:space="0"/>
              <w:left w:val="nil"/>
              <w:bottom w:val="single" w:color="auto" w:sz="4" w:space="0"/>
              <w:right w:val="single" w:color="000000"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三杆：12-20</w:t>
            </w:r>
          </w:p>
        </w:tc>
        <w:tc>
          <w:tcPr>
            <w:tcW w:w="10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333333"/>
                <w:kern w:val="0"/>
                <w:sz w:val="20"/>
                <w:szCs w:val="20"/>
              </w:rPr>
            </w:pPr>
            <w:r>
              <w:rPr>
                <w:rFonts w:hint="eastAsia" w:ascii="宋体" w:hAnsi="宋体" w:cs="宋体"/>
                <w:color w:val="333333"/>
                <w:kern w:val="0"/>
                <w:sz w:val="20"/>
                <w:szCs w:val="20"/>
              </w:rPr>
              <w:t>　</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株</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r>
      <w:tr>
        <w:tblPrEx>
          <w:tblLayout w:type="fixed"/>
          <w:tblCellMar>
            <w:top w:w="0" w:type="dxa"/>
            <w:left w:w="108" w:type="dxa"/>
            <w:bottom w:w="0" w:type="dxa"/>
            <w:right w:w="108" w:type="dxa"/>
          </w:tblCellMar>
        </w:tblPrEx>
        <w:trPr>
          <w:trHeight w:val="600" w:hRule="atLeast"/>
        </w:trPr>
        <w:tc>
          <w:tcPr>
            <w:tcW w:w="56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18</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丛生朴树C</w:t>
            </w:r>
          </w:p>
        </w:tc>
        <w:tc>
          <w:tcPr>
            <w:tcW w:w="3240" w:type="dxa"/>
            <w:gridSpan w:val="3"/>
            <w:tcBorders>
              <w:top w:val="single" w:color="auto" w:sz="4" w:space="0"/>
              <w:left w:val="nil"/>
              <w:bottom w:val="single" w:color="auto" w:sz="4" w:space="0"/>
              <w:right w:val="single" w:color="000000"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四杆：14-23</w:t>
            </w:r>
          </w:p>
        </w:tc>
        <w:tc>
          <w:tcPr>
            <w:tcW w:w="10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333333"/>
                <w:kern w:val="0"/>
                <w:sz w:val="20"/>
                <w:szCs w:val="20"/>
              </w:rPr>
            </w:pPr>
            <w:r>
              <w:rPr>
                <w:rFonts w:hint="eastAsia" w:ascii="宋体" w:hAnsi="宋体" w:cs="宋体"/>
                <w:color w:val="333333"/>
                <w:kern w:val="0"/>
                <w:sz w:val="20"/>
                <w:szCs w:val="20"/>
              </w:rPr>
              <w:t>　</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株</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r>
      <w:tr>
        <w:tblPrEx>
          <w:tblLayout w:type="fixed"/>
          <w:tblCellMar>
            <w:top w:w="0" w:type="dxa"/>
            <w:left w:w="108" w:type="dxa"/>
            <w:bottom w:w="0" w:type="dxa"/>
            <w:right w:w="108" w:type="dxa"/>
          </w:tblCellMar>
        </w:tblPrEx>
        <w:trPr>
          <w:trHeight w:val="600" w:hRule="atLeast"/>
        </w:trPr>
        <w:tc>
          <w:tcPr>
            <w:tcW w:w="56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19</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丛生朴树D</w:t>
            </w:r>
          </w:p>
        </w:tc>
        <w:tc>
          <w:tcPr>
            <w:tcW w:w="3240" w:type="dxa"/>
            <w:gridSpan w:val="3"/>
            <w:tcBorders>
              <w:top w:val="single" w:color="auto" w:sz="4" w:space="0"/>
              <w:left w:val="nil"/>
              <w:bottom w:val="single" w:color="auto" w:sz="4" w:space="0"/>
              <w:right w:val="single" w:color="000000"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五杆：16-24</w:t>
            </w:r>
          </w:p>
        </w:tc>
        <w:tc>
          <w:tcPr>
            <w:tcW w:w="10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333333"/>
                <w:kern w:val="0"/>
                <w:sz w:val="20"/>
                <w:szCs w:val="20"/>
              </w:rPr>
            </w:pPr>
            <w:r>
              <w:rPr>
                <w:rFonts w:hint="eastAsia" w:ascii="宋体" w:hAnsi="宋体" w:cs="宋体"/>
                <w:color w:val="333333"/>
                <w:kern w:val="0"/>
                <w:sz w:val="20"/>
                <w:szCs w:val="20"/>
              </w:rPr>
              <w:t>　</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株</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r>
      <w:tr>
        <w:tblPrEx>
          <w:tblLayout w:type="fixed"/>
          <w:tblCellMar>
            <w:top w:w="0" w:type="dxa"/>
            <w:left w:w="108" w:type="dxa"/>
            <w:bottom w:w="0" w:type="dxa"/>
            <w:right w:w="108" w:type="dxa"/>
          </w:tblCellMar>
        </w:tblPrEx>
        <w:trPr>
          <w:trHeight w:val="600" w:hRule="atLeast"/>
        </w:trPr>
        <w:tc>
          <w:tcPr>
            <w:tcW w:w="56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20</w:t>
            </w:r>
          </w:p>
        </w:tc>
        <w:tc>
          <w:tcPr>
            <w:tcW w:w="11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朴树</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Φ6-10</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8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株</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19</w:t>
            </w:r>
          </w:p>
        </w:tc>
      </w:tr>
      <w:tr>
        <w:tblPrEx>
          <w:tblLayout w:type="fixed"/>
          <w:tblCellMar>
            <w:top w:w="0" w:type="dxa"/>
            <w:left w:w="108" w:type="dxa"/>
            <w:bottom w:w="0" w:type="dxa"/>
            <w:right w:w="108" w:type="dxa"/>
          </w:tblCellMar>
        </w:tblPrEx>
        <w:trPr>
          <w:trHeight w:val="600" w:hRule="atLeast"/>
        </w:trPr>
        <w:tc>
          <w:tcPr>
            <w:tcW w:w="56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21</w:t>
            </w:r>
          </w:p>
        </w:tc>
        <w:tc>
          <w:tcPr>
            <w:tcW w:w="11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朴树</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Φ16</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8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株</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r>
      <w:tr>
        <w:tblPrEx>
          <w:tblLayout w:type="fixed"/>
          <w:tblCellMar>
            <w:top w:w="0" w:type="dxa"/>
            <w:left w:w="108" w:type="dxa"/>
            <w:bottom w:w="0" w:type="dxa"/>
            <w:right w:w="108" w:type="dxa"/>
          </w:tblCellMar>
        </w:tblPrEx>
        <w:trPr>
          <w:trHeight w:val="600" w:hRule="atLeast"/>
        </w:trPr>
        <w:tc>
          <w:tcPr>
            <w:tcW w:w="56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22</w:t>
            </w:r>
          </w:p>
        </w:tc>
        <w:tc>
          <w:tcPr>
            <w:tcW w:w="11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朴树</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φ12-14</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8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株</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8</w:t>
            </w:r>
          </w:p>
        </w:tc>
      </w:tr>
      <w:tr>
        <w:tblPrEx>
          <w:tblLayout w:type="fixed"/>
          <w:tblCellMar>
            <w:top w:w="0" w:type="dxa"/>
            <w:left w:w="108" w:type="dxa"/>
            <w:bottom w:w="0" w:type="dxa"/>
            <w:right w:w="108" w:type="dxa"/>
          </w:tblCellMar>
        </w:tblPrEx>
        <w:trPr>
          <w:trHeight w:val="600" w:hRule="atLeast"/>
        </w:trPr>
        <w:tc>
          <w:tcPr>
            <w:tcW w:w="56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23</w:t>
            </w:r>
          </w:p>
        </w:tc>
        <w:tc>
          <w:tcPr>
            <w:tcW w:w="11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丛生喜树</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8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株</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r>
      <w:tr>
        <w:tblPrEx>
          <w:tblLayout w:type="fixed"/>
          <w:tblCellMar>
            <w:top w:w="0" w:type="dxa"/>
            <w:left w:w="108" w:type="dxa"/>
            <w:bottom w:w="0" w:type="dxa"/>
            <w:right w:w="108" w:type="dxa"/>
          </w:tblCellMar>
        </w:tblPrEx>
        <w:trPr>
          <w:trHeight w:val="600" w:hRule="atLeast"/>
        </w:trPr>
        <w:tc>
          <w:tcPr>
            <w:tcW w:w="56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24</w:t>
            </w:r>
          </w:p>
        </w:tc>
        <w:tc>
          <w:tcPr>
            <w:tcW w:w="11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喜树</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Φ6-10</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8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株</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7</w:t>
            </w:r>
          </w:p>
        </w:tc>
      </w:tr>
      <w:tr>
        <w:tblPrEx>
          <w:tblLayout w:type="fixed"/>
          <w:tblCellMar>
            <w:top w:w="0" w:type="dxa"/>
            <w:left w:w="108" w:type="dxa"/>
            <w:bottom w:w="0" w:type="dxa"/>
            <w:right w:w="108" w:type="dxa"/>
          </w:tblCellMar>
        </w:tblPrEx>
        <w:trPr>
          <w:trHeight w:val="600" w:hRule="atLeast"/>
        </w:trPr>
        <w:tc>
          <w:tcPr>
            <w:tcW w:w="56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25</w:t>
            </w:r>
          </w:p>
        </w:tc>
        <w:tc>
          <w:tcPr>
            <w:tcW w:w="11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喜树</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φ12-18</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8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株</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6</w:t>
            </w:r>
          </w:p>
        </w:tc>
      </w:tr>
      <w:tr>
        <w:tblPrEx>
          <w:tblLayout w:type="fixed"/>
          <w:tblCellMar>
            <w:top w:w="0" w:type="dxa"/>
            <w:left w:w="108" w:type="dxa"/>
            <w:bottom w:w="0" w:type="dxa"/>
            <w:right w:w="108" w:type="dxa"/>
          </w:tblCellMar>
        </w:tblPrEx>
        <w:trPr>
          <w:trHeight w:val="600" w:hRule="atLeast"/>
        </w:trPr>
        <w:tc>
          <w:tcPr>
            <w:tcW w:w="56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26</w:t>
            </w:r>
          </w:p>
        </w:tc>
        <w:tc>
          <w:tcPr>
            <w:tcW w:w="11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丛生香樟A</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8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株</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20</w:t>
            </w:r>
          </w:p>
        </w:tc>
      </w:tr>
      <w:tr>
        <w:tblPrEx>
          <w:tblLayout w:type="fixed"/>
          <w:tblCellMar>
            <w:top w:w="0" w:type="dxa"/>
            <w:left w:w="108" w:type="dxa"/>
            <w:bottom w:w="0" w:type="dxa"/>
            <w:right w:w="108" w:type="dxa"/>
          </w:tblCellMar>
        </w:tblPrEx>
        <w:trPr>
          <w:trHeight w:val="600" w:hRule="atLeast"/>
        </w:trPr>
        <w:tc>
          <w:tcPr>
            <w:tcW w:w="56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27</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丛生香樟B</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双杆Ф23/30</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株</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r>
      <w:tr>
        <w:tblPrEx>
          <w:tblLayout w:type="fixed"/>
          <w:tblCellMar>
            <w:top w:w="0" w:type="dxa"/>
            <w:left w:w="108" w:type="dxa"/>
            <w:bottom w:w="0" w:type="dxa"/>
            <w:right w:w="108" w:type="dxa"/>
          </w:tblCellMar>
        </w:tblPrEx>
        <w:trPr>
          <w:trHeight w:val="600" w:hRule="atLeast"/>
        </w:trPr>
        <w:tc>
          <w:tcPr>
            <w:tcW w:w="56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28</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丛生香樟C</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双杆Ф20/25</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株</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r>
      <w:tr>
        <w:tblPrEx>
          <w:tblLayout w:type="fixed"/>
          <w:tblCellMar>
            <w:top w:w="0" w:type="dxa"/>
            <w:left w:w="108" w:type="dxa"/>
            <w:bottom w:w="0" w:type="dxa"/>
            <w:right w:w="108" w:type="dxa"/>
          </w:tblCellMar>
        </w:tblPrEx>
        <w:trPr>
          <w:trHeight w:val="600" w:hRule="atLeast"/>
        </w:trPr>
        <w:tc>
          <w:tcPr>
            <w:tcW w:w="56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29</w:t>
            </w:r>
          </w:p>
        </w:tc>
        <w:tc>
          <w:tcPr>
            <w:tcW w:w="11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香樟A</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φ6-10</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8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株</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34</w:t>
            </w:r>
          </w:p>
        </w:tc>
      </w:tr>
      <w:tr>
        <w:tblPrEx>
          <w:tblLayout w:type="fixed"/>
          <w:tblCellMar>
            <w:top w:w="0" w:type="dxa"/>
            <w:left w:w="108" w:type="dxa"/>
            <w:bottom w:w="0" w:type="dxa"/>
            <w:right w:w="108" w:type="dxa"/>
          </w:tblCellMar>
        </w:tblPrEx>
        <w:trPr>
          <w:trHeight w:val="600" w:hRule="atLeast"/>
        </w:trPr>
        <w:tc>
          <w:tcPr>
            <w:tcW w:w="56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30</w:t>
            </w:r>
          </w:p>
        </w:tc>
        <w:tc>
          <w:tcPr>
            <w:tcW w:w="11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香樟B</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φ10-15</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8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株</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377</w:t>
            </w:r>
          </w:p>
        </w:tc>
      </w:tr>
      <w:tr>
        <w:tblPrEx>
          <w:tblLayout w:type="fixed"/>
          <w:tblCellMar>
            <w:top w:w="0" w:type="dxa"/>
            <w:left w:w="108" w:type="dxa"/>
            <w:bottom w:w="0" w:type="dxa"/>
            <w:right w:w="108" w:type="dxa"/>
          </w:tblCellMar>
        </w:tblPrEx>
        <w:trPr>
          <w:trHeight w:val="600" w:hRule="atLeast"/>
        </w:trPr>
        <w:tc>
          <w:tcPr>
            <w:tcW w:w="56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31</w:t>
            </w:r>
          </w:p>
        </w:tc>
        <w:tc>
          <w:tcPr>
            <w:tcW w:w="11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香樟C</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φ16-30</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8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株</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638</w:t>
            </w:r>
          </w:p>
        </w:tc>
      </w:tr>
      <w:tr>
        <w:tblPrEx>
          <w:tblLayout w:type="fixed"/>
          <w:tblCellMar>
            <w:top w:w="0" w:type="dxa"/>
            <w:left w:w="108" w:type="dxa"/>
            <w:bottom w:w="0" w:type="dxa"/>
            <w:right w:w="108" w:type="dxa"/>
          </w:tblCellMar>
        </w:tblPrEx>
        <w:trPr>
          <w:trHeight w:val="600" w:hRule="atLeast"/>
        </w:trPr>
        <w:tc>
          <w:tcPr>
            <w:tcW w:w="56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32</w:t>
            </w:r>
          </w:p>
        </w:tc>
        <w:tc>
          <w:tcPr>
            <w:tcW w:w="11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香樟D</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φ30-35</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8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株</w:t>
            </w:r>
          </w:p>
        </w:tc>
        <w:tc>
          <w:tcPr>
            <w:tcW w:w="1080" w:type="dxa"/>
            <w:tcBorders>
              <w:top w:val="nil"/>
              <w:left w:val="nil"/>
              <w:bottom w:val="single" w:color="000000"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19</w:t>
            </w:r>
          </w:p>
        </w:tc>
      </w:tr>
      <w:tr>
        <w:tblPrEx>
          <w:tblLayout w:type="fixed"/>
          <w:tblCellMar>
            <w:top w:w="0" w:type="dxa"/>
            <w:left w:w="108" w:type="dxa"/>
            <w:bottom w:w="0" w:type="dxa"/>
            <w:right w:w="108" w:type="dxa"/>
          </w:tblCellMar>
        </w:tblPrEx>
        <w:trPr>
          <w:trHeight w:val="600" w:hRule="atLeast"/>
        </w:trPr>
        <w:tc>
          <w:tcPr>
            <w:tcW w:w="56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1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香樟E</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φ55</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8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株</w:t>
            </w:r>
          </w:p>
        </w:tc>
        <w:tc>
          <w:tcPr>
            <w:tcW w:w="10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r>
      <w:tr>
        <w:tblPrEx>
          <w:tblLayout w:type="fixed"/>
          <w:tblCellMar>
            <w:top w:w="0" w:type="dxa"/>
            <w:left w:w="108" w:type="dxa"/>
            <w:bottom w:w="0" w:type="dxa"/>
            <w:right w:w="108" w:type="dxa"/>
          </w:tblCellMar>
        </w:tblPrEx>
        <w:trPr>
          <w:trHeight w:val="600" w:hRule="atLeast"/>
        </w:trPr>
        <w:tc>
          <w:tcPr>
            <w:tcW w:w="56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33</w:t>
            </w:r>
          </w:p>
        </w:tc>
        <w:tc>
          <w:tcPr>
            <w:tcW w:w="11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枫杨</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Φ35</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8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株</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r>
      <w:tr>
        <w:tblPrEx>
          <w:tblLayout w:type="fixed"/>
          <w:tblCellMar>
            <w:top w:w="0" w:type="dxa"/>
            <w:left w:w="108" w:type="dxa"/>
            <w:bottom w:w="0" w:type="dxa"/>
            <w:right w:w="108" w:type="dxa"/>
          </w:tblCellMar>
        </w:tblPrEx>
        <w:trPr>
          <w:trHeight w:val="600" w:hRule="atLeast"/>
        </w:trPr>
        <w:tc>
          <w:tcPr>
            <w:tcW w:w="56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34</w:t>
            </w:r>
          </w:p>
        </w:tc>
        <w:tc>
          <w:tcPr>
            <w:tcW w:w="11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三角枫A</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Φ6</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8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株</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r>
      <w:tr>
        <w:tblPrEx>
          <w:tblLayout w:type="fixed"/>
          <w:tblCellMar>
            <w:top w:w="0" w:type="dxa"/>
            <w:left w:w="108" w:type="dxa"/>
            <w:bottom w:w="0" w:type="dxa"/>
            <w:right w:w="108" w:type="dxa"/>
          </w:tblCellMar>
        </w:tblPrEx>
        <w:trPr>
          <w:trHeight w:val="600" w:hRule="atLeast"/>
        </w:trPr>
        <w:tc>
          <w:tcPr>
            <w:tcW w:w="56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35</w:t>
            </w:r>
          </w:p>
        </w:tc>
        <w:tc>
          <w:tcPr>
            <w:tcW w:w="11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三角枫B</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Φ10-18</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8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株</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6</w:t>
            </w:r>
          </w:p>
        </w:tc>
      </w:tr>
      <w:tr>
        <w:tblPrEx>
          <w:tblLayout w:type="fixed"/>
          <w:tblCellMar>
            <w:top w:w="0" w:type="dxa"/>
            <w:left w:w="108" w:type="dxa"/>
            <w:bottom w:w="0" w:type="dxa"/>
            <w:right w:w="108" w:type="dxa"/>
          </w:tblCellMar>
        </w:tblPrEx>
        <w:trPr>
          <w:trHeight w:val="600" w:hRule="atLeast"/>
        </w:trPr>
        <w:tc>
          <w:tcPr>
            <w:tcW w:w="56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36</w:t>
            </w:r>
          </w:p>
        </w:tc>
        <w:tc>
          <w:tcPr>
            <w:tcW w:w="11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三角枫C</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Φ18-22</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8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株</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24</w:t>
            </w:r>
          </w:p>
        </w:tc>
      </w:tr>
      <w:tr>
        <w:tblPrEx>
          <w:tblLayout w:type="fixed"/>
          <w:tblCellMar>
            <w:top w:w="0" w:type="dxa"/>
            <w:left w:w="108" w:type="dxa"/>
            <w:bottom w:w="0" w:type="dxa"/>
            <w:right w:w="108" w:type="dxa"/>
          </w:tblCellMar>
        </w:tblPrEx>
        <w:trPr>
          <w:trHeight w:val="600" w:hRule="atLeast"/>
        </w:trPr>
        <w:tc>
          <w:tcPr>
            <w:tcW w:w="56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37</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七叶树</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Ф20-25</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株</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8</w:t>
            </w:r>
          </w:p>
        </w:tc>
      </w:tr>
      <w:tr>
        <w:tblPrEx>
          <w:tblLayout w:type="fixed"/>
          <w:tblCellMar>
            <w:top w:w="0" w:type="dxa"/>
            <w:left w:w="108" w:type="dxa"/>
            <w:bottom w:w="0" w:type="dxa"/>
            <w:right w:w="108" w:type="dxa"/>
          </w:tblCellMar>
        </w:tblPrEx>
        <w:trPr>
          <w:trHeight w:val="600" w:hRule="atLeast"/>
        </w:trPr>
        <w:tc>
          <w:tcPr>
            <w:tcW w:w="56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38</w:t>
            </w:r>
          </w:p>
        </w:tc>
        <w:tc>
          <w:tcPr>
            <w:tcW w:w="11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广玉兰A</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φ12</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8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株</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8</w:t>
            </w:r>
          </w:p>
        </w:tc>
      </w:tr>
      <w:tr>
        <w:tblPrEx>
          <w:tblLayout w:type="fixed"/>
          <w:tblCellMar>
            <w:top w:w="0" w:type="dxa"/>
            <w:left w:w="108" w:type="dxa"/>
            <w:bottom w:w="0" w:type="dxa"/>
            <w:right w:w="108" w:type="dxa"/>
          </w:tblCellMar>
        </w:tblPrEx>
        <w:trPr>
          <w:trHeight w:val="600" w:hRule="atLeast"/>
        </w:trPr>
        <w:tc>
          <w:tcPr>
            <w:tcW w:w="56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39</w:t>
            </w:r>
          </w:p>
        </w:tc>
        <w:tc>
          <w:tcPr>
            <w:tcW w:w="11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广玉兰B</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φ16-18</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8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株</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14</w:t>
            </w:r>
          </w:p>
        </w:tc>
      </w:tr>
      <w:tr>
        <w:tblPrEx>
          <w:tblLayout w:type="fixed"/>
          <w:tblCellMar>
            <w:top w:w="0" w:type="dxa"/>
            <w:left w:w="108" w:type="dxa"/>
            <w:bottom w:w="0" w:type="dxa"/>
            <w:right w:w="108" w:type="dxa"/>
          </w:tblCellMar>
        </w:tblPrEx>
        <w:trPr>
          <w:trHeight w:val="600" w:hRule="atLeast"/>
        </w:trPr>
        <w:tc>
          <w:tcPr>
            <w:tcW w:w="56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40</w:t>
            </w:r>
          </w:p>
        </w:tc>
        <w:tc>
          <w:tcPr>
            <w:tcW w:w="11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广玉兰C</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φ18-20</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8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株</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28</w:t>
            </w:r>
          </w:p>
        </w:tc>
      </w:tr>
      <w:tr>
        <w:tblPrEx>
          <w:tblLayout w:type="fixed"/>
          <w:tblCellMar>
            <w:top w:w="0" w:type="dxa"/>
            <w:left w:w="108" w:type="dxa"/>
            <w:bottom w:w="0" w:type="dxa"/>
            <w:right w:w="108" w:type="dxa"/>
          </w:tblCellMar>
        </w:tblPrEx>
        <w:trPr>
          <w:trHeight w:val="600" w:hRule="atLeast"/>
        </w:trPr>
        <w:tc>
          <w:tcPr>
            <w:tcW w:w="56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41</w:t>
            </w:r>
          </w:p>
        </w:tc>
        <w:tc>
          <w:tcPr>
            <w:tcW w:w="11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广玉兰D</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φ18-32</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8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株</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41</w:t>
            </w:r>
          </w:p>
        </w:tc>
      </w:tr>
      <w:tr>
        <w:tblPrEx>
          <w:tblLayout w:type="fixed"/>
          <w:tblCellMar>
            <w:top w:w="0" w:type="dxa"/>
            <w:left w:w="108" w:type="dxa"/>
            <w:bottom w:w="0" w:type="dxa"/>
            <w:right w:w="108" w:type="dxa"/>
          </w:tblCellMar>
        </w:tblPrEx>
        <w:trPr>
          <w:trHeight w:val="600" w:hRule="atLeast"/>
        </w:trPr>
        <w:tc>
          <w:tcPr>
            <w:tcW w:w="56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42</w:t>
            </w:r>
          </w:p>
        </w:tc>
        <w:tc>
          <w:tcPr>
            <w:tcW w:w="11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合欢A</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Φ8-10</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8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株</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w:t>
            </w:r>
          </w:p>
        </w:tc>
      </w:tr>
      <w:tr>
        <w:tblPrEx>
          <w:tblLayout w:type="fixed"/>
          <w:tblCellMar>
            <w:top w:w="0" w:type="dxa"/>
            <w:left w:w="108" w:type="dxa"/>
            <w:bottom w:w="0" w:type="dxa"/>
            <w:right w:w="108" w:type="dxa"/>
          </w:tblCellMar>
        </w:tblPrEx>
        <w:trPr>
          <w:trHeight w:val="600" w:hRule="atLeast"/>
        </w:trPr>
        <w:tc>
          <w:tcPr>
            <w:tcW w:w="56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43</w:t>
            </w:r>
          </w:p>
        </w:tc>
        <w:tc>
          <w:tcPr>
            <w:tcW w:w="11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合欢B</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Φ16-22</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8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株</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r>
      <w:tr>
        <w:tblPrEx>
          <w:tblLayout w:type="fixed"/>
          <w:tblCellMar>
            <w:top w:w="0" w:type="dxa"/>
            <w:left w:w="108" w:type="dxa"/>
            <w:bottom w:w="0" w:type="dxa"/>
            <w:right w:w="108" w:type="dxa"/>
          </w:tblCellMar>
        </w:tblPrEx>
        <w:trPr>
          <w:trHeight w:val="600" w:hRule="atLeast"/>
        </w:trPr>
        <w:tc>
          <w:tcPr>
            <w:tcW w:w="56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44</w:t>
            </w:r>
          </w:p>
        </w:tc>
        <w:tc>
          <w:tcPr>
            <w:tcW w:w="11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榉树</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φ16</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8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株</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8</w:t>
            </w:r>
          </w:p>
        </w:tc>
      </w:tr>
      <w:tr>
        <w:tblPrEx>
          <w:tblLayout w:type="fixed"/>
          <w:tblCellMar>
            <w:top w:w="0" w:type="dxa"/>
            <w:left w:w="108" w:type="dxa"/>
            <w:bottom w:w="0" w:type="dxa"/>
            <w:right w:w="108" w:type="dxa"/>
          </w:tblCellMar>
        </w:tblPrEx>
        <w:trPr>
          <w:trHeight w:val="600" w:hRule="atLeast"/>
        </w:trPr>
        <w:tc>
          <w:tcPr>
            <w:tcW w:w="56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45</w:t>
            </w:r>
          </w:p>
        </w:tc>
        <w:tc>
          <w:tcPr>
            <w:tcW w:w="11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栾树</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φ15-16</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8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株</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31</w:t>
            </w:r>
          </w:p>
        </w:tc>
      </w:tr>
      <w:tr>
        <w:tblPrEx>
          <w:tblLayout w:type="fixed"/>
          <w:tblCellMar>
            <w:top w:w="0" w:type="dxa"/>
            <w:left w:w="108" w:type="dxa"/>
            <w:bottom w:w="0" w:type="dxa"/>
            <w:right w:w="108" w:type="dxa"/>
          </w:tblCellMar>
        </w:tblPrEx>
        <w:trPr>
          <w:trHeight w:val="600" w:hRule="atLeast"/>
        </w:trPr>
        <w:tc>
          <w:tcPr>
            <w:tcW w:w="56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46</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无患子A</w:t>
            </w:r>
          </w:p>
        </w:tc>
        <w:tc>
          <w:tcPr>
            <w:tcW w:w="10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333333"/>
                <w:kern w:val="0"/>
                <w:sz w:val="20"/>
                <w:szCs w:val="20"/>
              </w:rPr>
            </w:pPr>
            <w:r>
              <w:rPr>
                <w:rFonts w:hint="eastAsia" w:ascii="宋体" w:hAnsi="宋体" w:cs="宋体"/>
                <w:color w:val="333333"/>
                <w:kern w:val="0"/>
                <w:sz w:val="20"/>
                <w:szCs w:val="20"/>
              </w:rPr>
              <w:t>Ф18-22</w:t>
            </w:r>
          </w:p>
        </w:tc>
        <w:tc>
          <w:tcPr>
            <w:tcW w:w="10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333333"/>
                <w:kern w:val="0"/>
                <w:sz w:val="20"/>
                <w:szCs w:val="20"/>
              </w:rPr>
            </w:pPr>
            <w:r>
              <w:rPr>
                <w:rFonts w:hint="eastAsia" w:ascii="宋体" w:hAnsi="宋体" w:cs="宋体"/>
                <w:color w:val="333333"/>
                <w:kern w:val="0"/>
                <w:sz w:val="20"/>
                <w:szCs w:val="20"/>
              </w:rPr>
              <w:t>　</w:t>
            </w:r>
          </w:p>
        </w:tc>
        <w:tc>
          <w:tcPr>
            <w:tcW w:w="10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333333"/>
                <w:kern w:val="0"/>
                <w:sz w:val="20"/>
                <w:szCs w:val="20"/>
              </w:rPr>
            </w:pPr>
            <w:r>
              <w:rPr>
                <w:rFonts w:hint="eastAsia" w:ascii="宋体" w:hAnsi="宋体" w:cs="宋体"/>
                <w:color w:val="333333"/>
                <w:kern w:val="0"/>
                <w:sz w:val="20"/>
                <w:szCs w:val="20"/>
              </w:rPr>
              <w:t>　</w:t>
            </w:r>
          </w:p>
        </w:tc>
        <w:tc>
          <w:tcPr>
            <w:tcW w:w="10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333333"/>
                <w:kern w:val="0"/>
                <w:sz w:val="20"/>
                <w:szCs w:val="20"/>
              </w:rPr>
            </w:pPr>
            <w:r>
              <w:rPr>
                <w:rFonts w:hint="eastAsia" w:ascii="宋体" w:hAnsi="宋体" w:cs="宋体"/>
                <w:color w:val="333333"/>
                <w:kern w:val="0"/>
                <w:sz w:val="20"/>
                <w:szCs w:val="20"/>
              </w:rPr>
              <w:t>　</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株</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w:t>
            </w:r>
          </w:p>
        </w:tc>
      </w:tr>
      <w:tr>
        <w:tblPrEx>
          <w:tblLayout w:type="fixed"/>
          <w:tblCellMar>
            <w:top w:w="0" w:type="dxa"/>
            <w:left w:w="108" w:type="dxa"/>
            <w:bottom w:w="0" w:type="dxa"/>
            <w:right w:w="108" w:type="dxa"/>
          </w:tblCellMar>
        </w:tblPrEx>
        <w:trPr>
          <w:trHeight w:val="600" w:hRule="atLeast"/>
        </w:trPr>
        <w:tc>
          <w:tcPr>
            <w:tcW w:w="56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47</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无患子B</w:t>
            </w:r>
          </w:p>
        </w:tc>
        <w:tc>
          <w:tcPr>
            <w:tcW w:w="10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333333"/>
                <w:kern w:val="0"/>
                <w:sz w:val="20"/>
                <w:szCs w:val="20"/>
              </w:rPr>
            </w:pPr>
            <w:r>
              <w:rPr>
                <w:rFonts w:hint="eastAsia" w:ascii="宋体" w:hAnsi="宋体" w:cs="宋体"/>
                <w:color w:val="333333"/>
                <w:kern w:val="0"/>
                <w:sz w:val="20"/>
                <w:szCs w:val="20"/>
              </w:rPr>
              <w:t>Ф23-26</w:t>
            </w:r>
          </w:p>
        </w:tc>
        <w:tc>
          <w:tcPr>
            <w:tcW w:w="10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333333"/>
                <w:kern w:val="0"/>
                <w:sz w:val="20"/>
                <w:szCs w:val="20"/>
              </w:rPr>
            </w:pPr>
            <w:r>
              <w:rPr>
                <w:rFonts w:hint="eastAsia" w:ascii="宋体" w:hAnsi="宋体" w:cs="宋体"/>
                <w:color w:val="333333"/>
                <w:kern w:val="0"/>
                <w:sz w:val="20"/>
                <w:szCs w:val="20"/>
              </w:rPr>
              <w:t>　</w:t>
            </w:r>
          </w:p>
        </w:tc>
        <w:tc>
          <w:tcPr>
            <w:tcW w:w="10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333333"/>
                <w:kern w:val="0"/>
                <w:sz w:val="20"/>
                <w:szCs w:val="20"/>
              </w:rPr>
            </w:pPr>
            <w:r>
              <w:rPr>
                <w:rFonts w:hint="eastAsia" w:ascii="宋体" w:hAnsi="宋体" w:cs="宋体"/>
                <w:color w:val="333333"/>
                <w:kern w:val="0"/>
                <w:sz w:val="20"/>
                <w:szCs w:val="20"/>
              </w:rPr>
              <w:t>　</w:t>
            </w:r>
          </w:p>
        </w:tc>
        <w:tc>
          <w:tcPr>
            <w:tcW w:w="10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333333"/>
                <w:kern w:val="0"/>
                <w:sz w:val="20"/>
                <w:szCs w:val="20"/>
              </w:rPr>
            </w:pPr>
            <w:r>
              <w:rPr>
                <w:rFonts w:hint="eastAsia" w:ascii="宋体" w:hAnsi="宋体" w:cs="宋体"/>
                <w:color w:val="333333"/>
                <w:kern w:val="0"/>
                <w:sz w:val="20"/>
                <w:szCs w:val="20"/>
              </w:rPr>
              <w:t>　</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株</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w:t>
            </w:r>
          </w:p>
        </w:tc>
      </w:tr>
      <w:tr>
        <w:tblPrEx>
          <w:tblLayout w:type="fixed"/>
          <w:tblCellMar>
            <w:top w:w="0" w:type="dxa"/>
            <w:left w:w="108" w:type="dxa"/>
            <w:bottom w:w="0" w:type="dxa"/>
            <w:right w:w="108" w:type="dxa"/>
          </w:tblCellMar>
        </w:tblPrEx>
        <w:trPr>
          <w:trHeight w:val="600" w:hRule="atLeast"/>
        </w:trPr>
        <w:tc>
          <w:tcPr>
            <w:tcW w:w="56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48</w:t>
            </w:r>
          </w:p>
        </w:tc>
        <w:tc>
          <w:tcPr>
            <w:tcW w:w="11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香橼</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Φ10-16</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8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株</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w:t>
            </w:r>
          </w:p>
        </w:tc>
      </w:tr>
      <w:tr>
        <w:tblPrEx>
          <w:tblLayout w:type="fixed"/>
          <w:tblCellMar>
            <w:top w:w="0" w:type="dxa"/>
            <w:left w:w="108" w:type="dxa"/>
            <w:bottom w:w="0" w:type="dxa"/>
            <w:right w:w="108" w:type="dxa"/>
          </w:tblCellMar>
        </w:tblPrEx>
        <w:trPr>
          <w:trHeight w:val="600" w:hRule="atLeast"/>
        </w:trPr>
        <w:tc>
          <w:tcPr>
            <w:tcW w:w="56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49</w:t>
            </w:r>
          </w:p>
        </w:tc>
        <w:tc>
          <w:tcPr>
            <w:tcW w:w="11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乌桕A</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Φ12-14</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8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株</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7</w:t>
            </w:r>
          </w:p>
        </w:tc>
      </w:tr>
      <w:tr>
        <w:tblPrEx>
          <w:tblLayout w:type="fixed"/>
          <w:tblCellMar>
            <w:top w:w="0" w:type="dxa"/>
            <w:left w:w="108" w:type="dxa"/>
            <w:bottom w:w="0" w:type="dxa"/>
            <w:right w:w="108" w:type="dxa"/>
          </w:tblCellMar>
        </w:tblPrEx>
        <w:trPr>
          <w:trHeight w:val="600" w:hRule="atLeast"/>
        </w:trPr>
        <w:tc>
          <w:tcPr>
            <w:tcW w:w="56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50</w:t>
            </w:r>
          </w:p>
        </w:tc>
        <w:tc>
          <w:tcPr>
            <w:tcW w:w="11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乌桕B</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φ18-22</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8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株</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11</w:t>
            </w:r>
          </w:p>
        </w:tc>
      </w:tr>
      <w:tr>
        <w:tblPrEx>
          <w:tblLayout w:type="fixed"/>
          <w:tblCellMar>
            <w:top w:w="0" w:type="dxa"/>
            <w:left w:w="108" w:type="dxa"/>
            <w:bottom w:w="0" w:type="dxa"/>
            <w:right w:w="108" w:type="dxa"/>
          </w:tblCellMar>
        </w:tblPrEx>
        <w:trPr>
          <w:trHeight w:val="600" w:hRule="atLeast"/>
        </w:trPr>
        <w:tc>
          <w:tcPr>
            <w:tcW w:w="56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51</w:t>
            </w:r>
          </w:p>
        </w:tc>
        <w:tc>
          <w:tcPr>
            <w:tcW w:w="11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乌桕C</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φ22-25</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8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株</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w:t>
            </w:r>
          </w:p>
        </w:tc>
      </w:tr>
      <w:tr>
        <w:tblPrEx>
          <w:tblLayout w:type="fixed"/>
          <w:tblCellMar>
            <w:top w:w="0" w:type="dxa"/>
            <w:left w:w="108" w:type="dxa"/>
            <w:bottom w:w="0" w:type="dxa"/>
            <w:right w:w="108" w:type="dxa"/>
          </w:tblCellMar>
        </w:tblPrEx>
        <w:trPr>
          <w:trHeight w:val="600" w:hRule="atLeast"/>
        </w:trPr>
        <w:tc>
          <w:tcPr>
            <w:tcW w:w="56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52</w:t>
            </w:r>
          </w:p>
        </w:tc>
        <w:tc>
          <w:tcPr>
            <w:tcW w:w="11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乌桕D</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φ25-38</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8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株</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15</w:t>
            </w:r>
          </w:p>
        </w:tc>
      </w:tr>
      <w:tr>
        <w:tblPrEx>
          <w:tblLayout w:type="fixed"/>
          <w:tblCellMar>
            <w:top w:w="0" w:type="dxa"/>
            <w:left w:w="108" w:type="dxa"/>
            <w:bottom w:w="0" w:type="dxa"/>
            <w:right w:w="108" w:type="dxa"/>
          </w:tblCellMar>
        </w:tblPrEx>
        <w:trPr>
          <w:trHeight w:val="600" w:hRule="atLeast"/>
        </w:trPr>
        <w:tc>
          <w:tcPr>
            <w:tcW w:w="56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53</w:t>
            </w:r>
          </w:p>
        </w:tc>
        <w:tc>
          <w:tcPr>
            <w:tcW w:w="11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雪松</w:t>
            </w:r>
          </w:p>
        </w:tc>
        <w:tc>
          <w:tcPr>
            <w:tcW w:w="10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H450-700</w:t>
            </w:r>
          </w:p>
        </w:tc>
        <w:tc>
          <w:tcPr>
            <w:tcW w:w="8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株</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84</w:t>
            </w:r>
          </w:p>
        </w:tc>
      </w:tr>
      <w:tr>
        <w:tblPrEx>
          <w:tblLayout w:type="fixed"/>
          <w:tblCellMar>
            <w:top w:w="0" w:type="dxa"/>
            <w:left w:w="108" w:type="dxa"/>
            <w:bottom w:w="0" w:type="dxa"/>
            <w:right w:w="108" w:type="dxa"/>
          </w:tblCellMar>
        </w:tblPrEx>
        <w:trPr>
          <w:trHeight w:val="600" w:hRule="atLeast"/>
        </w:trPr>
        <w:tc>
          <w:tcPr>
            <w:tcW w:w="56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54</w:t>
            </w:r>
          </w:p>
        </w:tc>
        <w:tc>
          <w:tcPr>
            <w:tcW w:w="11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银杏A</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Φ8-16</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8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株</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51</w:t>
            </w:r>
          </w:p>
        </w:tc>
      </w:tr>
      <w:tr>
        <w:tblPrEx>
          <w:tblLayout w:type="fixed"/>
          <w:tblCellMar>
            <w:top w:w="0" w:type="dxa"/>
            <w:left w:w="108" w:type="dxa"/>
            <w:bottom w:w="0" w:type="dxa"/>
            <w:right w:w="108" w:type="dxa"/>
          </w:tblCellMar>
        </w:tblPrEx>
        <w:trPr>
          <w:trHeight w:val="600" w:hRule="atLeast"/>
        </w:trPr>
        <w:tc>
          <w:tcPr>
            <w:tcW w:w="56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55</w:t>
            </w:r>
          </w:p>
        </w:tc>
        <w:tc>
          <w:tcPr>
            <w:tcW w:w="11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银杏B</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Φ16-22</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8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株</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40</w:t>
            </w:r>
          </w:p>
        </w:tc>
      </w:tr>
      <w:tr>
        <w:tblPrEx>
          <w:tblLayout w:type="fixed"/>
          <w:tblCellMar>
            <w:top w:w="0" w:type="dxa"/>
            <w:left w:w="108" w:type="dxa"/>
            <w:bottom w:w="0" w:type="dxa"/>
            <w:right w:w="108" w:type="dxa"/>
          </w:tblCellMar>
        </w:tblPrEx>
        <w:trPr>
          <w:trHeight w:val="600" w:hRule="atLeast"/>
        </w:trPr>
        <w:tc>
          <w:tcPr>
            <w:tcW w:w="56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56</w:t>
            </w:r>
          </w:p>
        </w:tc>
        <w:tc>
          <w:tcPr>
            <w:tcW w:w="11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玉兰</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φ20</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8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株</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14</w:t>
            </w:r>
          </w:p>
        </w:tc>
      </w:tr>
      <w:tr>
        <w:tblPrEx>
          <w:tblLayout w:type="fixed"/>
          <w:tblCellMar>
            <w:top w:w="0" w:type="dxa"/>
            <w:left w:w="108" w:type="dxa"/>
            <w:bottom w:w="0" w:type="dxa"/>
            <w:right w:w="108" w:type="dxa"/>
          </w:tblCellMar>
        </w:tblPrEx>
        <w:trPr>
          <w:trHeight w:val="600" w:hRule="atLeast"/>
        </w:trPr>
        <w:tc>
          <w:tcPr>
            <w:tcW w:w="56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57</w:t>
            </w:r>
          </w:p>
        </w:tc>
        <w:tc>
          <w:tcPr>
            <w:tcW w:w="11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黑松</w:t>
            </w:r>
          </w:p>
        </w:tc>
        <w:tc>
          <w:tcPr>
            <w:tcW w:w="10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H250-300</w:t>
            </w:r>
          </w:p>
        </w:tc>
        <w:tc>
          <w:tcPr>
            <w:tcW w:w="8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株</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8</w:t>
            </w:r>
          </w:p>
        </w:tc>
      </w:tr>
      <w:tr>
        <w:tblPrEx>
          <w:tblLayout w:type="fixed"/>
          <w:tblCellMar>
            <w:top w:w="0" w:type="dxa"/>
            <w:left w:w="108" w:type="dxa"/>
            <w:bottom w:w="0" w:type="dxa"/>
            <w:right w:w="108" w:type="dxa"/>
          </w:tblCellMar>
        </w:tblPrEx>
        <w:trPr>
          <w:trHeight w:val="600" w:hRule="atLeast"/>
        </w:trPr>
        <w:tc>
          <w:tcPr>
            <w:tcW w:w="56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58</w:t>
            </w:r>
          </w:p>
        </w:tc>
        <w:tc>
          <w:tcPr>
            <w:tcW w:w="11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黑松</w:t>
            </w:r>
          </w:p>
        </w:tc>
        <w:tc>
          <w:tcPr>
            <w:tcW w:w="10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H400-600</w:t>
            </w:r>
          </w:p>
        </w:tc>
        <w:tc>
          <w:tcPr>
            <w:tcW w:w="8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株</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12</w:t>
            </w:r>
          </w:p>
        </w:tc>
      </w:tr>
      <w:tr>
        <w:tblPrEx>
          <w:tblLayout w:type="fixed"/>
          <w:tblCellMar>
            <w:top w:w="0" w:type="dxa"/>
            <w:left w:w="108" w:type="dxa"/>
            <w:bottom w:w="0" w:type="dxa"/>
            <w:right w:w="108" w:type="dxa"/>
          </w:tblCellMar>
        </w:tblPrEx>
        <w:trPr>
          <w:trHeight w:val="600" w:hRule="atLeast"/>
        </w:trPr>
        <w:tc>
          <w:tcPr>
            <w:tcW w:w="56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59</w:t>
            </w:r>
          </w:p>
        </w:tc>
        <w:tc>
          <w:tcPr>
            <w:tcW w:w="11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罗汉松</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d6-7</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8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株</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r>
      <w:tr>
        <w:tblPrEx>
          <w:tblLayout w:type="fixed"/>
          <w:tblCellMar>
            <w:top w:w="0" w:type="dxa"/>
            <w:left w:w="108" w:type="dxa"/>
            <w:bottom w:w="0" w:type="dxa"/>
            <w:right w:w="108" w:type="dxa"/>
          </w:tblCellMar>
        </w:tblPrEx>
        <w:trPr>
          <w:trHeight w:val="600" w:hRule="atLeast"/>
        </w:trPr>
        <w:tc>
          <w:tcPr>
            <w:tcW w:w="56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60</w:t>
            </w:r>
          </w:p>
        </w:tc>
        <w:tc>
          <w:tcPr>
            <w:tcW w:w="11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鸡爪槭</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D6-20</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8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株</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9</w:t>
            </w:r>
          </w:p>
        </w:tc>
      </w:tr>
      <w:tr>
        <w:tblPrEx>
          <w:tblLayout w:type="fixed"/>
          <w:tblCellMar>
            <w:top w:w="0" w:type="dxa"/>
            <w:left w:w="108" w:type="dxa"/>
            <w:bottom w:w="0" w:type="dxa"/>
            <w:right w:w="108" w:type="dxa"/>
          </w:tblCellMar>
        </w:tblPrEx>
        <w:trPr>
          <w:trHeight w:val="600" w:hRule="atLeast"/>
        </w:trPr>
        <w:tc>
          <w:tcPr>
            <w:tcW w:w="56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61</w:t>
            </w:r>
          </w:p>
        </w:tc>
        <w:tc>
          <w:tcPr>
            <w:tcW w:w="11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桂花</w:t>
            </w:r>
          </w:p>
        </w:tc>
        <w:tc>
          <w:tcPr>
            <w:tcW w:w="10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H200-450</w:t>
            </w:r>
          </w:p>
        </w:tc>
        <w:tc>
          <w:tcPr>
            <w:tcW w:w="8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株</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123</w:t>
            </w:r>
          </w:p>
        </w:tc>
      </w:tr>
      <w:tr>
        <w:tblPrEx>
          <w:tblLayout w:type="fixed"/>
          <w:tblCellMar>
            <w:top w:w="0" w:type="dxa"/>
            <w:left w:w="108" w:type="dxa"/>
            <w:bottom w:w="0" w:type="dxa"/>
            <w:right w:w="108" w:type="dxa"/>
          </w:tblCellMar>
        </w:tblPrEx>
        <w:trPr>
          <w:trHeight w:val="600" w:hRule="atLeast"/>
        </w:trPr>
        <w:tc>
          <w:tcPr>
            <w:tcW w:w="56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62</w:t>
            </w:r>
          </w:p>
        </w:tc>
        <w:tc>
          <w:tcPr>
            <w:tcW w:w="11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桂花</w:t>
            </w:r>
          </w:p>
        </w:tc>
        <w:tc>
          <w:tcPr>
            <w:tcW w:w="10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H450-500</w:t>
            </w:r>
          </w:p>
        </w:tc>
        <w:tc>
          <w:tcPr>
            <w:tcW w:w="8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株</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r>
      <w:tr>
        <w:tblPrEx>
          <w:tblLayout w:type="fixed"/>
          <w:tblCellMar>
            <w:top w:w="0" w:type="dxa"/>
            <w:left w:w="108" w:type="dxa"/>
            <w:bottom w:w="0" w:type="dxa"/>
            <w:right w:w="108" w:type="dxa"/>
          </w:tblCellMar>
        </w:tblPrEx>
        <w:trPr>
          <w:trHeight w:val="600" w:hRule="atLeast"/>
        </w:trPr>
        <w:tc>
          <w:tcPr>
            <w:tcW w:w="56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63</w:t>
            </w:r>
          </w:p>
        </w:tc>
        <w:tc>
          <w:tcPr>
            <w:tcW w:w="11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红枫</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D6</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8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株</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9</w:t>
            </w:r>
          </w:p>
        </w:tc>
      </w:tr>
      <w:tr>
        <w:tblPrEx>
          <w:tblLayout w:type="fixed"/>
          <w:tblCellMar>
            <w:top w:w="0" w:type="dxa"/>
            <w:left w:w="108" w:type="dxa"/>
            <w:bottom w:w="0" w:type="dxa"/>
            <w:right w:w="108" w:type="dxa"/>
          </w:tblCellMar>
        </w:tblPrEx>
        <w:trPr>
          <w:trHeight w:val="600" w:hRule="atLeast"/>
        </w:trPr>
        <w:tc>
          <w:tcPr>
            <w:tcW w:w="56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64</w:t>
            </w:r>
          </w:p>
        </w:tc>
        <w:tc>
          <w:tcPr>
            <w:tcW w:w="11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枇杷</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d17</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8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株</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r>
      <w:tr>
        <w:tblPrEx>
          <w:tblLayout w:type="fixed"/>
          <w:tblCellMar>
            <w:top w:w="0" w:type="dxa"/>
            <w:left w:w="108" w:type="dxa"/>
            <w:bottom w:w="0" w:type="dxa"/>
            <w:right w:w="108" w:type="dxa"/>
          </w:tblCellMar>
        </w:tblPrEx>
        <w:trPr>
          <w:trHeight w:val="600" w:hRule="atLeast"/>
        </w:trPr>
        <w:tc>
          <w:tcPr>
            <w:tcW w:w="56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65</w:t>
            </w:r>
          </w:p>
        </w:tc>
        <w:tc>
          <w:tcPr>
            <w:tcW w:w="11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梅花A</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D6-10</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8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株</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16</w:t>
            </w:r>
          </w:p>
        </w:tc>
      </w:tr>
      <w:tr>
        <w:tblPrEx>
          <w:tblLayout w:type="fixed"/>
          <w:tblCellMar>
            <w:top w:w="0" w:type="dxa"/>
            <w:left w:w="108" w:type="dxa"/>
            <w:bottom w:w="0" w:type="dxa"/>
            <w:right w:w="108" w:type="dxa"/>
          </w:tblCellMar>
        </w:tblPrEx>
        <w:trPr>
          <w:trHeight w:val="600" w:hRule="atLeast"/>
        </w:trPr>
        <w:tc>
          <w:tcPr>
            <w:tcW w:w="56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66</w:t>
            </w:r>
          </w:p>
        </w:tc>
        <w:tc>
          <w:tcPr>
            <w:tcW w:w="11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梅花B</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D10-18</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8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株</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w:t>
            </w:r>
          </w:p>
        </w:tc>
      </w:tr>
      <w:tr>
        <w:tblPrEx>
          <w:tblLayout w:type="fixed"/>
          <w:tblCellMar>
            <w:top w:w="0" w:type="dxa"/>
            <w:left w:w="108" w:type="dxa"/>
            <w:bottom w:w="0" w:type="dxa"/>
            <w:right w:w="108" w:type="dxa"/>
          </w:tblCellMar>
        </w:tblPrEx>
        <w:trPr>
          <w:trHeight w:val="600" w:hRule="atLeast"/>
        </w:trPr>
        <w:tc>
          <w:tcPr>
            <w:tcW w:w="56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67</w:t>
            </w:r>
          </w:p>
        </w:tc>
        <w:tc>
          <w:tcPr>
            <w:tcW w:w="11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樱花A</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D5-7</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8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株</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74</w:t>
            </w:r>
          </w:p>
        </w:tc>
      </w:tr>
      <w:tr>
        <w:tblPrEx>
          <w:tblLayout w:type="fixed"/>
          <w:tblCellMar>
            <w:top w:w="0" w:type="dxa"/>
            <w:left w:w="108" w:type="dxa"/>
            <w:bottom w:w="0" w:type="dxa"/>
            <w:right w:w="108" w:type="dxa"/>
          </w:tblCellMar>
        </w:tblPrEx>
        <w:trPr>
          <w:trHeight w:val="600" w:hRule="atLeast"/>
        </w:trPr>
        <w:tc>
          <w:tcPr>
            <w:tcW w:w="56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68</w:t>
            </w:r>
          </w:p>
        </w:tc>
        <w:tc>
          <w:tcPr>
            <w:tcW w:w="11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樱花B</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D8-14</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8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株</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36</w:t>
            </w:r>
          </w:p>
        </w:tc>
      </w:tr>
      <w:tr>
        <w:tblPrEx>
          <w:tblLayout w:type="fixed"/>
          <w:tblCellMar>
            <w:top w:w="0" w:type="dxa"/>
            <w:left w:w="108" w:type="dxa"/>
            <w:bottom w:w="0" w:type="dxa"/>
            <w:right w:w="108" w:type="dxa"/>
          </w:tblCellMar>
        </w:tblPrEx>
        <w:trPr>
          <w:trHeight w:val="600" w:hRule="atLeast"/>
        </w:trPr>
        <w:tc>
          <w:tcPr>
            <w:tcW w:w="56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69</w:t>
            </w:r>
          </w:p>
        </w:tc>
        <w:tc>
          <w:tcPr>
            <w:tcW w:w="11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丛生紫薇</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8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株</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r>
      <w:tr>
        <w:tblPrEx>
          <w:tblLayout w:type="fixed"/>
          <w:tblCellMar>
            <w:top w:w="0" w:type="dxa"/>
            <w:left w:w="108" w:type="dxa"/>
            <w:bottom w:w="0" w:type="dxa"/>
            <w:right w:w="108" w:type="dxa"/>
          </w:tblCellMar>
        </w:tblPrEx>
        <w:trPr>
          <w:trHeight w:val="600" w:hRule="atLeast"/>
        </w:trPr>
        <w:tc>
          <w:tcPr>
            <w:tcW w:w="56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70</w:t>
            </w:r>
          </w:p>
        </w:tc>
        <w:tc>
          <w:tcPr>
            <w:tcW w:w="11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紫薇</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D3-8</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8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株</w:t>
            </w:r>
          </w:p>
        </w:tc>
        <w:tc>
          <w:tcPr>
            <w:tcW w:w="10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35</w:t>
            </w:r>
          </w:p>
        </w:tc>
      </w:tr>
      <w:tr>
        <w:tblPrEx>
          <w:tblLayout w:type="fixed"/>
          <w:tblCellMar>
            <w:top w:w="0" w:type="dxa"/>
            <w:left w:w="108" w:type="dxa"/>
            <w:bottom w:w="0" w:type="dxa"/>
            <w:right w:w="108" w:type="dxa"/>
          </w:tblCellMar>
        </w:tblPrEx>
        <w:trPr>
          <w:trHeight w:val="600" w:hRule="atLeast"/>
        </w:trPr>
        <w:tc>
          <w:tcPr>
            <w:tcW w:w="56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71</w:t>
            </w:r>
          </w:p>
        </w:tc>
        <w:tc>
          <w:tcPr>
            <w:tcW w:w="11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碧桃A</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D6-10</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8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株</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9</w:t>
            </w:r>
          </w:p>
        </w:tc>
      </w:tr>
      <w:tr>
        <w:tblPrEx>
          <w:tblLayout w:type="fixed"/>
          <w:tblCellMar>
            <w:top w:w="0" w:type="dxa"/>
            <w:left w:w="108" w:type="dxa"/>
            <w:bottom w:w="0" w:type="dxa"/>
            <w:right w:w="108" w:type="dxa"/>
          </w:tblCellMar>
        </w:tblPrEx>
        <w:trPr>
          <w:trHeight w:val="600" w:hRule="atLeast"/>
        </w:trPr>
        <w:tc>
          <w:tcPr>
            <w:tcW w:w="56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72</w:t>
            </w:r>
          </w:p>
        </w:tc>
        <w:tc>
          <w:tcPr>
            <w:tcW w:w="11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碧桃B</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D16</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8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株</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r>
      <w:tr>
        <w:tblPrEx>
          <w:tblLayout w:type="fixed"/>
          <w:tblCellMar>
            <w:top w:w="0" w:type="dxa"/>
            <w:left w:w="108" w:type="dxa"/>
            <w:bottom w:w="0" w:type="dxa"/>
            <w:right w:w="108" w:type="dxa"/>
          </w:tblCellMar>
        </w:tblPrEx>
        <w:trPr>
          <w:trHeight w:val="600" w:hRule="atLeast"/>
        </w:trPr>
        <w:tc>
          <w:tcPr>
            <w:tcW w:w="56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73</w:t>
            </w:r>
          </w:p>
        </w:tc>
        <w:tc>
          <w:tcPr>
            <w:tcW w:w="11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垂丝海棠</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d6-8</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8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株</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8</w:t>
            </w:r>
          </w:p>
        </w:tc>
      </w:tr>
      <w:tr>
        <w:tblPrEx>
          <w:tblLayout w:type="fixed"/>
          <w:tblCellMar>
            <w:top w:w="0" w:type="dxa"/>
            <w:left w:w="108" w:type="dxa"/>
            <w:bottom w:w="0" w:type="dxa"/>
            <w:right w:w="108" w:type="dxa"/>
          </w:tblCellMar>
        </w:tblPrEx>
        <w:trPr>
          <w:trHeight w:val="600" w:hRule="atLeast"/>
        </w:trPr>
        <w:tc>
          <w:tcPr>
            <w:tcW w:w="56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74</w:t>
            </w:r>
          </w:p>
        </w:tc>
        <w:tc>
          <w:tcPr>
            <w:tcW w:w="11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石楠</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H400</w:t>
            </w:r>
          </w:p>
        </w:tc>
        <w:tc>
          <w:tcPr>
            <w:tcW w:w="8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株</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r>
      <w:tr>
        <w:tblPrEx>
          <w:tblLayout w:type="fixed"/>
          <w:tblCellMar>
            <w:top w:w="0" w:type="dxa"/>
            <w:left w:w="108" w:type="dxa"/>
            <w:bottom w:w="0" w:type="dxa"/>
            <w:right w:w="108" w:type="dxa"/>
          </w:tblCellMar>
        </w:tblPrEx>
        <w:trPr>
          <w:trHeight w:val="600" w:hRule="atLeast"/>
        </w:trPr>
        <w:tc>
          <w:tcPr>
            <w:tcW w:w="56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75</w:t>
            </w:r>
          </w:p>
        </w:tc>
        <w:tc>
          <w:tcPr>
            <w:tcW w:w="11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苏铁</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H100-150</w:t>
            </w:r>
          </w:p>
        </w:tc>
        <w:tc>
          <w:tcPr>
            <w:tcW w:w="8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株</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22</w:t>
            </w:r>
          </w:p>
        </w:tc>
      </w:tr>
      <w:tr>
        <w:tblPrEx>
          <w:tblLayout w:type="fixed"/>
          <w:tblCellMar>
            <w:top w:w="0" w:type="dxa"/>
            <w:left w:w="108" w:type="dxa"/>
            <w:bottom w:w="0" w:type="dxa"/>
            <w:right w:w="108" w:type="dxa"/>
          </w:tblCellMar>
        </w:tblPrEx>
        <w:trPr>
          <w:trHeight w:val="600" w:hRule="atLeast"/>
        </w:trPr>
        <w:tc>
          <w:tcPr>
            <w:tcW w:w="56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76</w:t>
            </w:r>
          </w:p>
        </w:tc>
        <w:tc>
          <w:tcPr>
            <w:tcW w:w="11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大叶黄杨球</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W100-200</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8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株</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15</w:t>
            </w:r>
          </w:p>
        </w:tc>
      </w:tr>
      <w:tr>
        <w:tblPrEx>
          <w:tblLayout w:type="fixed"/>
          <w:tblCellMar>
            <w:top w:w="0" w:type="dxa"/>
            <w:left w:w="108" w:type="dxa"/>
            <w:bottom w:w="0" w:type="dxa"/>
            <w:right w:w="108" w:type="dxa"/>
          </w:tblCellMar>
        </w:tblPrEx>
        <w:trPr>
          <w:trHeight w:val="600" w:hRule="atLeast"/>
        </w:trPr>
        <w:tc>
          <w:tcPr>
            <w:tcW w:w="56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77</w:t>
            </w:r>
          </w:p>
        </w:tc>
        <w:tc>
          <w:tcPr>
            <w:tcW w:w="11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法青拼球</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W100-200</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8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株</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16</w:t>
            </w:r>
          </w:p>
        </w:tc>
      </w:tr>
      <w:tr>
        <w:tblPrEx>
          <w:tblLayout w:type="fixed"/>
          <w:tblCellMar>
            <w:top w:w="0" w:type="dxa"/>
            <w:left w:w="108" w:type="dxa"/>
            <w:bottom w:w="0" w:type="dxa"/>
            <w:right w:w="108" w:type="dxa"/>
          </w:tblCellMar>
        </w:tblPrEx>
        <w:trPr>
          <w:trHeight w:val="600" w:hRule="atLeast"/>
        </w:trPr>
        <w:tc>
          <w:tcPr>
            <w:tcW w:w="56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78</w:t>
            </w:r>
          </w:p>
        </w:tc>
        <w:tc>
          <w:tcPr>
            <w:tcW w:w="11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瓜子黄杨球A</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W100-150</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8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株</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w:t>
            </w:r>
          </w:p>
        </w:tc>
      </w:tr>
      <w:tr>
        <w:tblPrEx>
          <w:tblLayout w:type="fixed"/>
          <w:tblCellMar>
            <w:top w:w="0" w:type="dxa"/>
            <w:left w:w="108" w:type="dxa"/>
            <w:bottom w:w="0" w:type="dxa"/>
            <w:right w:w="108" w:type="dxa"/>
          </w:tblCellMar>
        </w:tblPrEx>
        <w:trPr>
          <w:trHeight w:val="600" w:hRule="atLeast"/>
        </w:trPr>
        <w:tc>
          <w:tcPr>
            <w:tcW w:w="56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79</w:t>
            </w:r>
          </w:p>
        </w:tc>
        <w:tc>
          <w:tcPr>
            <w:tcW w:w="11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瓜子黄杨球B</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w200</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8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株</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r>
      <w:tr>
        <w:tblPrEx>
          <w:tblLayout w:type="fixed"/>
          <w:tblCellMar>
            <w:top w:w="0" w:type="dxa"/>
            <w:left w:w="108" w:type="dxa"/>
            <w:bottom w:w="0" w:type="dxa"/>
            <w:right w:w="108" w:type="dxa"/>
          </w:tblCellMar>
        </w:tblPrEx>
        <w:trPr>
          <w:trHeight w:val="600" w:hRule="atLeast"/>
        </w:trPr>
        <w:tc>
          <w:tcPr>
            <w:tcW w:w="56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80</w:t>
            </w:r>
          </w:p>
        </w:tc>
        <w:tc>
          <w:tcPr>
            <w:tcW w:w="11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龟甲冬青球A</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W40-60</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8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株</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r>
      <w:tr>
        <w:tblPrEx>
          <w:tblLayout w:type="fixed"/>
          <w:tblCellMar>
            <w:top w:w="0" w:type="dxa"/>
            <w:left w:w="108" w:type="dxa"/>
            <w:bottom w:w="0" w:type="dxa"/>
            <w:right w:w="108" w:type="dxa"/>
          </w:tblCellMar>
        </w:tblPrEx>
        <w:trPr>
          <w:trHeight w:val="600" w:hRule="atLeast"/>
        </w:trPr>
        <w:tc>
          <w:tcPr>
            <w:tcW w:w="56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81</w:t>
            </w:r>
          </w:p>
        </w:tc>
        <w:tc>
          <w:tcPr>
            <w:tcW w:w="11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龟甲冬青球B</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W100</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8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株</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26</w:t>
            </w:r>
          </w:p>
        </w:tc>
      </w:tr>
      <w:tr>
        <w:tblPrEx>
          <w:tblLayout w:type="fixed"/>
          <w:tblCellMar>
            <w:top w:w="0" w:type="dxa"/>
            <w:left w:w="108" w:type="dxa"/>
            <w:bottom w:w="0" w:type="dxa"/>
            <w:right w:w="108" w:type="dxa"/>
          </w:tblCellMar>
        </w:tblPrEx>
        <w:trPr>
          <w:trHeight w:val="600" w:hRule="atLeast"/>
        </w:trPr>
        <w:tc>
          <w:tcPr>
            <w:tcW w:w="56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82</w:t>
            </w:r>
          </w:p>
        </w:tc>
        <w:tc>
          <w:tcPr>
            <w:tcW w:w="11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海桐球A</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W100-200</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8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株</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121</w:t>
            </w:r>
          </w:p>
        </w:tc>
      </w:tr>
      <w:tr>
        <w:tblPrEx>
          <w:tblLayout w:type="fixed"/>
          <w:tblCellMar>
            <w:top w:w="0" w:type="dxa"/>
            <w:left w:w="108" w:type="dxa"/>
            <w:bottom w:w="0" w:type="dxa"/>
            <w:right w:w="108" w:type="dxa"/>
          </w:tblCellMar>
        </w:tblPrEx>
        <w:trPr>
          <w:trHeight w:val="600" w:hRule="atLeast"/>
        </w:trPr>
        <w:tc>
          <w:tcPr>
            <w:tcW w:w="56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83</w:t>
            </w:r>
          </w:p>
        </w:tc>
        <w:tc>
          <w:tcPr>
            <w:tcW w:w="11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海桐球B</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W200-250</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8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株</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16</w:t>
            </w:r>
          </w:p>
        </w:tc>
      </w:tr>
      <w:tr>
        <w:tblPrEx>
          <w:tblLayout w:type="fixed"/>
          <w:tblCellMar>
            <w:top w:w="0" w:type="dxa"/>
            <w:left w:w="108" w:type="dxa"/>
            <w:bottom w:w="0" w:type="dxa"/>
            <w:right w:w="108" w:type="dxa"/>
          </w:tblCellMar>
        </w:tblPrEx>
        <w:trPr>
          <w:trHeight w:val="600" w:hRule="atLeast"/>
        </w:trPr>
        <w:tc>
          <w:tcPr>
            <w:tcW w:w="56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84</w:t>
            </w:r>
          </w:p>
        </w:tc>
        <w:tc>
          <w:tcPr>
            <w:tcW w:w="11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海桐球C</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W250-300</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8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株</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w:t>
            </w:r>
          </w:p>
        </w:tc>
      </w:tr>
      <w:tr>
        <w:tblPrEx>
          <w:tblLayout w:type="fixed"/>
          <w:tblCellMar>
            <w:top w:w="0" w:type="dxa"/>
            <w:left w:w="108" w:type="dxa"/>
            <w:bottom w:w="0" w:type="dxa"/>
            <w:right w:w="108" w:type="dxa"/>
          </w:tblCellMar>
        </w:tblPrEx>
        <w:trPr>
          <w:trHeight w:val="600" w:hRule="atLeast"/>
        </w:trPr>
        <w:tc>
          <w:tcPr>
            <w:tcW w:w="56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85</w:t>
            </w:r>
          </w:p>
        </w:tc>
        <w:tc>
          <w:tcPr>
            <w:tcW w:w="11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海桐树</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H200-250</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8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株</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6</w:t>
            </w:r>
          </w:p>
        </w:tc>
      </w:tr>
      <w:tr>
        <w:tblPrEx>
          <w:tblLayout w:type="fixed"/>
          <w:tblCellMar>
            <w:top w:w="0" w:type="dxa"/>
            <w:left w:w="108" w:type="dxa"/>
            <w:bottom w:w="0" w:type="dxa"/>
            <w:right w:w="108" w:type="dxa"/>
          </w:tblCellMar>
        </w:tblPrEx>
        <w:trPr>
          <w:trHeight w:val="600" w:hRule="atLeast"/>
        </w:trPr>
        <w:tc>
          <w:tcPr>
            <w:tcW w:w="56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86</w:t>
            </w:r>
          </w:p>
        </w:tc>
        <w:tc>
          <w:tcPr>
            <w:tcW w:w="11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红花檵木球A</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W100-150</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8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株</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12</w:t>
            </w:r>
          </w:p>
        </w:tc>
      </w:tr>
      <w:tr>
        <w:tblPrEx>
          <w:tblLayout w:type="fixed"/>
          <w:tblCellMar>
            <w:top w:w="0" w:type="dxa"/>
            <w:left w:w="108" w:type="dxa"/>
            <w:bottom w:w="0" w:type="dxa"/>
            <w:right w:w="108" w:type="dxa"/>
          </w:tblCellMar>
        </w:tblPrEx>
        <w:trPr>
          <w:trHeight w:val="600" w:hRule="atLeast"/>
        </w:trPr>
        <w:tc>
          <w:tcPr>
            <w:tcW w:w="56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87</w:t>
            </w:r>
          </w:p>
        </w:tc>
        <w:tc>
          <w:tcPr>
            <w:tcW w:w="11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红花檵木球B</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W150-180</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8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株</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w:t>
            </w:r>
          </w:p>
        </w:tc>
      </w:tr>
      <w:tr>
        <w:tblPrEx>
          <w:tblLayout w:type="fixed"/>
          <w:tblCellMar>
            <w:top w:w="0" w:type="dxa"/>
            <w:left w:w="108" w:type="dxa"/>
            <w:bottom w:w="0" w:type="dxa"/>
            <w:right w:w="108" w:type="dxa"/>
          </w:tblCellMar>
        </w:tblPrEx>
        <w:trPr>
          <w:trHeight w:val="600" w:hRule="atLeast"/>
        </w:trPr>
        <w:tc>
          <w:tcPr>
            <w:tcW w:w="56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88</w:t>
            </w:r>
          </w:p>
        </w:tc>
        <w:tc>
          <w:tcPr>
            <w:tcW w:w="11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红叶石楠球</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W80-150</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8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株</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95</w:t>
            </w:r>
          </w:p>
        </w:tc>
      </w:tr>
      <w:tr>
        <w:tblPrEx>
          <w:tblLayout w:type="fixed"/>
          <w:tblCellMar>
            <w:top w:w="0" w:type="dxa"/>
            <w:left w:w="108" w:type="dxa"/>
            <w:bottom w:w="0" w:type="dxa"/>
            <w:right w:w="108" w:type="dxa"/>
          </w:tblCellMar>
        </w:tblPrEx>
        <w:trPr>
          <w:trHeight w:val="600" w:hRule="atLeast"/>
        </w:trPr>
        <w:tc>
          <w:tcPr>
            <w:tcW w:w="56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89</w:t>
            </w:r>
          </w:p>
        </w:tc>
        <w:tc>
          <w:tcPr>
            <w:tcW w:w="11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火棘球</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W120</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8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株</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r>
      <w:tr>
        <w:tblPrEx>
          <w:tblLayout w:type="fixed"/>
          <w:tblCellMar>
            <w:top w:w="0" w:type="dxa"/>
            <w:left w:w="108" w:type="dxa"/>
            <w:bottom w:w="0" w:type="dxa"/>
            <w:right w:w="108" w:type="dxa"/>
          </w:tblCellMar>
        </w:tblPrEx>
        <w:trPr>
          <w:trHeight w:val="600" w:hRule="atLeast"/>
        </w:trPr>
        <w:tc>
          <w:tcPr>
            <w:tcW w:w="56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90</w:t>
            </w:r>
          </w:p>
        </w:tc>
        <w:tc>
          <w:tcPr>
            <w:tcW w:w="11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龙柏球A</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W100-150</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8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株</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19</w:t>
            </w:r>
          </w:p>
        </w:tc>
      </w:tr>
      <w:tr>
        <w:tblPrEx>
          <w:tblLayout w:type="fixed"/>
          <w:tblCellMar>
            <w:top w:w="0" w:type="dxa"/>
            <w:left w:w="108" w:type="dxa"/>
            <w:bottom w:w="0" w:type="dxa"/>
            <w:right w:w="108" w:type="dxa"/>
          </w:tblCellMar>
        </w:tblPrEx>
        <w:trPr>
          <w:trHeight w:val="600" w:hRule="atLeast"/>
        </w:trPr>
        <w:tc>
          <w:tcPr>
            <w:tcW w:w="56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91</w:t>
            </w:r>
          </w:p>
        </w:tc>
        <w:tc>
          <w:tcPr>
            <w:tcW w:w="11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龙柏球B</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W150-200</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8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株</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w:t>
            </w:r>
          </w:p>
        </w:tc>
      </w:tr>
      <w:tr>
        <w:tblPrEx>
          <w:tblLayout w:type="fixed"/>
          <w:tblCellMar>
            <w:top w:w="0" w:type="dxa"/>
            <w:left w:w="108" w:type="dxa"/>
            <w:bottom w:w="0" w:type="dxa"/>
            <w:right w:w="108" w:type="dxa"/>
          </w:tblCellMar>
        </w:tblPrEx>
        <w:trPr>
          <w:trHeight w:val="600" w:hRule="atLeast"/>
        </w:trPr>
        <w:tc>
          <w:tcPr>
            <w:tcW w:w="56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92</w:t>
            </w:r>
          </w:p>
        </w:tc>
        <w:tc>
          <w:tcPr>
            <w:tcW w:w="11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龙柏球C</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W250</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8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株</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r>
      <w:tr>
        <w:tblPrEx>
          <w:tblLayout w:type="fixed"/>
          <w:tblCellMar>
            <w:top w:w="0" w:type="dxa"/>
            <w:left w:w="108" w:type="dxa"/>
            <w:bottom w:w="0" w:type="dxa"/>
            <w:right w:w="108" w:type="dxa"/>
          </w:tblCellMar>
        </w:tblPrEx>
        <w:trPr>
          <w:trHeight w:val="600" w:hRule="atLeast"/>
        </w:trPr>
        <w:tc>
          <w:tcPr>
            <w:tcW w:w="56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93</w:t>
            </w:r>
          </w:p>
        </w:tc>
        <w:tc>
          <w:tcPr>
            <w:tcW w:w="11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毛鹃球</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W40-60</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8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株</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r>
      <w:tr>
        <w:tblPrEx>
          <w:tblLayout w:type="fixed"/>
          <w:tblCellMar>
            <w:top w:w="0" w:type="dxa"/>
            <w:left w:w="108" w:type="dxa"/>
            <w:bottom w:w="0" w:type="dxa"/>
            <w:right w:w="108" w:type="dxa"/>
          </w:tblCellMar>
        </w:tblPrEx>
        <w:trPr>
          <w:trHeight w:val="600" w:hRule="atLeast"/>
        </w:trPr>
        <w:tc>
          <w:tcPr>
            <w:tcW w:w="56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94</w:t>
            </w:r>
          </w:p>
        </w:tc>
        <w:tc>
          <w:tcPr>
            <w:tcW w:w="11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紫藤</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H300</w:t>
            </w:r>
          </w:p>
        </w:tc>
        <w:tc>
          <w:tcPr>
            <w:tcW w:w="8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株</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5</w:t>
            </w:r>
          </w:p>
        </w:tc>
      </w:tr>
      <w:tr>
        <w:tblPrEx>
          <w:tblLayout w:type="fixed"/>
          <w:tblCellMar>
            <w:top w:w="0" w:type="dxa"/>
            <w:left w:w="108" w:type="dxa"/>
            <w:bottom w:w="0" w:type="dxa"/>
            <w:right w:w="108" w:type="dxa"/>
          </w:tblCellMar>
        </w:tblPrEx>
        <w:trPr>
          <w:trHeight w:val="600" w:hRule="atLeast"/>
        </w:trPr>
        <w:tc>
          <w:tcPr>
            <w:tcW w:w="56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95</w:t>
            </w:r>
          </w:p>
        </w:tc>
        <w:tc>
          <w:tcPr>
            <w:tcW w:w="11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夹竹桃</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H300-350</w:t>
            </w:r>
          </w:p>
        </w:tc>
        <w:tc>
          <w:tcPr>
            <w:tcW w:w="8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丛</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40</w:t>
            </w:r>
          </w:p>
        </w:tc>
      </w:tr>
      <w:tr>
        <w:tblPrEx>
          <w:tblLayout w:type="fixed"/>
          <w:tblCellMar>
            <w:top w:w="0" w:type="dxa"/>
            <w:left w:w="108" w:type="dxa"/>
            <w:bottom w:w="0" w:type="dxa"/>
            <w:right w:w="108" w:type="dxa"/>
          </w:tblCellMar>
        </w:tblPrEx>
        <w:trPr>
          <w:trHeight w:val="600" w:hRule="atLeast"/>
        </w:trPr>
        <w:tc>
          <w:tcPr>
            <w:tcW w:w="56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96</w:t>
            </w:r>
          </w:p>
        </w:tc>
        <w:tc>
          <w:tcPr>
            <w:tcW w:w="11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八角金盘</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H50-100</w:t>
            </w:r>
          </w:p>
        </w:tc>
        <w:tc>
          <w:tcPr>
            <w:tcW w:w="8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799</w:t>
            </w:r>
          </w:p>
        </w:tc>
      </w:tr>
      <w:tr>
        <w:tblPrEx>
          <w:tblLayout w:type="fixed"/>
          <w:tblCellMar>
            <w:top w:w="0" w:type="dxa"/>
            <w:left w:w="108" w:type="dxa"/>
            <w:bottom w:w="0" w:type="dxa"/>
            <w:right w:w="108" w:type="dxa"/>
          </w:tblCellMar>
        </w:tblPrEx>
        <w:trPr>
          <w:trHeight w:val="600" w:hRule="atLeast"/>
        </w:trPr>
        <w:tc>
          <w:tcPr>
            <w:tcW w:w="56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97</w:t>
            </w:r>
          </w:p>
        </w:tc>
        <w:tc>
          <w:tcPr>
            <w:tcW w:w="11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常春藤</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8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618</w:t>
            </w:r>
          </w:p>
        </w:tc>
      </w:tr>
      <w:tr>
        <w:tblPrEx>
          <w:tblLayout w:type="fixed"/>
          <w:tblCellMar>
            <w:top w:w="0" w:type="dxa"/>
            <w:left w:w="108" w:type="dxa"/>
            <w:bottom w:w="0" w:type="dxa"/>
            <w:right w:w="108" w:type="dxa"/>
          </w:tblCellMar>
        </w:tblPrEx>
        <w:trPr>
          <w:trHeight w:val="600" w:hRule="atLeast"/>
        </w:trPr>
        <w:tc>
          <w:tcPr>
            <w:tcW w:w="56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98</w:t>
            </w:r>
          </w:p>
        </w:tc>
        <w:tc>
          <w:tcPr>
            <w:tcW w:w="11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葱兰</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8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576</w:t>
            </w:r>
          </w:p>
        </w:tc>
      </w:tr>
      <w:tr>
        <w:tblPrEx>
          <w:tblLayout w:type="fixed"/>
          <w:tblCellMar>
            <w:top w:w="0" w:type="dxa"/>
            <w:left w:w="108" w:type="dxa"/>
            <w:bottom w:w="0" w:type="dxa"/>
            <w:right w:w="108" w:type="dxa"/>
          </w:tblCellMar>
        </w:tblPrEx>
        <w:trPr>
          <w:trHeight w:val="600" w:hRule="atLeast"/>
        </w:trPr>
        <w:tc>
          <w:tcPr>
            <w:tcW w:w="56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99</w:t>
            </w:r>
          </w:p>
        </w:tc>
        <w:tc>
          <w:tcPr>
            <w:tcW w:w="11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法青</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H40-50</w:t>
            </w:r>
          </w:p>
        </w:tc>
        <w:tc>
          <w:tcPr>
            <w:tcW w:w="8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22</w:t>
            </w:r>
          </w:p>
        </w:tc>
      </w:tr>
      <w:tr>
        <w:tblPrEx>
          <w:tblLayout w:type="fixed"/>
          <w:tblCellMar>
            <w:top w:w="0" w:type="dxa"/>
            <w:left w:w="108" w:type="dxa"/>
            <w:bottom w:w="0" w:type="dxa"/>
            <w:right w:w="108" w:type="dxa"/>
          </w:tblCellMar>
        </w:tblPrEx>
        <w:trPr>
          <w:trHeight w:val="600" w:hRule="atLeast"/>
        </w:trPr>
        <w:tc>
          <w:tcPr>
            <w:tcW w:w="56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100</w:t>
            </w:r>
          </w:p>
        </w:tc>
        <w:tc>
          <w:tcPr>
            <w:tcW w:w="11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刚竹</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H100-300</w:t>
            </w:r>
          </w:p>
        </w:tc>
        <w:tc>
          <w:tcPr>
            <w:tcW w:w="8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1028</w:t>
            </w:r>
          </w:p>
        </w:tc>
      </w:tr>
      <w:tr>
        <w:tblPrEx>
          <w:tblLayout w:type="fixed"/>
          <w:tblCellMar>
            <w:top w:w="0" w:type="dxa"/>
            <w:left w:w="108" w:type="dxa"/>
            <w:bottom w:w="0" w:type="dxa"/>
            <w:right w:w="108" w:type="dxa"/>
          </w:tblCellMar>
        </w:tblPrEx>
        <w:trPr>
          <w:trHeight w:val="600" w:hRule="atLeast"/>
        </w:trPr>
        <w:tc>
          <w:tcPr>
            <w:tcW w:w="56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101</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桂竹</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333333"/>
                <w:kern w:val="0"/>
                <w:sz w:val="20"/>
                <w:szCs w:val="20"/>
              </w:rPr>
            </w:pPr>
            <w:r>
              <w:rPr>
                <w:rFonts w:hint="eastAsia" w:ascii="宋体" w:hAnsi="宋体" w:cs="宋体"/>
                <w:color w:val="333333"/>
                <w:kern w:val="0"/>
                <w:sz w:val="20"/>
                <w:szCs w:val="20"/>
              </w:rPr>
              <w:t>　</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333333"/>
                <w:kern w:val="0"/>
                <w:sz w:val="20"/>
                <w:szCs w:val="20"/>
              </w:rPr>
            </w:pPr>
            <w:r>
              <w:rPr>
                <w:rFonts w:hint="eastAsia" w:ascii="宋体" w:hAnsi="宋体" w:cs="宋体"/>
                <w:color w:val="333333"/>
                <w:kern w:val="0"/>
                <w:sz w:val="20"/>
                <w:szCs w:val="20"/>
              </w:rPr>
              <w:t>D6</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333333"/>
                <w:kern w:val="0"/>
                <w:sz w:val="20"/>
                <w:szCs w:val="20"/>
              </w:rPr>
            </w:pPr>
            <w:r>
              <w:rPr>
                <w:rFonts w:hint="eastAsia" w:ascii="宋体" w:hAnsi="宋体" w:cs="宋体"/>
                <w:color w:val="333333"/>
                <w:kern w:val="0"/>
                <w:sz w:val="20"/>
                <w:szCs w:val="20"/>
              </w:rPr>
              <w:t>　</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333333"/>
                <w:kern w:val="0"/>
                <w:sz w:val="20"/>
                <w:szCs w:val="20"/>
              </w:rPr>
            </w:pPr>
            <w:r>
              <w:rPr>
                <w:rFonts w:hint="eastAsia" w:ascii="宋体" w:hAnsi="宋体" w:cs="宋体"/>
                <w:color w:val="333333"/>
                <w:kern w:val="0"/>
                <w:sz w:val="20"/>
                <w:szCs w:val="20"/>
              </w:rPr>
              <w:t>　</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m</w:t>
            </w:r>
            <w:r>
              <w:rPr>
                <w:rFonts w:hint="eastAsia" w:ascii="宋体" w:hAnsi="宋体" w:cs="宋体"/>
                <w:color w:val="000000"/>
                <w:kern w:val="0"/>
                <w:sz w:val="20"/>
                <w:szCs w:val="20"/>
                <w:vertAlign w:val="superscript"/>
              </w:rPr>
              <w:t>2</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220</w:t>
            </w:r>
          </w:p>
        </w:tc>
      </w:tr>
      <w:tr>
        <w:tblPrEx>
          <w:tblLayout w:type="fixed"/>
          <w:tblCellMar>
            <w:top w:w="0" w:type="dxa"/>
            <w:left w:w="108" w:type="dxa"/>
            <w:bottom w:w="0" w:type="dxa"/>
            <w:right w:w="108" w:type="dxa"/>
          </w:tblCellMar>
        </w:tblPrEx>
        <w:trPr>
          <w:trHeight w:val="600" w:hRule="atLeast"/>
        </w:trPr>
        <w:tc>
          <w:tcPr>
            <w:tcW w:w="56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102</w:t>
            </w:r>
          </w:p>
        </w:tc>
        <w:tc>
          <w:tcPr>
            <w:tcW w:w="11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海桐</w:t>
            </w:r>
          </w:p>
        </w:tc>
        <w:tc>
          <w:tcPr>
            <w:tcW w:w="4320" w:type="dxa"/>
            <w:gridSpan w:val="4"/>
            <w:tcBorders>
              <w:top w:val="single" w:color="auto" w:sz="4" w:space="0"/>
              <w:left w:val="nil"/>
              <w:bottom w:val="single" w:color="auto" w:sz="4" w:space="0"/>
              <w:right w:val="single" w:color="000000"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P20-30、25株/m²</w:t>
            </w:r>
          </w:p>
        </w:tc>
        <w:tc>
          <w:tcPr>
            <w:tcW w:w="8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409.5</w:t>
            </w:r>
          </w:p>
        </w:tc>
      </w:tr>
      <w:tr>
        <w:tblPrEx>
          <w:tblLayout w:type="fixed"/>
          <w:tblCellMar>
            <w:top w:w="0" w:type="dxa"/>
            <w:left w:w="108" w:type="dxa"/>
            <w:bottom w:w="0" w:type="dxa"/>
            <w:right w:w="108" w:type="dxa"/>
          </w:tblCellMar>
        </w:tblPrEx>
        <w:trPr>
          <w:trHeight w:val="600" w:hRule="atLeast"/>
        </w:trPr>
        <w:tc>
          <w:tcPr>
            <w:tcW w:w="56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103</w:t>
            </w:r>
          </w:p>
        </w:tc>
        <w:tc>
          <w:tcPr>
            <w:tcW w:w="11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红花檵木</w:t>
            </w:r>
          </w:p>
        </w:tc>
        <w:tc>
          <w:tcPr>
            <w:tcW w:w="4320" w:type="dxa"/>
            <w:gridSpan w:val="4"/>
            <w:tcBorders>
              <w:top w:val="single" w:color="auto" w:sz="4" w:space="0"/>
              <w:left w:val="nil"/>
              <w:bottom w:val="single" w:color="auto" w:sz="4" w:space="0"/>
              <w:right w:val="single" w:color="000000"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P20-30、25株/m²</w:t>
            </w:r>
          </w:p>
        </w:tc>
        <w:tc>
          <w:tcPr>
            <w:tcW w:w="8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305</w:t>
            </w:r>
          </w:p>
        </w:tc>
      </w:tr>
      <w:tr>
        <w:tblPrEx>
          <w:tblLayout w:type="fixed"/>
          <w:tblCellMar>
            <w:top w:w="0" w:type="dxa"/>
            <w:left w:w="108" w:type="dxa"/>
            <w:bottom w:w="0" w:type="dxa"/>
            <w:right w:w="108" w:type="dxa"/>
          </w:tblCellMar>
        </w:tblPrEx>
        <w:trPr>
          <w:trHeight w:val="600" w:hRule="atLeast"/>
        </w:trPr>
        <w:tc>
          <w:tcPr>
            <w:tcW w:w="56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104</w:t>
            </w:r>
          </w:p>
        </w:tc>
        <w:tc>
          <w:tcPr>
            <w:tcW w:w="11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红叶石楠</w:t>
            </w:r>
          </w:p>
        </w:tc>
        <w:tc>
          <w:tcPr>
            <w:tcW w:w="4320" w:type="dxa"/>
            <w:gridSpan w:val="4"/>
            <w:tcBorders>
              <w:top w:val="single" w:color="auto" w:sz="4" w:space="0"/>
              <w:left w:val="nil"/>
              <w:bottom w:val="single" w:color="auto" w:sz="4" w:space="0"/>
              <w:right w:val="single" w:color="000000"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H40、25株/m²</w:t>
            </w:r>
          </w:p>
        </w:tc>
        <w:tc>
          <w:tcPr>
            <w:tcW w:w="8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25.5</w:t>
            </w:r>
          </w:p>
        </w:tc>
      </w:tr>
      <w:tr>
        <w:tblPrEx>
          <w:tblLayout w:type="fixed"/>
          <w:tblCellMar>
            <w:top w:w="0" w:type="dxa"/>
            <w:left w:w="108" w:type="dxa"/>
            <w:bottom w:w="0" w:type="dxa"/>
            <w:right w:w="108" w:type="dxa"/>
          </w:tblCellMar>
        </w:tblPrEx>
        <w:trPr>
          <w:trHeight w:val="600" w:hRule="atLeast"/>
        </w:trPr>
        <w:tc>
          <w:tcPr>
            <w:tcW w:w="56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105</w:t>
            </w:r>
          </w:p>
        </w:tc>
        <w:tc>
          <w:tcPr>
            <w:tcW w:w="11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吉祥草</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8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1322</w:t>
            </w:r>
          </w:p>
        </w:tc>
      </w:tr>
      <w:tr>
        <w:tblPrEx>
          <w:tblLayout w:type="fixed"/>
          <w:tblCellMar>
            <w:top w:w="0" w:type="dxa"/>
            <w:left w:w="108" w:type="dxa"/>
            <w:bottom w:w="0" w:type="dxa"/>
            <w:right w:w="108" w:type="dxa"/>
          </w:tblCellMar>
        </w:tblPrEx>
        <w:trPr>
          <w:trHeight w:val="600" w:hRule="atLeast"/>
        </w:trPr>
        <w:tc>
          <w:tcPr>
            <w:tcW w:w="56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106</w:t>
            </w:r>
          </w:p>
        </w:tc>
        <w:tc>
          <w:tcPr>
            <w:tcW w:w="11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金边黄杨</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H60</w:t>
            </w:r>
          </w:p>
        </w:tc>
        <w:tc>
          <w:tcPr>
            <w:tcW w:w="8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812</w:t>
            </w:r>
          </w:p>
        </w:tc>
      </w:tr>
      <w:tr>
        <w:tblPrEx>
          <w:tblLayout w:type="fixed"/>
          <w:tblCellMar>
            <w:top w:w="0" w:type="dxa"/>
            <w:left w:w="108" w:type="dxa"/>
            <w:bottom w:w="0" w:type="dxa"/>
            <w:right w:w="108" w:type="dxa"/>
          </w:tblCellMar>
        </w:tblPrEx>
        <w:trPr>
          <w:trHeight w:val="600" w:hRule="atLeast"/>
        </w:trPr>
        <w:tc>
          <w:tcPr>
            <w:tcW w:w="56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107</w:t>
            </w:r>
          </w:p>
        </w:tc>
        <w:tc>
          <w:tcPr>
            <w:tcW w:w="11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金鸡菊</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8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1020</w:t>
            </w:r>
          </w:p>
        </w:tc>
      </w:tr>
      <w:tr>
        <w:tblPrEx>
          <w:tblLayout w:type="fixed"/>
          <w:tblCellMar>
            <w:top w:w="0" w:type="dxa"/>
            <w:left w:w="108" w:type="dxa"/>
            <w:bottom w:w="0" w:type="dxa"/>
            <w:right w:w="108" w:type="dxa"/>
          </w:tblCellMar>
        </w:tblPrEx>
        <w:trPr>
          <w:trHeight w:val="600" w:hRule="atLeast"/>
        </w:trPr>
        <w:tc>
          <w:tcPr>
            <w:tcW w:w="56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108</w:t>
            </w:r>
          </w:p>
        </w:tc>
        <w:tc>
          <w:tcPr>
            <w:tcW w:w="11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金丝桃</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H40-50</w:t>
            </w:r>
          </w:p>
        </w:tc>
        <w:tc>
          <w:tcPr>
            <w:tcW w:w="8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557</w:t>
            </w:r>
          </w:p>
        </w:tc>
      </w:tr>
      <w:tr>
        <w:tblPrEx>
          <w:tblLayout w:type="fixed"/>
          <w:tblCellMar>
            <w:top w:w="0" w:type="dxa"/>
            <w:left w:w="108" w:type="dxa"/>
            <w:bottom w:w="0" w:type="dxa"/>
            <w:right w:w="108" w:type="dxa"/>
          </w:tblCellMar>
        </w:tblPrEx>
        <w:trPr>
          <w:trHeight w:val="600" w:hRule="atLeast"/>
        </w:trPr>
        <w:tc>
          <w:tcPr>
            <w:tcW w:w="56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109</w:t>
            </w:r>
          </w:p>
        </w:tc>
        <w:tc>
          <w:tcPr>
            <w:tcW w:w="11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龙柏</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H40-60</w:t>
            </w:r>
          </w:p>
        </w:tc>
        <w:tc>
          <w:tcPr>
            <w:tcW w:w="8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2968.4</w:t>
            </w:r>
          </w:p>
        </w:tc>
      </w:tr>
      <w:tr>
        <w:tblPrEx>
          <w:tblLayout w:type="fixed"/>
          <w:tblCellMar>
            <w:top w:w="0" w:type="dxa"/>
            <w:left w:w="108" w:type="dxa"/>
            <w:bottom w:w="0" w:type="dxa"/>
            <w:right w:w="108" w:type="dxa"/>
          </w:tblCellMar>
        </w:tblPrEx>
        <w:trPr>
          <w:trHeight w:val="600" w:hRule="atLeast"/>
        </w:trPr>
        <w:tc>
          <w:tcPr>
            <w:tcW w:w="56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110</w:t>
            </w:r>
          </w:p>
        </w:tc>
        <w:tc>
          <w:tcPr>
            <w:tcW w:w="11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毛鹃</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H40-80</w:t>
            </w:r>
          </w:p>
        </w:tc>
        <w:tc>
          <w:tcPr>
            <w:tcW w:w="8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1041.9</w:t>
            </w:r>
          </w:p>
        </w:tc>
      </w:tr>
      <w:tr>
        <w:tblPrEx>
          <w:tblLayout w:type="fixed"/>
          <w:tblCellMar>
            <w:top w:w="0" w:type="dxa"/>
            <w:left w:w="108" w:type="dxa"/>
            <w:bottom w:w="0" w:type="dxa"/>
            <w:right w:w="108" w:type="dxa"/>
          </w:tblCellMar>
        </w:tblPrEx>
        <w:trPr>
          <w:trHeight w:val="600" w:hRule="atLeast"/>
        </w:trPr>
        <w:tc>
          <w:tcPr>
            <w:tcW w:w="56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111</w:t>
            </w:r>
          </w:p>
        </w:tc>
        <w:tc>
          <w:tcPr>
            <w:tcW w:w="11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美人蕉</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8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w:t>
            </w:r>
          </w:p>
        </w:tc>
      </w:tr>
      <w:tr>
        <w:tblPrEx>
          <w:tblLayout w:type="fixed"/>
          <w:tblCellMar>
            <w:top w:w="0" w:type="dxa"/>
            <w:left w:w="108" w:type="dxa"/>
            <w:bottom w:w="0" w:type="dxa"/>
            <w:right w:w="108" w:type="dxa"/>
          </w:tblCellMar>
        </w:tblPrEx>
        <w:trPr>
          <w:trHeight w:val="600" w:hRule="atLeast"/>
        </w:trPr>
        <w:tc>
          <w:tcPr>
            <w:tcW w:w="56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112</w:t>
            </w:r>
          </w:p>
        </w:tc>
        <w:tc>
          <w:tcPr>
            <w:tcW w:w="11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南天竹</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H60-100</w:t>
            </w:r>
          </w:p>
        </w:tc>
        <w:tc>
          <w:tcPr>
            <w:tcW w:w="8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258</w:t>
            </w:r>
          </w:p>
        </w:tc>
      </w:tr>
      <w:tr>
        <w:tblPrEx>
          <w:tblLayout w:type="fixed"/>
          <w:tblCellMar>
            <w:top w:w="0" w:type="dxa"/>
            <w:left w:w="108" w:type="dxa"/>
            <w:bottom w:w="0" w:type="dxa"/>
            <w:right w:w="108" w:type="dxa"/>
          </w:tblCellMar>
        </w:tblPrEx>
        <w:trPr>
          <w:trHeight w:val="600" w:hRule="atLeast"/>
        </w:trPr>
        <w:tc>
          <w:tcPr>
            <w:tcW w:w="56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113</w:t>
            </w:r>
          </w:p>
        </w:tc>
        <w:tc>
          <w:tcPr>
            <w:tcW w:w="11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洒金珊瑚</w:t>
            </w:r>
          </w:p>
        </w:tc>
        <w:tc>
          <w:tcPr>
            <w:tcW w:w="4320" w:type="dxa"/>
            <w:gridSpan w:val="4"/>
            <w:tcBorders>
              <w:top w:val="single" w:color="auto" w:sz="4" w:space="0"/>
              <w:left w:val="nil"/>
              <w:bottom w:val="single" w:color="auto" w:sz="4" w:space="0"/>
              <w:right w:val="single" w:color="000000"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P20-30、25株/m²</w:t>
            </w:r>
          </w:p>
        </w:tc>
        <w:tc>
          <w:tcPr>
            <w:tcW w:w="8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70.2</w:t>
            </w:r>
          </w:p>
        </w:tc>
      </w:tr>
      <w:tr>
        <w:tblPrEx>
          <w:tblLayout w:type="fixed"/>
          <w:tblCellMar>
            <w:top w:w="0" w:type="dxa"/>
            <w:left w:w="108" w:type="dxa"/>
            <w:bottom w:w="0" w:type="dxa"/>
            <w:right w:w="108" w:type="dxa"/>
          </w:tblCellMar>
        </w:tblPrEx>
        <w:trPr>
          <w:trHeight w:val="600" w:hRule="atLeast"/>
        </w:trPr>
        <w:tc>
          <w:tcPr>
            <w:tcW w:w="56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114</w:t>
            </w:r>
          </w:p>
        </w:tc>
        <w:tc>
          <w:tcPr>
            <w:tcW w:w="11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鼠尾草</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8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1433</w:t>
            </w:r>
          </w:p>
        </w:tc>
      </w:tr>
      <w:tr>
        <w:tblPrEx>
          <w:tblLayout w:type="fixed"/>
          <w:tblCellMar>
            <w:top w:w="0" w:type="dxa"/>
            <w:left w:w="108" w:type="dxa"/>
            <w:bottom w:w="0" w:type="dxa"/>
            <w:right w:w="108" w:type="dxa"/>
          </w:tblCellMar>
        </w:tblPrEx>
        <w:trPr>
          <w:trHeight w:val="600" w:hRule="atLeast"/>
        </w:trPr>
        <w:tc>
          <w:tcPr>
            <w:tcW w:w="56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115</w:t>
            </w:r>
          </w:p>
        </w:tc>
        <w:tc>
          <w:tcPr>
            <w:tcW w:w="11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鸢尾</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8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1173</w:t>
            </w:r>
          </w:p>
        </w:tc>
      </w:tr>
      <w:tr>
        <w:tblPrEx>
          <w:tblLayout w:type="fixed"/>
          <w:tblCellMar>
            <w:top w:w="0" w:type="dxa"/>
            <w:left w:w="108" w:type="dxa"/>
            <w:bottom w:w="0" w:type="dxa"/>
            <w:right w:w="108" w:type="dxa"/>
          </w:tblCellMar>
        </w:tblPrEx>
        <w:trPr>
          <w:trHeight w:val="600" w:hRule="atLeast"/>
        </w:trPr>
        <w:tc>
          <w:tcPr>
            <w:tcW w:w="56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116</w:t>
            </w:r>
          </w:p>
        </w:tc>
        <w:tc>
          <w:tcPr>
            <w:tcW w:w="11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月见草</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8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480</w:t>
            </w:r>
          </w:p>
        </w:tc>
      </w:tr>
      <w:tr>
        <w:tblPrEx>
          <w:tblLayout w:type="fixed"/>
          <w:tblCellMar>
            <w:top w:w="0" w:type="dxa"/>
            <w:left w:w="108" w:type="dxa"/>
            <w:bottom w:w="0" w:type="dxa"/>
            <w:right w:w="108" w:type="dxa"/>
          </w:tblCellMar>
        </w:tblPrEx>
        <w:trPr>
          <w:trHeight w:val="600" w:hRule="atLeast"/>
        </w:trPr>
        <w:tc>
          <w:tcPr>
            <w:tcW w:w="56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117</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金山绣线菊</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30</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30-40</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m</w:t>
            </w:r>
            <w:r>
              <w:rPr>
                <w:rFonts w:hint="eastAsia" w:ascii="宋体" w:hAnsi="宋体" w:cs="宋体"/>
                <w:color w:val="000000"/>
                <w:kern w:val="0"/>
                <w:sz w:val="22"/>
                <w:vertAlign w:val="superscript"/>
              </w:rPr>
              <w:t>2</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1.3</w:t>
            </w:r>
          </w:p>
        </w:tc>
      </w:tr>
      <w:tr>
        <w:tblPrEx>
          <w:tblLayout w:type="fixed"/>
          <w:tblCellMar>
            <w:top w:w="0" w:type="dxa"/>
            <w:left w:w="108" w:type="dxa"/>
            <w:bottom w:w="0" w:type="dxa"/>
            <w:right w:w="108" w:type="dxa"/>
          </w:tblCellMar>
        </w:tblPrEx>
        <w:trPr>
          <w:trHeight w:val="600" w:hRule="atLeast"/>
        </w:trPr>
        <w:tc>
          <w:tcPr>
            <w:tcW w:w="56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118</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紫叶酢浆草</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30</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20-30</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m</w:t>
            </w:r>
            <w:r>
              <w:rPr>
                <w:rFonts w:hint="eastAsia" w:ascii="宋体" w:hAnsi="宋体" w:cs="宋体"/>
                <w:color w:val="000000"/>
                <w:kern w:val="0"/>
                <w:sz w:val="22"/>
                <w:vertAlign w:val="superscript"/>
              </w:rPr>
              <w:t>2</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4.4</w:t>
            </w:r>
          </w:p>
        </w:tc>
      </w:tr>
      <w:tr>
        <w:tblPrEx>
          <w:tblLayout w:type="fixed"/>
          <w:tblCellMar>
            <w:top w:w="0" w:type="dxa"/>
            <w:left w:w="108" w:type="dxa"/>
            <w:bottom w:w="0" w:type="dxa"/>
            <w:right w:w="108" w:type="dxa"/>
          </w:tblCellMar>
        </w:tblPrEx>
        <w:trPr>
          <w:trHeight w:val="600" w:hRule="atLeast"/>
        </w:trPr>
        <w:tc>
          <w:tcPr>
            <w:tcW w:w="56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119</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金叶石菖蒲</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30</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30</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m</w:t>
            </w:r>
            <w:r>
              <w:rPr>
                <w:rFonts w:hint="eastAsia" w:ascii="宋体" w:hAnsi="宋体" w:cs="宋体"/>
                <w:color w:val="000000"/>
                <w:kern w:val="0"/>
                <w:sz w:val="22"/>
                <w:vertAlign w:val="superscript"/>
              </w:rPr>
              <w:t>2</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0.5</w:t>
            </w:r>
          </w:p>
        </w:tc>
      </w:tr>
      <w:tr>
        <w:tblPrEx>
          <w:tblLayout w:type="fixed"/>
          <w:tblCellMar>
            <w:top w:w="0" w:type="dxa"/>
            <w:left w:w="108" w:type="dxa"/>
            <w:bottom w:w="0" w:type="dxa"/>
            <w:right w:w="108" w:type="dxa"/>
          </w:tblCellMar>
        </w:tblPrEx>
        <w:trPr>
          <w:trHeight w:val="600" w:hRule="atLeast"/>
        </w:trPr>
        <w:tc>
          <w:tcPr>
            <w:tcW w:w="56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120</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绵毛水苏</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30</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w:t>
            </w:r>
            <w:r>
              <w:rPr>
                <w:rFonts w:hint="eastAsia" w:ascii="宋体" w:hAnsi="宋体" w:cs="宋体"/>
                <w:color w:val="000000"/>
                <w:kern w:val="0"/>
                <w:sz w:val="22"/>
              </w:rPr>
              <w:t>0-40</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m</w:t>
            </w:r>
            <w:r>
              <w:rPr>
                <w:rFonts w:hint="eastAsia" w:ascii="宋体" w:hAnsi="宋体" w:cs="宋体"/>
                <w:color w:val="000000"/>
                <w:kern w:val="0"/>
                <w:sz w:val="22"/>
                <w:vertAlign w:val="superscript"/>
              </w:rPr>
              <w:t>2</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1.5</w:t>
            </w:r>
          </w:p>
        </w:tc>
      </w:tr>
      <w:tr>
        <w:tblPrEx>
          <w:tblLayout w:type="fixed"/>
          <w:tblCellMar>
            <w:top w:w="0" w:type="dxa"/>
            <w:left w:w="108" w:type="dxa"/>
            <w:bottom w:w="0" w:type="dxa"/>
            <w:right w:w="108" w:type="dxa"/>
          </w:tblCellMar>
        </w:tblPrEx>
        <w:trPr>
          <w:trHeight w:val="600" w:hRule="atLeast"/>
        </w:trPr>
        <w:tc>
          <w:tcPr>
            <w:tcW w:w="56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121</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无尽夏八仙花</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6</w:t>
            </w:r>
            <w:r>
              <w:rPr>
                <w:rFonts w:hint="eastAsia" w:ascii="宋体" w:hAnsi="宋体" w:cs="宋体"/>
                <w:color w:val="000000"/>
                <w:kern w:val="0"/>
                <w:sz w:val="22"/>
              </w:rPr>
              <w:t>0-70</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5</w:t>
            </w:r>
            <w:r>
              <w:rPr>
                <w:rFonts w:hint="eastAsia" w:ascii="宋体" w:hAnsi="宋体" w:cs="宋体"/>
                <w:color w:val="000000"/>
                <w:kern w:val="0"/>
                <w:sz w:val="22"/>
              </w:rPr>
              <w:t>0-60</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m</w:t>
            </w:r>
            <w:r>
              <w:rPr>
                <w:rFonts w:hint="eastAsia" w:ascii="宋体" w:hAnsi="宋体" w:cs="宋体"/>
                <w:color w:val="000000"/>
                <w:kern w:val="0"/>
                <w:sz w:val="22"/>
                <w:vertAlign w:val="superscript"/>
              </w:rPr>
              <w:t>2</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5.2</w:t>
            </w:r>
          </w:p>
        </w:tc>
      </w:tr>
      <w:tr>
        <w:tblPrEx>
          <w:tblLayout w:type="fixed"/>
          <w:tblCellMar>
            <w:top w:w="0" w:type="dxa"/>
            <w:left w:w="108" w:type="dxa"/>
            <w:bottom w:w="0" w:type="dxa"/>
            <w:right w:w="108" w:type="dxa"/>
          </w:tblCellMar>
        </w:tblPrEx>
        <w:trPr>
          <w:trHeight w:val="600" w:hRule="atLeast"/>
        </w:trPr>
        <w:tc>
          <w:tcPr>
            <w:tcW w:w="56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122</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黄金菊</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r>
              <w:rPr>
                <w:rFonts w:hint="eastAsia" w:ascii="宋体" w:hAnsi="宋体" w:cs="宋体"/>
                <w:color w:val="000000"/>
                <w:kern w:val="0"/>
                <w:sz w:val="22"/>
              </w:rPr>
              <w:t>5-30</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w:t>
            </w:r>
            <w:r>
              <w:rPr>
                <w:rFonts w:hint="eastAsia" w:ascii="宋体" w:hAnsi="宋体" w:cs="宋体"/>
                <w:color w:val="000000"/>
                <w:kern w:val="0"/>
                <w:sz w:val="22"/>
              </w:rPr>
              <w:t>0-40</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m</w:t>
            </w:r>
            <w:r>
              <w:rPr>
                <w:rFonts w:hint="eastAsia" w:ascii="宋体" w:hAnsi="宋体" w:cs="宋体"/>
                <w:color w:val="000000"/>
                <w:kern w:val="0"/>
                <w:sz w:val="22"/>
                <w:vertAlign w:val="superscript"/>
              </w:rPr>
              <w:t>2</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5.4</w:t>
            </w:r>
          </w:p>
        </w:tc>
      </w:tr>
      <w:tr>
        <w:tblPrEx>
          <w:tblLayout w:type="fixed"/>
          <w:tblCellMar>
            <w:top w:w="0" w:type="dxa"/>
            <w:left w:w="108" w:type="dxa"/>
            <w:bottom w:w="0" w:type="dxa"/>
            <w:right w:w="108" w:type="dxa"/>
          </w:tblCellMar>
        </w:tblPrEx>
        <w:trPr>
          <w:trHeight w:val="600" w:hRule="atLeast"/>
        </w:trPr>
        <w:tc>
          <w:tcPr>
            <w:tcW w:w="56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123</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蕨类</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w:t>
            </w:r>
            <w:r>
              <w:rPr>
                <w:rFonts w:hint="eastAsia" w:ascii="宋体" w:hAnsi="宋体" w:cs="宋体"/>
                <w:color w:val="000000"/>
                <w:kern w:val="0"/>
                <w:sz w:val="22"/>
              </w:rPr>
              <w:t>0-40</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5</w:t>
            </w:r>
            <w:r>
              <w:rPr>
                <w:rFonts w:hint="eastAsia" w:ascii="宋体" w:hAnsi="宋体" w:cs="宋体"/>
                <w:color w:val="000000"/>
                <w:kern w:val="0"/>
                <w:sz w:val="22"/>
              </w:rPr>
              <w:t>0-60</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m</w:t>
            </w:r>
            <w:r>
              <w:rPr>
                <w:rFonts w:hint="eastAsia" w:ascii="宋体" w:hAnsi="宋体" w:cs="宋体"/>
                <w:color w:val="000000"/>
                <w:kern w:val="0"/>
                <w:sz w:val="22"/>
                <w:vertAlign w:val="superscript"/>
              </w:rPr>
              <w:t>2</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1.3</w:t>
            </w:r>
          </w:p>
        </w:tc>
      </w:tr>
      <w:tr>
        <w:tblPrEx>
          <w:tblLayout w:type="fixed"/>
          <w:tblCellMar>
            <w:top w:w="0" w:type="dxa"/>
            <w:left w:w="108" w:type="dxa"/>
            <w:bottom w:w="0" w:type="dxa"/>
            <w:right w:w="108" w:type="dxa"/>
          </w:tblCellMar>
        </w:tblPrEx>
        <w:trPr>
          <w:trHeight w:val="600" w:hRule="atLeast"/>
        </w:trPr>
        <w:tc>
          <w:tcPr>
            <w:tcW w:w="56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124</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欧石竹</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15-20</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w:t>
            </w:r>
            <w:r>
              <w:rPr>
                <w:rFonts w:hint="eastAsia" w:ascii="宋体" w:hAnsi="宋体" w:cs="宋体"/>
                <w:color w:val="000000"/>
                <w:kern w:val="0"/>
                <w:sz w:val="22"/>
              </w:rPr>
              <w:t>5-20</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m</w:t>
            </w:r>
            <w:r>
              <w:rPr>
                <w:rFonts w:hint="eastAsia" w:ascii="宋体" w:hAnsi="宋体" w:cs="宋体"/>
                <w:color w:val="000000"/>
                <w:kern w:val="0"/>
                <w:sz w:val="22"/>
                <w:vertAlign w:val="superscript"/>
              </w:rPr>
              <w:t>2</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7</w:t>
            </w:r>
          </w:p>
        </w:tc>
      </w:tr>
      <w:tr>
        <w:tblPrEx>
          <w:tblLayout w:type="fixed"/>
          <w:tblCellMar>
            <w:top w:w="0" w:type="dxa"/>
            <w:left w:w="108" w:type="dxa"/>
            <w:bottom w:w="0" w:type="dxa"/>
            <w:right w:w="108" w:type="dxa"/>
          </w:tblCellMar>
        </w:tblPrEx>
        <w:trPr>
          <w:trHeight w:val="600" w:hRule="atLeast"/>
        </w:trPr>
        <w:tc>
          <w:tcPr>
            <w:tcW w:w="56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125</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矾根</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15-20</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w:t>
            </w:r>
            <w:r>
              <w:rPr>
                <w:rFonts w:hint="eastAsia" w:ascii="宋体" w:hAnsi="宋体" w:cs="宋体"/>
                <w:color w:val="000000"/>
                <w:kern w:val="0"/>
                <w:sz w:val="22"/>
              </w:rPr>
              <w:t>5-20</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m</w:t>
            </w:r>
            <w:r>
              <w:rPr>
                <w:rFonts w:hint="eastAsia" w:ascii="宋体" w:hAnsi="宋体" w:cs="宋体"/>
                <w:color w:val="000000"/>
                <w:kern w:val="0"/>
                <w:sz w:val="22"/>
                <w:vertAlign w:val="superscript"/>
              </w:rPr>
              <w:t>2</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2.2</w:t>
            </w:r>
          </w:p>
        </w:tc>
      </w:tr>
      <w:tr>
        <w:tblPrEx>
          <w:tblLayout w:type="fixed"/>
          <w:tblCellMar>
            <w:top w:w="0" w:type="dxa"/>
            <w:left w:w="108" w:type="dxa"/>
            <w:bottom w:w="0" w:type="dxa"/>
            <w:right w:w="108" w:type="dxa"/>
          </w:tblCellMar>
        </w:tblPrEx>
        <w:trPr>
          <w:trHeight w:val="600" w:hRule="atLeast"/>
        </w:trPr>
        <w:tc>
          <w:tcPr>
            <w:tcW w:w="56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126</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欧月</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30</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w:t>
            </w:r>
            <w:r>
              <w:rPr>
                <w:rFonts w:hint="eastAsia" w:ascii="宋体" w:hAnsi="宋体" w:cs="宋体"/>
                <w:color w:val="000000"/>
                <w:kern w:val="0"/>
                <w:sz w:val="22"/>
              </w:rPr>
              <w:t>0-40</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m</w:t>
            </w:r>
            <w:r>
              <w:rPr>
                <w:rFonts w:hint="eastAsia" w:ascii="宋体" w:hAnsi="宋体" w:cs="宋体"/>
                <w:color w:val="000000"/>
                <w:kern w:val="0"/>
                <w:sz w:val="22"/>
                <w:vertAlign w:val="superscript"/>
              </w:rPr>
              <w:t>2</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2.7</w:t>
            </w:r>
          </w:p>
        </w:tc>
      </w:tr>
      <w:tr>
        <w:tblPrEx>
          <w:tblLayout w:type="fixed"/>
          <w:tblCellMar>
            <w:top w:w="0" w:type="dxa"/>
            <w:left w:w="108" w:type="dxa"/>
            <w:bottom w:w="0" w:type="dxa"/>
            <w:right w:w="108" w:type="dxa"/>
          </w:tblCellMar>
        </w:tblPrEx>
        <w:trPr>
          <w:trHeight w:val="600" w:hRule="atLeast"/>
        </w:trPr>
        <w:tc>
          <w:tcPr>
            <w:tcW w:w="56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127</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大花海棠</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r>
              <w:rPr>
                <w:rFonts w:hint="eastAsia" w:ascii="宋体" w:hAnsi="宋体" w:cs="宋体"/>
                <w:color w:val="000000"/>
                <w:kern w:val="0"/>
                <w:sz w:val="22"/>
              </w:rPr>
              <w:t>0-25</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r>
              <w:rPr>
                <w:rFonts w:hint="eastAsia" w:ascii="宋体" w:hAnsi="宋体" w:cs="宋体"/>
                <w:color w:val="000000"/>
                <w:kern w:val="0"/>
                <w:sz w:val="22"/>
              </w:rPr>
              <w:t>0-25</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m</w:t>
            </w:r>
            <w:r>
              <w:rPr>
                <w:rFonts w:hint="eastAsia" w:ascii="宋体" w:hAnsi="宋体" w:cs="宋体"/>
                <w:color w:val="000000"/>
                <w:kern w:val="0"/>
                <w:sz w:val="22"/>
                <w:vertAlign w:val="superscript"/>
              </w:rPr>
              <w:t>2</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3.2</w:t>
            </w:r>
          </w:p>
        </w:tc>
      </w:tr>
      <w:tr>
        <w:tblPrEx>
          <w:tblLayout w:type="fixed"/>
          <w:tblCellMar>
            <w:top w:w="0" w:type="dxa"/>
            <w:left w:w="108" w:type="dxa"/>
            <w:bottom w:w="0" w:type="dxa"/>
            <w:right w:w="108" w:type="dxa"/>
          </w:tblCellMar>
        </w:tblPrEx>
        <w:trPr>
          <w:trHeight w:val="600" w:hRule="atLeast"/>
        </w:trPr>
        <w:tc>
          <w:tcPr>
            <w:tcW w:w="56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128</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小丽花</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r>
              <w:rPr>
                <w:rFonts w:hint="eastAsia" w:ascii="宋体" w:hAnsi="宋体" w:cs="宋体"/>
                <w:color w:val="000000"/>
                <w:kern w:val="0"/>
                <w:sz w:val="22"/>
              </w:rPr>
              <w:t>0-25</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r>
              <w:rPr>
                <w:rFonts w:hint="eastAsia" w:ascii="宋体" w:hAnsi="宋体" w:cs="宋体"/>
                <w:color w:val="000000"/>
                <w:kern w:val="0"/>
                <w:sz w:val="22"/>
              </w:rPr>
              <w:t>5-30</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m</w:t>
            </w:r>
            <w:r>
              <w:rPr>
                <w:rFonts w:hint="eastAsia" w:ascii="宋体" w:hAnsi="宋体" w:cs="宋体"/>
                <w:color w:val="000000"/>
                <w:kern w:val="0"/>
                <w:sz w:val="22"/>
                <w:vertAlign w:val="superscript"/>
              </w:rPr>
              <w:t>2</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2.3</w:t>
            </w:r>
          </w:p>
        </w:tc>
      </w:tr>
      <w:tr>
        <w:tblPrEx>
          <w:tblLayout w:type="fixed"/>
          <w:tblCellMar>
            <w:top w:w="0" w:type="dxa"/>
            <w:left w:w="108" w:type="dxa"/>
            <w:bottom w:w="0" w:type="dxa"/>
            <w:right w:w="108" w:type="dxa"/>
          </w:tblCellMar>
        </w:tblPrEx>
        <w:trPr>
          <w:trHeight w:val="600" w:hRule="atLeast"/>
        </w:trPr>
        <w:tc>
          <w:tcPr>
            <w:tcW w:w="56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129</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天竺葵</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r>
              <w:rPr>
                <w:rFonts w:hint="eastAsia" w:ascii="宋体" w:hAnsi="宋体" w:cs="宋体"/>
                <w:color w:val="000000"/>
                <w:kern w:val="0"/>
                <w:sz w:val="22"/>
              </w:rPr>
              <w:t>0-25</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r>
              <w:rPr>
                <w:rFonts w:hint="eastAsia" w:ascii="宋体" w:hAnsi="宋体" w:cs="宋体"/>
                <w:color w:val="000000"/>
                <w:kern w:val="0"/>
                <w:sz w:val="22"/>
              </w:rPr>
              <w:t>0-25</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m</w:t>
            </w:r>
            <w:r>
              <w:rPr>
                <w:rFonts w:hint="eastAsia" w:ascii="宋体" w:hAnsi="宋体" w:cs="宋体"/>
                <w:color w:val="000000"/>
                <w:kern w:val="0"/>
                <w:sz w:val="22"/>
                <w:vertAlign w:val="superscript"/>
              </w:rPr>
              <w:t>2</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2.3</w:t>
            </w:r>
          </w:p>
        </w:tc>
      </w:tr>
      <w:tr>
        <w:tblPrEx>
          <w:tblLayout w:type="fixed"/>
          <w:tblCellMar>
            <w:top w:w="0" w:type="dxa"/>
            <w:left w:w="108" w:type="dxa"/>
            <w:bottom w:w="0" w:type="dxa"/>
            <w:right w:w="108" w:type="dxa"/>
          </w:tblCellMar>
        </w:tblPrEx>
        <w:trPr>
          <w:trHeight w:val="600" w:hRule="atLeast"/>
        </w:trPr>
        <w:tc>
          <w:tcPr>
            <w:tcW w:w="56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130</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亮金女贞</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80</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80-100</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株</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8</w:t>
            </w:r>
          </w:p>
        </w:tc>
      </w:tr>
      <w:tr>
        <w:tblPrEx>
          <w:tblLayout w:type="fixed"/>
          <w:tblCellMar>
            <w:top w:w="0" w:type="dxa"/>
            <w:left w:w="108" w:type="dxa"/>
            <w:bottom w:w="0" w:type="dxa"/>
            <w:right w:w="108" w:type="dxa"/>
          </w:tblCellMar>
        </w:tblPrEx>
        <w:trPr>
          <w:trHeight w:val="600" w:hRule="atLeast"/>
        </w:trPr>
        <w:tc>
          <w:tcPr>
            <w:tcW w:w="56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131</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花叶锦带</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4</w:t>
            </w:r>
            <w:r>
              <w:rPr>
                <w:rFonts w:hint="eastAsia" w:ascii="宋体" w:hAnsi="宋体" w:cs="宋体"/>
                <w:color w:val="000000"/>
                <w:kern w:val="0"/>
                <w:sz w:val="22"/>
              </w:rPr>
              <w:t>0-50</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60-70</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株</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7</w:t>
            </w:r>
          </w:p>
        </w:tc>
      </w:tr>
      <w:tr>
        <w:tblPrEx>
          <w:tblLayout w:type="fixed"/>
          <w:tblCellMar>
            <w:top w:w="0" w:type="dxa"/>
            <w:left w:w="108" w:type="dxa"/>
            <w:bottom w:w="0" w:type="dxa"/>
            <w:right w:w="108" w:type="dxa"/>
          </w:tblCellMar>
        </w:tblPrEx>
        <w:trPr>
          <w:trHeight w:val="600" w:hRule="atLeast"/>
        </w:trPr>
        <w:tc>
          <w:tcPr>
            <w:tcW w:w="56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132</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水果兰</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7</w:t>
            </w:r>
            <w:r>
              <w:rPr>
                <w:rFonts w:hint="eastAsia" w:ascii="宋体" w:hAnsi="宋体" w:cs="宋体"/>
                <w:color w:val="000000"/>
                <w:kern w:val="0"/>
                <w:sz w:val="22"/>
              </w:rPr>
              <w:t>0-80</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70-80</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株</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10</w:t>
            </w:r>
          </w:p>
        </w:tc>
      </w:tr>
      <w:tr>
        <w:tblPrEx>
          <w:tblLayout w:type="fixed"/>
          <w:tblCellMar>
            <w:top w:w="0" w:type="dxa"/>
            <w:left w:w="108" w:type="dxa"/>
            <w:bottom w:w="0" w:type="dxa"/>
            <w:right w:w="108" w:type="dxa"/>
          </w:tblCellMar>
        </w:tblPrEx>
        <w:trPr>
          <w:trHeight w:val="600" w:hRule="atLeast"/>
        </w:trPr>
        <w:tc>
          <w:tcPr>
            <w:tcW w:w="56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133</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大叶红千层</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70-80</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100-120</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株</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8</w:t>
            </w:r>
          </w:p>
        </w:tc>
      </w:tr>
      <w:tr>
        <w:tblPrEx>
          <w:tblLayout w:type="fixed"/>
          <w:tblCellMar>
            <w:top w:w="0" w:type="dxa"/>
            <w:left w:w="108" w:type="dxa"/>
            <w:bottom w:w="0" w:type="dxa"/>
            <w:right w:w="108" w:type="dxa"/>
          </w:tblCellMar>
        </w:tblPrEx>
        <w:trPr>
          <w:trHeight w:val="600" w:hRule="atLeast"/>
        </w:trPr>
        <w:tc>
          <w:tcPr>
            <w:tcW w:w="56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134</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火焰卫矛</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70-80</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80-100</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株</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6</w:t>
            </w:r>
          </w:p>
        </w:tc>
      </w:tr>
      <w:tr>
        <w:tblPrEx>
          <w:tblLayout w:type="fixed"/>
          <w:tblCellMar>
            <w:top w:w="0" w:type="dxa"/>
            <w:left w:w="108" w:type="dxa"/>
            <w:bottom w:w="0" w:type="dxa"/>
            <w:right w:w="108" w:type="dxa"/>
          </w:tblCellMar>
        </w:tblPrEx>
        <w:trPr>
          <w:trHeight w:val="600" w:hRule="atLeast"/>
        </w:trPr>
        <w:tc>
          <w:tcPr>
            <w:tcW w:w="56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135</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蓝冰柏</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5</w:t>
            </w:r>
            <w:r>
              <w:rPr>
                <w:rFonts w:hint="eastAsia" w:ascii="宋体" w:hAnsi="宋体" w:cs="宋体"/>
                <w:color w:val="000000"/>
                <w:kern w:val="0"/>
                <w:sz w:val="22"/>
              </w:rPr>
              <w:t>0-60</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r>
              <w:rPr>
                <w:rFonts w:hint="eastAsia" w:ascii="宋体" w:hAnsi="宋体" w:cs="宋体"/>
                <w:color w:val="000000"/>
                <w:kern w:val="0"/>
                <w:sz w:val="22"/>
              </w:rPr>
              <w:t>00-220</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株</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w:t>
            </w:r>
          </w:p>
        </w:tc>
      </w:tr>
      <w:tr>
        <w:tblPrEx>
          <w:tblLayout w:type="fixed"/>
          <w:tblCellMar>
            <w:top w:w="0" w:type="dxa"/>
            <w:left w:w="108" w:type="dxa"/>
            <w:bottom w:w="0" w:type="dxa"/>
            <w:right w:w="108" w:type="dxa"/>
          </w:tblCellMar>
        </w:tblPrEx>
        <w:trPr>
          <w:trHeight w:val="600" w:hRule="atLeast"/>
        </w:trPr>
        <w:tc>
          <w:tcPr>
            <w:tcW w:w="56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136</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辉煌女贞</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100</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w:t>
            </w:r>
            <w:r>
              <w:rPr>
                <w:rFonts w:hint="eastAsia" w:ascii="宋体" w:hAnsi="宋体" w:cs="宋体"/>
                <w:color w:val="000000"/>
                <w:kern w:val="0"/>
                <w:sz w:val="22"/>
              </w:rPr>
              <w:t>60-180</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株</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w:t>
            </w:r>
          </w:p>
        </w:tc>
      </w:tr>
      <w:tr>
        <w:tblPrEx>
          <w:tblLayout w:type="fixed"/>
          <w:tblCellMar>
            <w:top w:w="0" w:type="dxa"/>
            <w:left w:w="108" w:type="dxa"/>
            <w:bottom w:w="0" w:type="dxa"/>
            <w:right w:w="108" w:type="dxa"/>
          </w:tblCellMar>
        </w:tblPrEx>
        <w:trPr>
          <w:trHeight w:val="600" w:hRule="atLeast"/>
        </w:trPr>
        <w:tc>
          <w:tcPr>
            <w:tcW w:w="56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137</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墨西哥鼠尾草</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w:t>
            </w:r>
            <w:r>
              <w:rPr>
                <w:rFonts w:hint="eastAsia" w:ascii="宋体" w:hAnsi="宋体" w:cs="宋体"/>
                <w:color w:val="000000"/>
                <w:kern w:val="0"/>
                <w:sz w:val="22"/>
              </w:rPr>
              <w:t>0-40</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40-50</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m</w:t>
            </w:r>
            <w:r>
              <w:rPr>
                <w:rFonts w:hint="eastAsia" w:ascii="宋体" w:hAnsi="宋体" w:cs="宋体"/>
                <w:color w:val="000000"/>
                <w:kern w:val="0"/>
                <w:sz w:val="22"/>
                <w:vertAlign w:val="superscript"/>
              </w:rPr>
              <w:t>2</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8.6</w:t>
            </w:r>
          </w:p>
        </w:tc>
      </w:tr>
      <w:tr>
        <w:tblPrEx>
          <w:tblLayout w:type="fixed"/>
          <w:tblCellMar>
            <w:top w:w="0" w:type="dxa"/>
            <w:left w:w="108" w:type="dxa"/>
            <w:bottom w:w="0" w:type="dxa"/>
            <w:right w:w="108" w:type="dxa"/>
          </w:tblCellMar>
        </w:tblPrEx>
        <w:trPr>
          <w:trHeight w:val="600" w:hRule="atLeast"/>
        </w:trPr>
        <w:tc>
          <w:tcPr>
            <w:tcW w:w="56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138</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常绿鸢尾</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20-30</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50-60</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m</w:t>
            </w:r>
            <w:r>
              <w:rPr>
                <w:rFonts w:hint="eastAsia" w:ascii="宋体" w:hAnsi="宋体" w:cs="宋体"/>
                <w:color w:val="000000"/>
                <w:kern w:val="0"/>
                <w:sz w:val="22"/>
                <w:vertAlign w:val="superscript"/>
              </w:rPr>
              <w:t>2</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3.1</w:t>
            </w:r>
          </w:p>
        </w:tc>
      </w:tr>
      <w:tr>
        <w:tblPrEx>
          <w:tblLayout w:type="fixed"/>
          <w:tblCellMar>
            <w:top w:w="0" w:type="dxa"/>
            <w:left w:w="108" w:type="dxa"/>
            <w:bottom w:w="0" w:type="dxa"/>
            <w:right w:w="108" w:type="dxa"/>
          </w:tblCellMar>
        </w:tblPrEx>
        <w:trPr>
          <w:trHeight w:val="600" w:hRule="atLeast"/>
        </w:trPr>
        <w:tc>
          <w:tcPr>
            <w:tcW w:w="56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139</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大花萱草</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20-25</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30-40</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m</w:t>
            </w:r>
            <w:r>
              <w:rPr>
                <w:rFonts w:hint="eastAsia" w:ascii="宋体" w:hAnsi="宋体" w:cs="宋体"/>
                <w:color w:val="000000"/>
                <w:kern w:val="0"/>
                <w:sz w:val="22"/>
                <w:vertAlign w:val="superscript"/>
              </w:rPr>
              <w:t>2</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0.9</w:t>
            </w:r>
          </w:p>
        </w:tc>
      </w:tr>
      <w:tr>
        <w:tblPrEx>
          <w:tblLayout w:type="fixed"/>
          <w:tblCellMar>
            <w:top w:w="0" w:type="dxa"/>
            <w:left w:w="108" w:type="dxa"/>
            <w:bottom w:w="0" w:type="dxa"/>
            <w:right w:w="108" w:type="dxa"/>
          </w:tblCellMar>
        </w:tblPrEx>
        <w:trPr>
          <w:trHeight w:val="600" w:hRule="atLeast"/>
        </w:trPr>
        <w:tc>
          <w:tcPr>
            <w:tcW w:w="56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140</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四季草花</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m</w:t>
            </w:r>
            <w:r>
              <w:rPr>
                <w:rFonts w:hint="eastAsia" w:ascii="宋体" w:hAnsi="宋体" w:cs="宋体"/>
                <w:color w:val="000000"/>
                <w:kern w:val="0"/>
                <w:sz w:val="20"/>
                <w:szCs w:val="20"/>
                <w:vertAlign w:val="superscript"/>
              </w:rPr>
              <w:t>2</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804</w:t>
            </w:r>
          </w:p>
        </w:tc>
      </w:tr>
      <w:tr>
        <w:tblPrEx>
          <w:tblLayout w:type="fixed"/>
          <w:tblCellMar>
            <w:top w:w="0" w:type="dxa"/>
            <w:left w:w="108" w:type="dxa"/>
            <w:bottom w:w="0" w:type="dxa"/>
            <w:right w:w="108" w:type="dxa"/>
          </w:tblCellMar>
        </w:tblPrEx>
        <w:trPr>
          <w:trHeight w:val="600" w:hRule="atLeast"/>
        </w:trPr>
        <w:tc>
          <w:tcPr>
            <w:tcW w:w="56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141</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金叶络石</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15-20</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15-20</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m</w:t>
            </w:r>
            <w:r>
              <w:rPr>
                <w:rFonts w:hint="eastAsia" w:ascii="宋体" w:hAnsi="宋体" w:cs="宋体"/>
                <w:color w:val="000000"/>
                <w:kern w:val="0"/>
                <w:sz w:val="20"/>
                <w:szCs w:val="20"/>
                <w:vertAlign w:val="superscript"/>
              </w:rPr>
              <w:t>2</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0"/>
                <w:szCs w:val="20"/>
              </w:rPr>
            </w:pPr>
            <w:r>
              <w:rPr>
                <w:rFonts w:hint="eastAsia" w:ascii="宋体" w:hAnsi="宋体" w:cs="宋体"/>
                <w:kern w:val="0"/>
                <w:sz w:val="20"/>
                <w:szCs w:val="20"/>
              </w:rPr>
              <w:t>895</w:t>
            </w:r>
          </w:p>
        </w:tc>
      </w:tr>
      <w:tr>
        <w:tblPrEx>
          <w:tblLayout w:type="fixed"/>
          <w:tblCellMar>
            <w:top w:w="0" w:type="dxa"/>
            <w:left w:w="108" w:type="dxa"/>
            <w:bottom w:w="0" w:type="dxa"/>
            <w:right w:w="108" w:type="dxa"/>
          </w:tblCellMar>
        </w:tblPrEx>
        <w:trPr>
          <w:trHeight w:val="600" w:hRule="atLeast"/>
        </w:trPr>
        <w:tc>
          <w:tcPr>
            <w:tcW w:w="56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142</w:t>
            </w:r>
          </w:p>
        </w:tc>
        <w:tc>
          <w:tcPr>
            <w:tcW w:w="11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洒金珊瑚绿篱</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8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m</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24</w:t>
            </w:r>
          </w:p>
        </w:tc>
      </w:tr>
      <w:tr>
        <w:tblPrEx>
          <w:tblLayout w:type="fixed"/>
          <w:tblCellMar>
            <w:top w:w="0" w:type="dxa"/>
            <w:left w:w="108" w:type="dxa"/>
            <w:bottom w:w="0" w:type="dxa"/>
            <w:right w:w="108" w:type="dxa"/>
          </w:tblCellMar>
        </w:tblPrEx>
        <w:trPr>
          <w:trHeight w:val="600" w:hRule="atLeast"/>
        </w:trPr>
        <w:tc>
          <w:tcPr>
            <w:tcW w:w="56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143</w:t>
            </w:r>
          </w:p>
        </w:tc>
        <w:tc>
          <w:tcPr>
            <w:tcW w:w="11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麦冬草</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8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5331</w:t>
            </w:r>
          </w:p>
        </w:tc>
      </w:tr>
      <w:tr>
        <w:tblPrEx>
          <w:tblLayout w:type="fixed"/>
          <w:tblCellMar>
            <w:top w:w="0" w:type="dxa"/>
            <w:left w:w="108" w:type="dxa"/>
            <w:bottom w:w="0" w:type="dxa"/>
            <w:right w:w="108" w:type="dxa"/>
          </w:tblCellMar>
        </w:tblPrEx>
        <w:trPr>
          <w:trHeight w:val="600" w:hRule="atLeast"/>
        </w:trPr>
        <w:tc>
          <w:tcPr>
            <w:tcW w:w="56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144</w:t>
            </w:r>
          </w:p>
        </w:tc>
        <w:tc>
          <w:tcPr>
            <w:tcW w:w="11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草坪</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8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0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112934</w:t>
            </w:r>
          </w:p>
        </w:tc>
      </w:tr>
      <w:tr>
        <w:tblPrEx>
          <w:tblLayout w:type="fixed"/>
          <w:tblCellMar>
            <w:top w:w="0" w:type="dxa"/>
            <w:left w:w="108" w:type="dxa"/>
            <w:bottom w:w="0" w:type="dxa"/>
            <w:right w:w="108" w:type="dxa"/>
          </w:tblCellMar>
        </w:tblPrEx>
        <w:trPr>
          <w:trHeight w:val="720" w:hRule="atLeast"/>
        </w:trPr>
        <w:tc>
          <w:tcPr>
            <w:tcW w:w="8020" w:type="dxa"/>
            <w:gridSpan w:val="8"/>
            <w:tcBorders>
              <w:top w:val="nil"/>
              <w:left w:val="nil"/>
              <w:bottom w:val="nil"/>
              <w:right w:val="nil"/>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b/>
                <w:bCs/>
                <w:color w:val="000000"/>
                <w:kern w:val="0"/>
                <w:sz w:val="20"/>
                <w:szCs w:val="20"/>
              </w:rPr>
              <w:t>备注：</w:t>
            </w:r>
            <w:r>
              <w:rPr>
                <w:rFonts w:hint="eastAsia" w:ascii="宋体" w:hAnsi="宋体" w:cs="宋体"/>
                <w:color w:val="000000"/>
                <w:kern w:val="0"/>
                <w:sz w:val="20"/>
                <w:szCs w:val="20"/>
              </w:rPr>
              <w:t>上述数据仅供投标单位参考，实际以中标后开展交接工作时，移交方出具的纸质盖章版数据为准。</w:t>
            </w:r>
          </w:p>
        </w:tc>
      </w:tr>
    </w:tbl>
    <w:p/>
    <w:p>
      <w:pPr>
        <w:pStyle w:val="2"/>
        <w:ind w:left="63" w:right="63"/>
      </w:pPr>
    </w:p>
    <w:p/>
    <w:p>
      <w:pPr>
        <w:pStyle w:val="2"/>
        <w:ind w:left="63" w:right="63"/>
      </w:pPr>
    </w:p>
    <w:p/>
    <w:p>
      <w:pPr>
        <w:pStyle w:val="2"/>
        <w:ind w:left="63" w:right="63"/>
      </w:pPr>
    </w:p>
    <w:p/>
    <w:p>
      <w:pPr>
        <w:pStyle w:val="2"/>
        <w:ind w:left="63" w:right="63"/>
      </w:pPr>
    </w:p>
    <w:p/>
    <w:p>
      <w:pPr>
        <w:pStyle w:val="2"/>
        <w:ind w:left="63" w:right="63"/>
      </w:pPr>
    </w:p>
    <w:p/>
    <w:p>
      <w:pPr>
        <w:pStyle w:val="2"/>
        <w:ind w:left="63" w:right="63"/>
      </w:pPr>
    </w:p>
    <w:p/>
    <w:p>
      <w:pPr>
        <w:pStyle w:val="2"/>
        <w:ind w:left="63" w:right="63"/>
      </w:pPr>
    </w:p>
    <w:p/>
    <w:p>
      <w:pPr>
        <w:pStyle w:val="2"/>
        <w:ind w:left="63" w:right="63"/>
      </w:pPr>
    </w:p>
    <w:p/>
    <w:p>
      <w:pPr>
        <w:pStyle w:val="2"/>
        <w:ind w:left="63" w:right="63"/>
      </w:pPr>
    </w:p>
    <w:p/>
    <w:p>
      <w:pPr>
        <w:pStyle w:val="2"/>
        <w:ind w:left="63" w:right="63"/>
      </w:pPr>
    </w:p>
    <w:p/>
    <w:tbl>
      <w:tblPr>
        <w:tblStyle w:val="5"/>
        <w:tblW w:w="8000" w:type="dxa"/>
        <w:tblInd w:w="95" w:type="dxa"/>
        <w:tblLayout w:type="fixed"/>
        <w:tblCellMar>
          <w:top w:w="0" w:type="dxa"/>
          <w:left w:w="108" w:type="dxa"/>
          <w:bottom w:w="0" w:type="dxa"/>
          <w:right w:w="108" w:type="dxa"/>
        </w:tblCellMar>
      </w:tblPr>
      <w:tblGrid>
        <w:gridCol w:w="700"/>
        <w:gridCol w:w="1980"/>
        <w:gridCol w:w="3040"/>
        <w:gridCol w:w="800"/>
        <w:gridCol w:w="1480"/>
      </w:tblGrid>
      <w:tr>
        <w:tblPrEx>
          <w:tblLayout w:type="fixed"/>
          <w:tblCellMar>
            <w:top w:w="0" w:type="dxa"/>
            <w:left w:w="108" w:type="dxa"/>
            <w:bottom w:w="0" w:type="dxa"/>
            <w:right w:w="108" w:type="dxa"/>
          </w:tblCellMar>
        </w:tblPrEx>
        <w:trPr>
          <w:trHeight w:val="600" w:hRule="atLeast"/>
        </w:trPr>
        <w:tc>
          <w:tcPr>
            <w:tcW w:w="8000" w:type="dxa"/>
            <w:gridSpan w:val="5"/>
            <w:tcBorders>
              <w:top w:val="nil"/>
              <w:left w:val="nil"/>
              <w:bottom w:val="nil"/>
              <w:right w:val="nil"/>
            </w:tcBorders>
            <w:shd w:val="clear" w:color="auto" w:fill="auto"/>
            <w:vAlign w:val="center"/>
          </w:tcPr>
          <w:p>
            <w:pPr>
              <w:widowControl/>
              <w:jc w:val="left"/>
              <w:rPr>
                <w:rFonts w:ascii="宋体" w:hAnsi="宋体" w:cs="宋体"/>
                <w:b/>
                <w:bCs/>
                <w:kern w:val="0"/>
                <w:sz w:val="24"/>
                <w:szCs w:val="24"/>
              </w:rPr>
            </w:pPr>
            <w:r>
              <w:rPr>
                <w:rFonts w:hint="eastAsia" w:ascii="宋体" w:hAnsi="宋体" w:cs="宋体"/>
                <w:b/>
                <w:bCs/>
                <w:kern w:val="0"/>
                <w:sz w:val="24"/>
                <w:szCs w:val="24"/>
              </w:rPr>
              <w:t xml:space="preserve">                  绿地内设施明细参考清单</w:t>
            </w:r>
          </w:p>
        </w:tc>
      </w:tr>
      <w:tr>
        <w:tblPrEx>
          <w:tblLayout w:type="fixed"/>
          <w:tblCellMar>
            <w:top w:w="0" w:type="dxa"/>
            <w:left w:w="108" w:type="dxa"/>
            <w:bottom w:w="0" w:type="dxa"/>
            <w:right w:w="108" w:type="dxa"/>
          </w:tblCellMar>
        </w:tblPrEx>
        <w:trPr>
          <w:trHeight w:val="600" w:hRule="atLeast"/>
        </w:trPr>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序</w:t>
            </w:r>
          </w:p>
        </w:tc>
        <w:tc>
          <w:tcPr>
            <w:tcW w:w="19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设施名称</w:t>
            </w:r>
          </w:p>
        </w:tc>
        <w:tc>
          <w:tcPr>
            <w:tcW w:w="30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材质及规格</w:t>
            </w:r>
          </w:p>
        </w:tc>
        <w:tc>
          <w:tcPr>
            <w:tcW w:w="8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单位</w:t>
            </w:r>
          </w:p>
        </w:tc>
        <w:tc>
          <w:tcPr>
            <w:tcW w:w="14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数量</w:t>
            </w:r>
          </w:p>
        </w:tc>
      </w:tr>
      <w:tr>
        <w:tblPrEx>
          <w:tblLayout w:type="fixed"/>
          <w:tblCellMar>
            <w:top w:w="0" w:type="dxa"/>
            <w:left w:w="108" w:type="dxa"/>
            <w:bottom w:w="0" w:type="dxa"/>
            <w:right w:w="108" w:type="dxa"/>
          </w:tblCellMar>
        </w:tblPrEx>
        <w:trPr>
          <w:trHeight w:val="600" w:hRule="atLeast"/>
        </w:trPr>
        <w:tc>
          <w:tcPr>
            <w:tcW w:w="700"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19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木桥</w:t>
            </w: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00"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座</w:t>
            </w:r>
          </w:p>
        </w:tc>
        <w:tc>
          <w:tcPr>
            <w:tcW w:w="14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w:t>
            </w:r>
          </w:p>
        </w:tc>
      </w:tr>
      <w:tr>
        <w:tblPrEx>
          <w:tblLayout w:type="fixed"/>
          <w:tblCellMar>
            <w:top w:w="0" w:type="dxa"/>
            <w:left w:w="108" w:type="dxa"/>
            <w:bottom w:w="0" w:type="dxa"/>
            <w:right w:w="108" w:type="dxa"/>
          </w:tblCellMar>
        </w:tblPrEx>
        <w:trPr>
          <w:trHeight w:val="600" w:hRule="atLeast"/>
        </w:trPr>
        <w:tc>
          <w:tcPr>
            <w:tcW w:w="700"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19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草石分隔带</w:t>
            </w:r>
          </w:p>
        </w:tc>
        <w:tc>
          <w:tcPr>
            <w:tcW w:w="304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m</w:t>
            </w:r>
          </w:p>
        </w:tc>
        <w:tc>
          <w:tcPr>
            <w:tcW w:w="14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220</w:t>
            </w:r>
          </w:p>
        </w:tc>
      </w:tr>
      <w:tr>
        <w:tblPrEx>
          <w:tblLayout w:type="fixed"/>
          <w:tblCellMar>
            <w:top w:w="0" w:type="dxa"/>
            <w:left w:w="108" w:type="dxa"/>
            <w:bottom w:w="0" w:type="dxa"/>
            <w:right w:w="108" w:type="dxa"/>
          </w:tblCellMar>
        </w:tblPrEx>
        <w:trPr>
          <w:trHeight w:val="600" w:hRule="atLeast"/>
        </w:trPr>
        <w:tc>
          <w:tcPr>
            <w:tcW w:w="700"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19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陶罐</w:t>
            </w:r>
          </w:p>
        </w:tc>
        <w:tc>
          <w:tcPr>
            <w:tcW w:w="30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60</w:t>
            </w: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个</w:t>
            </w:r>
          </w:p>
        </w:tc>
        <w:tc>
          <w:tcPr>
            <w:tcW w:w="14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r>
      <w:tr>
        <w:tblPrEx>
          <w:tblLayout w:type="fixed"/>
          <w:tblCellMar>
            <w:top w:w="0" w:type="dxa"/>
            <w:left w:w="108" w:type="dxa"/>
            <w:bottom w:w="0" w:type="dxa"/>
            <w:right w:w="108" w:type="dxa"/>
          </w:tblCellMar>
        </w:tblPrEx>
        <w:trPr>
          <w:trHeight w:val="600" w:hRule="atLeast"/>
        </w:trPr>
        <w:tc>
          <w:tcPr>
            <w:tcW w:w="700"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w:t>
            </w:r>
          </w:p>
        </w:tc>
        <w:tc>
          <w:tcPr>
            <w:tcW w:w="19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陶罐</w:t>
            </w:r>
          </w:p>
        </w:tc>
        <w:tc>
          <w:tcPr>
            <w:tcW w:w="30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80</w:t>
            </w: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个</w:t>
            </w:r>
          </w:p>
        </w:tc>
        <w:tc>
          <w:tcPr>
            <w:tcW w:w="14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r>
      <w:tr>
        <w:tblPrEx>
          <w:tblLayout w:type="fixed"/>
          <w:tblCellMar>
            <w:top w:w="0" w:type="dxa"/>
            <w:left w:w="108" w:type="dxa"/>
            <w:bottom w:w="0" w:type="dxa"/>
            <w:right w:w="108" w:type="dxa"/>
          </w:tblCellMar>
        </w:tblPrEx>
        <w:trPr>
          <w:trHeight w:val="600" w:hRule="atLeast"/>
        </w:trPr>
        <w:tc>
          <w:tcPr>
            <w:tcW w:w="700"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w:t>
            </w:r>
          </w:p>
        </w:tc>
        <w:tc>
          <w:tcPr>
            <w:tcW w:w="19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陶罐</w:t>
            </w:r>
          </w:p>
        </w:tc>
        <w:tc>
          <w:tcPr>
            <w:tcW w:w="3040" w:type="dxa"/>
            <w:tcBorders>
              <w:top w:val="nil"/>
              <w:left w:val="nil"/>
              <w:bottom w:val="nil"/>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100</w:t>
            </w: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个</w:t>
            </w:r>
          </w:p>
        </w:tc>
        <w:tc>
          <w:tcPr>
            <w:tcW w:w="14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r>
      <w:tr>
        <w:tblPrEx>
          <w:tblLayout w:type="fixed"/>
          <w:tblCellMar>
            <w:top w:w="0" w:type="dxa"/>
            <w:left w:w="108" w:type="dxa"/>
            <w:bottom w:w="0" w:type="dxa"/>
            <w:right w:w="108" w:type="dxa"/>
          </w:tblCellMar>
        </w:tblPrEx>
        <w:trPr>
          <w:trHeight w:val="600" w:hRule="atLeast"/>
        </w:trPr>
        <w:tc>
          <w:tcPr>
            <w:tcW w:w="700"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w:t>
            </w:r>
          </w:p>
        </w:tc>
        <w:tc>
          <w:tcPr>
            <w:tcW w:w="19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东庭院芝麻白订步</w:t>
            </w:r>
          </w:p>
        </w:tc>
        <w:tc>
          <w:tcPr>
            <w:tcW w:w="30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600x80x1000</w:t>
            </w:r>
          </w:p>
        </w:tc>
        <w:tc>
          <w:tcPr>
            <w:tcW w:w="8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块</w:t>
            </w:r>
          </w:p>
        </w:tc>
        <w:tc>
          <w:tcPr>
            <w:tcW w:w="14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110</w:t>
            </w:r>
          </w:p>
        </w:tc>
      </w:tr>
      <w:tr>
        <w:tblPrEx>
          <w:tblLayout w:type="fixed"/>
          <w:tblCellMar>
            <w:top w:w="0" w:type="dxa"/>
            <w:left w:w="108" w:type="dxa"/>
            <w:bottom w:w="0" w:type="dxa"/>
            <w:right w:w="108" w:type="dxa"/>
          </w:tblCellMar>
        </w:tblPrEx>
        <w:trPr>
          <w:trHeight w:val="600" w:hRule="atLeast"/>
        </w:trPr>
        <w:tc>
          <w:tcPr>
            <w:tcW w:w="700"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7</w:t>
            </w:r>
          </w:p>
        </w:tc>
        <w:tc>
          <w:tcPr>
            <w:tcW w:w="19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芝麻灰路牙</w:t>
            </w:r>
          </w:p>
        </w:tc>
        <w:tc>
          <w:tcPr>
            <w:tcW w:w="30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50x600x150</w:t>
            </w:r>
          </w:p>
        </w:tc>
        <w:tc>
          <w:tcPr>
            <w:tcW w:w="8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块</w:t>
            </w:r>
          </w:p>
        </w:tc>
        <w:tc>
          <w:tcPr>
            <w:tcW w:w="14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41</w:t>
            </w:r>
          </w:p>
        </w:tc>
      </w:tr>
      <w:tr>
        <w:tblPrEx>
          <w:tblLayout w:type="fixed"/>
          <w:tblCellMar>
            <w:top w:w="0" w:type="dxa"/>
            <w:left w:w="108" w:type="dxa"/>
            <w:bottom w:w="0" w:type="dxa"/>
            <w:right w:w="108" w:type="dxa"/>
          </w:tblCellMar>
        </w:tblPrEx>
        <w:trPr>
          <w:trHeight w:val="600" w:hRule="atLeast"/>
        </w:trPr>
        <w:tc>
          <w:tcPr>
            <w:tcW w:w="700"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8</w:t>
            </w:r>
          </w:p>
        </w:tc>
        <w:tc>
          <w:tcPr>
            <w:tcW w:w="19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西庭院芝麻白订步</w:t>
            </w:r>
          </w:p>
        </w:tc>
        <w:tc>
          <w:tcPr>
            <w:tcW w:w="3040" w:type="dxa"/>
            <w:tcBorders>
              <w:top w:val="nil"/>
              <w:left w:val="nil"/>
              <w:bottom w:val="single" w:color="000000"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600x80x1000</w:t>
            </w:r>
          </w:p>
        </w:tc>
        <w:tc>
          <w:tcPr>
            <w:tcW w:w="8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块</w:t>
            </w:r>
          </w:p>
        </w:tc>
        <w:tc>
          <w:tcPr>
            <w:tcW w:w="14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56</w:t>
            </w:r>
          </w:p>
        </w:tc>
      </w:tr>
      <w:tr>
        <w:tblPrEx>
          <w:tblLayout w:type="fixed"/>
          <w:tblCellMar>
            <w:top w:w="0" w:type="dxa"/>
            <w:left w:w="108" w:type="dxa"/>
            <w:bottom w:w="0" w:type="dxa"/>
            <w:right w:w="108" w:type="dxa"/>
          </w:tblCellMar>
        </w:tblPrEx>
        <w:trPr>
          <w:trHeight w:val="600" w:hRule="atLeast"/>
        </w:trPr>
        <w:tc>
          <w:tcPr>
            <w:tcW w:w="700"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9</w:t>
            </w:r>
          </w:p>
        </w:tc>
        <w:tc>
          <w:tcPr>
            <w:tcW w:w="19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小广场坐凳</w:t>
            </w:r>
          </w:p>
        </w:tc>
        <w:tc>
          <w:tcPr>
            <w:tcW w:w="304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8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组</w:t>
            </w:r>
          </w:p>
        </w:tc>
        <w:tc>
          <w:tcPr>
            <w:tcW w:w="14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r>
      <w:tr>
        <w:tblPrEx>
          <w:tblLayout w:type="fixed"/>
          <w:tblCellMar>
            <w:top w:w="0" w:type="dxa"/>
            <w:left w:w="108" w:type="dxa"/>
            <w:bottom w:w="0" w:type="dxa"/>
            <w:right w:w="108" w:type="dxa"/>
          </w:tblCellMar>
        </w:tblPrEx>
        <w:trPr>
          <w:trHeight w:val="600" w:hRule="atLeast"/>
        </w:trPr>
        <w:tc>
          <w:tcPr>
            <w:tcW w:w="700"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19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水喷淋（雾）喷头</w:t>
            </w:r>
          </w:p>
        </w:tc>
        <w:tc>
          <w:tcPr>
            <w:tcW w:w="304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旋转进口喷头75配千秋架6分</w:t>
            </w:r>
          </w:p>
        </w:tc>
        <w:tc>
          <w:tcPr>
            <w:tcW w:w="8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套</w:t>
            </w:r>
          </w:p>
        </w:tc>
        <w:tc>
          <w:tcPr>
            <w:tcW w:w="14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234</w:t>
            </w:r>
          </w:p>
        </w:tc>
      </w:tr>
      <w:tr>
        <w:tblPrEx>
          <w:tblLayout w:type="fixed"/>
          <w:tblCellMar>
            <w:top w:w="0" w:type="dxa"/>
            <w:left w:w="108" w:type="dxa"/>
            <w:bottom w:w="0" w:type="dxa"/>
            <w:right w:w="108" w:type="dxa"/>
          </w:tblCellMar>
        </w:tblPrEx>
        <w:trPr>
          <w:trHeight w:val="600" w:hRule="atLeast"/>
        </w:trPr>
        <w:tc>
          <w:tcPr>
            <w:tcW w:w="700"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11</w:t>
            </w:r>
          </w:p>
        </w:tc>
        <w:tc>
          <w:tcPr>
            <w:tcW w:w="19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阀门箱</w:t>
            </w:r>
          </w:p>
        </w:tc>
        <w:tc>
          <w:tcPr>
            <w:tcW w:w="304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8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个</w:t>
            </w:r>
          </w:p>
        </w:tc>
        <w:tc>
          <w:tcPr>
            <w:tcW w:w="14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23</w:t>
            </w:r>
          </w:p>
        </w:tc>
      </w:tr>
      <w:tr>
        <w:tblPrEx>
          <w:tblLayout w:type="fixed"/>
          <w:tblCellMar>
            <w:top w:w="0" w:type="dxa"/>
            <w:left w:w="108" w:type="dxa"/>
            <w:bottom w:w="0" w:type="dxa"/>
            <w:right w:w="108" w:type="dxa"/>
          </w:tblCellMar>
        </w:tblPrEx>
        <w:trPr>
          <w:trHeight w:val="600" w:hRule="atLeast"/>
        </w:trPr>
        <w:tc>
          <w:tcPr>
            <w:tcW w:w="700"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12</w:t>
            </w:r>
          </w:p>
        </w:tc>
        <w:tc>
          <w:tcPr>
            <w:tcW w:w="19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球阀</w:t>
            </w:r>
          </w:p>
        </w:tc>
        <w:tc>
          <w:tcPr>
            <w:tcW w:w="304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8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个</w:t>
            </w:r>
          </w:p>
        </w:tc>
        <w:tc>
          <w:tcPr>
            <w:tcW w:w="14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23</w:t>
            </w:r>
          </w:p>
        </w:tc>
      </w:tr>
      <w:tr>
        <w:tblPrEx>
          <w:tblLayout w:type="fixed"/>
          <w:tblCellMar>
            <w:top w:w="0" w:type="dxa"/>
            <w:left w:w="108" w:type="dxa"/>
            <w:bottom w:w="0" w:type="dxa"/>
            <w:right w:w="108" w:type="dxa"/>
          </w:tblCellMar>
        </w:tblPrEx>
        <w:trPr>
          <w:trHeight w:val="600" w:hRule="atLeast"/>
        </w:trPr>
        <w:tc>
          <w:tcPr>
            <w:tcW w:w="700"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13</w:t>
            </w:r>
          </w:p>
        </w:tc>
        <w:tc>
          <w:tcPr>
            <w:tcW w:w="19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雨水检查井</w:t>
            </w:r>
          </w:p>
        </w:tc>
        <w:tc>
          <w:tcPr>
            <w:tcW w:w="304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座</w:t>
            </w:r>
          </w:p>
        </w:tc>
        <w:tc>
          <w:tcPr>
            <w:tcW w:w="14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21</w:t>
            </w:r>
          </w:p>
        </w:tc>
      </w:tr>
      <w:tr>
        <w:tblPrEx>
          <w:tblLayout w:type="fixed"/>
          <w:tblCellMar>
            <w:top w:w="0" w:type="dxa"/>
            <w:left w:w="108" w:type="dxa"/>
            <w:bottom w:w="0" w:type="dxa"/>
            <w:right w:w="108" w:type="dxa"/>
          </w:tblCellMar>
        </w:tblPrEx>
        <w:trPr>
          <w:trHeight w:val="855" w:hRule="atLeast"/>
        </w:trPr>
        <w:tc>
          <w:tcPr>
            <w:tcW w:w="8000" w:type="dxa"/>
            <w:gridSpan w:val="5"/>
            <w:tcBorders>
              <w:top w:val="single" w:color="auto" w:sz="4" w:space="0"/>
              <w:left w:val="nil"/>
              <w:bottom w:val="nil"/>
              <w:right w:val="nil"/>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备注：上述数据仅供投标单位参考，实际以中标后开展交接工作时，移交方出具的纸质盖章版数据为准。</w:t>
            </w:r>
          </w:p>
        </w:tc>
      </w:tr>
    </w:tbl>
    <w:p>
      <w:pPr>
        <w:pStyle w:val="2"/>
        <w:ind w:left="63" w:right="63"/>
      </w:pPr>
    </w:p>
    <w:sectPr>
      <w:pgSz w:w="11906" w:h="16838"/>
      <w:pgMar w:top="1418" w:right="1644" w:bottom="851" w:left="1797" w:header="885" w:footer="839" w:gutter="0"/>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_GB2312">
    <w:altName w:val="Times New Roman"/>
    <w:panose1 w:val="00000000000000000000"/>
    <w:charset w:val="00"/>
    <w:family w:val="auto"/>
    <w:pitch w:val="default"/>
    <w:sig w:usb0="00000000" w:usb1="00000000" w:usb2="00000000" w:usb3="00000000" w:csb0="00000001" w:csb1="00000000"/>
  </w:font>
  <w:font w:name="华文彩云">
    <w:altName w:val="微软雅黑"/>
    <w:panose1 w:val="02010800040101010101"/>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pict>
        <v:shape id="_x0000_s1026" o:spid="_x0000_s1026" o:spt="202" type="#_x0000_t202" style="position:absolute;left:0pt;margin-left:284.45pt;margin-top:807.4pt;height:8.65pt;width:11.05pt;mso-position-horizontal-relative:page;mso-position-vertical-relative:page;mso-wrap-style:none;z-index:-251657216;mso-width-relative:page;mso-height-relative:page;" filled="f" stroked="f" coordsize="21600,21600" o:gfxdata="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aNeU2AAAAA0BAAAPAAAAAAAAAAEA&#10;IAAAACIAAABkcnMvZG93bnJldi54bWxQSwECFAAUAAAACACHTuJAgxP8pg8CAAAQBAAADgAAAAAA&#10;AAABACAAAAAnAQAAZHJzL2Uyb0RvYy54bWxQSwUGAAAAAAYABgBZAQAAqAUAAAAA&#10;">
          <v:path/>
          <v:fill on="f" focussize="0,0"/>
          <v:stroke on="f" joinstyle="miter"/>
          <v:imagedata o:title=""/>
          <o:lock v:ext="edit"/>
          <v:textbox inset="0mm,0mm,0mm,0mm" style="mso-fit-shape-to-text:t;">
            <w:txbxContent>
              <w:p>
                <w:r>
                  <w:t>*</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pPr>
    <w:r>
      <w:pict>
        <v:shape id="_x0000_s1029" o:spid="_x0000_s1029"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path/>
          <v:fill on="f" focussize="0,0"/>
          <v:stroke on="f" weight="0.5pt" joinstyle="miter"/>
          <v:imagedata o:title=""/>
          <o:lock v:ext="edit"/>
          <v:textbox inset="0mm,0mm,0mm,0mm" style="mso-fit-shape-to-text:t;">
            <w:txbxContent>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pPr>
    <w:r>
      <w:pict>
        <v:shape id="_x0000_s1028" o:spid="_x0000_s1028"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8V5Q0wAgAAY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MQJs+ysNMP&#10;lkfoKI+362OAnEnlKEqnBLoTD5i91Kd+T+Jw/3lOUY//Da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A8V5Q0wAgAAYwQAAA4AAAAAAAAAAQAgAAAAHwEAAGRycy9lMm9Eb2MueG1sUEsFBgAA&#10;AAAGAAYAWQEAAMEFAAAAAA==&#10;">
          <v:path/>
          <v:fill on="f" focussize="0,0"/>
          <v:stroke on="f" weight="0.5pt" joinstyle="miter"/>
          <v:imagedata o:title=""/>
          <o:lock v:ext="edit"/>
          <v:textbox inset="0mm,0mm,0mm,0mm" style="mso-fit-shape-to-text:t;">
            <w:txbxContent>
              <w:p>
                <w:pPr>
                  <w:pStyle w:val="3"/>
                  <w:rPr>
                    <w:rStyle w:val="7"/>
                  </w:rPr>
                </w:pPr>
                <w:r>
                  <w:rPr>
                    <w:rStyle w:val="7"/>
                  </w:rPr>
                  <w:t xml:space="preserve">— </w:t>
                </w:r>
                <w:r>
                  <w:rPr>
                    <w:rStyle w:val="7"/>
                  </w:rPr>
                  <w:fldChar w:fldCharType="begin"/>
                </w:r>
                <w:r>
                  <w:rPr>
                    <w:rStyle w:val="7"/>
                  </w:rPr>
                  <w:instrText xml:space="preserve"> PAGE  \* MERGEFORMAT </w:instrText>
                </w:r>
                <w:r>
                  <w:rPr>
                    <w:rStyle w:val="7"/>
                  </w:rPr>
                  <w:fldChar w:fldCharType="separate"/>
                </w:r>
                <w:r>
                  <w:rPr>
                    <w:rStyle w:val="7"/>
                  </w:rPr>
                  <w:t>7</w:t>
                </w:r>
                <w:r>
                  <w:rPr>
                    <w:rStyle w:val="7"/>
                  </w:rPr>
                  <w:fldChar w:fldCharType="end"/>
                </w:r>
                <w:r>
                  <w:rPr>
                    <w:rStyle w:val="7"/>
                  </w:rPr>
                  <w:t xml:space="preserve"> —</w:t>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pict>
        <v:shape id="_x0000_s1027" o:spid="_x0000_s1027"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path/>
          <v:fill on="f" focussize="0,0"/>
          <v:stroke on="f" weight="0.5pt" joinstyle="miter"/>
          <v:imagedata o:title=""/>
          <o:lock v:ext="edit"/>
          <v:textbox inset="0mm,0mm,0mm,0mm" style="mso-fit-shape-to-text:t;">
            <w:txbxContent>
              <w:p>
                <w:pPr>
                  <w:pStyle w:val="3"/>
                </w:pPr>
                <w:r>
                  <w:t xml:space="preserve">— </w:t>
                </w:r>
                <w:r>
                  <w:fldChar w:fldCharType="begin"/>
                </w:r>
                <w:r>
                  <w:instrText xml:space="preserve"> PAGE  \* MERGEFORMAT </w:instrText>
                </w:r>
                <w:r>
                  <w:fldChar w:fldCharType="separate"/>
                </w:r>
                <w:r>
                  <w:t>64</w:t>
                </w:r>
                <w:r>
                  <w:fldChar w:fldCharType="end"/>
                </w:r>
                <w:r>
                  <w:t xml:space="preserve"> —</w:t>
                </w:r>
              </w:p>
            </w:txbxContent>
          </v:textbox>
        </v:shape>
      </w:pict>
    </w:r>
  </w:p>
  <w:p>
    <w:pPr>
      <w:tabs>
        <w:tab w:val="center" w:pos="4153"/>
        <w:tab w:val="right" w:pos="8306"/>
      </w:tabs>
      <w:snapToGrid w:val="0"/>
      <w:ind w:right="360"/>
      <w:jc w:val="center"/>
      <w:rPr>
        <w:rFonts w:ascii="宋体" w:hAnsi="宋体"/>
        <w:sz w:val="1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center"/>
      <w:rPr>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0CD2A1"/>
    <w:multiLevelType w:val="singleLevel"/>
    <w:tmpl w:val="450CD2A1"/>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zczMDFlYjNmNWE2MjNkODg5YjBlYjc2NzVlYzJiY2EifQ=="/>
  </w:docVars>
  <w:rsids>
    <w:rsidRoot w:val="475804CA"/>
    <w:rsid w:val="00004216"/>
    <w:rsid w:val="00013AFA"/>
    <w:rsid w:val="000141F8"/>
    <w:rsid w:val="00014503"/>
    <w:rsid w:val="00017B0C"/>
    <w:rsid w:val="00017D17"/>
    <w:rsid w:val="0002148F"/>
    <w:rsid w:val="00023E19"/>
    <w:rsid w:val="00023F7F"/>
    <w:rsid w:val="0002538C"/>
    <w:rsid w:val="00027C08"/>
    <w:rsid w:val="000302A1"/>
    <w:rsid w:val="0003147B"/>
    <w:rsid w:val="000316D4"/>
    <w:rsid w:val="000317A6"/>
    <w:rsid w:val="00033F06"/>
    <w:rsid w:val="0004335E"/>
    <w:rsid w:val="0004463B"/>
    <w:rsid w:val="00044788"/>
    <w:rsid w:val="00050C7B"/>
    <w:rsid w:val="00051CFC"/>
    <w:rsid w:val="000524C4"/>
    <w:rsid w:val="000605EC"/>
    <w:rsid w:val="000605F3"/>
    <w:rsid w:val="0006103F"/>
    <w:rsid w:val="00063AC2"/>
    <w:rsid w:val="00063F4C"/>
    <w:rsid w:val="00066273"/>
    <w:rsid w:val="00071C5D"/>
    <w:rsid w:val="00071FC5"/>
    <w:rsid w:val="00075559"/>
    <w:rsid w:val="00076004"/>
    <w:rsid w:val="00076047"/>
    <w:rsid w:val="0008012C"/>
    <w:rsid w:val="00083B84"/>
    <w:rsid w:val="000842B8"/>
    <w:rsid w:val="000909A6"/>
    <w:rsid w:val="000930E8"/>
    <w:rsid w:val="000A535D"/>
    <w:rsid w:val="000A6042"/>
    <w:rsid w:val="000A6692"/>
    <w:rsid w:val="000A7AAA"/>
    <w:rsid w:val="000B09B4"/>
    <w:rsid w:val="000B2CB8"/>
    <w:rsid w:val="000B309C"/>
    <w:rsid w:val="000B6156"/>
    <w:rsid w:val="000B74D7"/>
    <w:rsid w:val="000C2DCB"/>
    <w:rsid w:val="000D1D9A"/>
    <w:rsid w:val="000D284D"/>
    <w:rsid w:val="000D490F"/>
    <w:rsid w:val="000D6765"/>
    <w:rsid w:val="000D76C1"/>
    <w:rsid w:val="000E32A8"/>
    <w:rsid w:val="000E39F6"/>
    <w:rsid w:val="000E5748"/>
    <w:rsid w:val="000F01B2"/>
    <w:rsid w:val="000F78AB"/>
    <w:rsid w:val="0010063E"/>
    <w:rsid w:val="0010235A"/>
    <w:rsid w:val="0010242D"/>
    <w:rsid w:val="00105D30"/>
    <w:rsid w:val="001164C2"/>
    <w:rsid w:val="00121B93"/>
    <w:rsid w:val="001227CC"/>
    <w:rsid w:val="00131D4F"/>
    <w:rsid w:val="00131E40"/>
    <w:rsid w:val="00132460"/>
    <w:rsid w:val="001329F7"/>
    <w:rsid w:val="00132E50"/>
    <w:rsid w:val="00135853"/>
    <w:rsid w:val="001363AB"/>
    <w:rsid w:val="00137A4A"/>
    <w:rsid w:val="001402F5"/>
    <w:rsid w:val="00142CFF"/>
    <w:rsid w:val="001452B1"/>
    <w:rsid w:val="00151883"/>
    <w:rsid w:val="00152B64"/>
    <w:rsid w:val="00153170"/>
    <w:rsid w:val="00154AB6"/>
    <w:rsid w:val="00156B63"/>
    <w:rsid w:val="00156CB1"/>
    <w:rsid w:val="00163A69"/>
    <w:rsid w:val="00166C0B"/>
    <w:rsid w:val="00167193"/>
    <w:rsid w:val="00170E44"/>
    <w:rsid w:val="001721B0"/>
    <w:rsid w:val="00173EA6"/>
    <w:rsid w:val="00174B41"/>
    <w:rsid w:val="001772D9"/>
    <w:rsid w:val="00180B32"/>
    <w:rsid w:val="0018291B"/>
    <w:rsid w:val="00187971"/>
    <w:rsid w:val="00194153"/>
    <w:rsid w:val="00195445"/>
    <w:rsid w:val="00196C8D"/>
    <w:rsid w:val="00197C66"/>
    <w:rsid w:val="001A6E10"/>
    <w:rsid w:val="001A711C"/>
    <w:rsid w:val="001B1274"/>
    <w:rsid w:val="001B5B46"/>
    <w:rsid w:val="001C163A"/>
    <w:rsid w:val="001D380D"/>
    <w:rsid w:val="001D4DC9"/>
    <w:rsid w:val="001D7F95"/>
    <w:rsid w:val="001E006D"/>
    <w:rsid w:val="001E01A9"/>
    <w:rsid w:val="001E224E"/>
    <w:rsid w:val="001E387B"/>
    <w:rsid w:val="001E3E73"/>
    <w:rsid w:val="001E418E"/>
    <w:rsid w:val="001E602C"/>
    <w:rsid w:val="001F0F5F"/>
    <w:rsid w:val="001F23D3"/>
    <w:rsid w:val="001F2CA3"/>
    <w:rsid w:val="001F3AF0"/>
    <w:rsid w:val="001F43E1"/>
    <w:rsid w:val="00200C93"/>
    <w:rsid w:val="00206A58"/>
    <w:rsid w:val="00211C6A"/>
    <w:rsid w:val="00212BFE"/>
    <w:rsid w:val="00214702"/>
    <w:rsid w:val="00214A12"/>
    <w:rsid w:val="00221059"/>
    <w:rsid w:val="00221D7A"/>
    <w:rsid w:val="00223898"/>
    <w:rsid w:val="00225254"/>
    <w:rsid w:val="002253F0"/>
    <w:rsid w:val="002267E3"/>
    <w:rsid w:val="00230EEF"/>
    <w:rsid w:val="00231241"/>
    <w:rsid w:val="0023238B"/>
    <w:rsid w:val="00232D73"/>
    <w:rsid w:val="00232F65"/>
    <w:rsid w:val="00244491"/>
    <w:rsid w:val="00250C94"/>
    <w:rsid w:val="00253849"/>
    <w:rsid w:val="0025475B"/>
    <w:rsid w:val="00256C9F"/>
    <w:rsid w:val="00257B6C"/>
    <w:rsid w:val="0026243E"/>
    <w:rsid w:val="00262787"/>
    <w:rsid w:val="002637C2"/>
    <w:rsid w:val="00266E47"/>
    <w:rsid w:val="0027432E"/>
    <w:rsid w:val="00276E6B"/>
    <w:rsid w:val="00281C0D"/>
    <w:rsid w:val="00282B9B"/>
    <w:rsid w:val="00282F38"/>
    <w:rsid w:val="0028344B"/>
    <w:rsid w:val="002873A7"/>
    <w:rsid w:val="00287586"/>
    <w:rsid w:val="00292E48"/>
    <w:rsid w:val="00293086"/>
    <w:rsid w:val="0029596B"/>
    <w:rsid w:val="002A1DAD"/>
    <w:rsid w:val="002A3D82"/>
    <w:rsid w:val="002A4604"/>
    <w:rsid w:val="002A7548"/>
    <w:rsid w:val="002B3975"/>
    <w:rsid w:val="002B607B"/>
    <w:rsid w:val="002B7848"/>
    <w:rsid w:val="002C2003"/>
    <w:rsid w:val="002D01E4"/>
    <w:rsid w:val="002D0CCE"/>
    <w:rsid w:val="002D6C16"/>
    <w:rsid w:val="002E387D"/>
    <w:rsid w:val="002E3CD3"/>
    <w:rsid w:val="002E6CD0"/>
    <w:rsid w:val="002F6782"/>
    <w:rsid w:val="00310356"/>
    <w:rsid w:val="00312E9F"/>
    <w:rsid w:val="00314F7B"/>
    <w:rsid w:val="003160D5"/>
    <w:rsid w:val="00326652"/>
    <w:rsid w:val="00326ACD"/>
    <w:rsid w:val="0033424D"/>
    <w:rsid w:val="00336B6D"/>
    <w:rsid w:val="0034169B"/>
    <w:rsid w:val="00341D0D"/>
    <w:rsid w:val="00342E5D"/>
    <w:rsid w:val="00343DC8"/>
    <w:rsid w:val="00346049"/>
    <w:rsid w:val="003470E2"/>
    <w:rsid w:val="0035115F"/>
    <w:rsid w:val="00360D4C"/>
    <w:rsid w:val="003628E8"/>
    <w:rsid w:val="0036466B"/>
    <w:rsid w:val="00367540"/>
    <w:rsid w:val="00370FCF"/>
    <w:rsid w:val="00373DB8"/>
    <w:rsid w:val="00381EF7"/>
    <w:rsid w:val="0038371B"/>
    <w:rsid w:val="00385BA9"/>
    <w:rsid w:val="00392653"/>
    <w:rsid w:val="00397A89"/>
    <w:rsid w:val="003A5F3F"/>
    <w:rsid w:val="003B22C4"/>
    <w:rsid w:val="003B3D16"/>
    <w:rsid w:val="003B5DF1"/>
    <w:rsid w:val="003B77D9"/>
    <w:rsid w:val="003B7FFA"/>
    <w:rsid w:val="003C4AA2"/>
    <w:rsid w:val="003D1283"/>
    <w:rsid w:val="003D14B7"/>
    <w:rsid w:val="003D2AD5"/>
    <w:rsid w:val="003D5B61"/>
    <w:rsid w:val="003D629E"/>
    <w:rsid w:val="003D691A"/>
    <w:rsid w:val="003D7CFC"/>
    <w:rsid w:val="003E3F8C"/>
    <w:rsid w:val="003E6CA3"/>
    <w:rsid w:val="003E7641"/>
    <w:rsid w:val="003F525D"/>
    <w:rsid w:val="003F528F"/>
    <w:rsid w:val="003F5F90"/>
    <w:rsid w:val="004003B9"/>
    <w:rsid w:val="00400B1E"/>
    <w:rsid w:val="0040148B"/>
    <w:rsid w:val="00401D11"/>
    <w:rsid w:val="0040201A"/>
    <w:rsid w:val="00403D09"/>
    <w:rsid w:val="004118B8"/>
    <w:rsid w:val="004146C0"/>
    <w:rsid w:val="00416424"/>
    <w:rsid w:val="0042255E"/>
    <w:rsid w:val="004226CA"/>
    <w:rsid w:val="0042701D"/>
    <w:rsid w:val="00431342"/>
    <w:rsid w:val="0043791B"/>
    <w:rsid w:val="0044313D"/>
    <w:rsid w:val="00443579"/>
    <w:rsid w:val="004455AE"/>
    <w:rsid w:val="00447FBC"/>
    <w:rsid w:val="00451C9F"/>
    <w:rsid w:val="00456285"/>
    <w:rsid w:val="004577B4"/>
    <w:rsid w:val="00460D70"/>
    <w:rsid w:val="004659FB"/>
    <w:rsid w:val="00465C9B"/>
    <w:rsid w:val="00465E77"/>
    <w:rsid w:val="00466195"/>
    <w:rsid w:val="00466305"/>
    <w:rsid w:val="00470B3D"/>
    <w:rsid w:val="00492981"/>
    <w:rsid w:val="00495B1C"/>
    <w:rsid w:val="0049794E"/>
    <w:rsid w:val="00497EF5"/>
    <w:rsid w:val="004A0C47"/>
    <w:rsid w:val="004A2314"/>
    <w:rsid w:val="004A353E"/>
    <w:rsid w:val="004A7573"/>
    <w:rsid w:val="004A7F60"/>
    <w:rsid w:val="004B6495"/>
    <w:rsid w:val="004C055A"/>
    <w:rsid w:val="004C2C71"/>
    <w:rsid w:val="004C6130"/>
    <w:rsid w:val="004C7A15"/>
    <w:rsid w:val="004D4290"/>
    <w:rsid w:val="004D5BD2"/>
    <w:rsid w:val="004E1F50"/>
    <w:rsid w:val="004F06C8"/>
    <w:rsid w:val="004F1AA3"/>
    <w:rsid w:val="004F498F"/>
    <w:rsid w:val="004F6C6D"/>
    <w:rsid w:val="00500F36"/>
    <w:rsid w:val="00504DD9"/>
    <w:rsid w:val="00504F43"/>
    <w:rsid w:val="00505DE6"/>
    <w:rsid w:val="00510E7B"/>
    <w:rsid w:val="00511089"/>
    <w:rsid w:val="005124E7"/>
    <w:rsid w:val="00513839"/>
    <w:rsid w:val="00515ED3"/>
    <w:rsid w:val="00517608"/>
    <w:rsid w:val="005202D0"/>
    <w:rsid w:val="00525D07"/>
    <w:rsid w:val="00526869"/>
    <w:rsid w:val="005278FD"/>
    <w:rsid w:val="00527E02"/>
    <w:rsid w:val="00531E4F"/>
    <w:rsid w:val="00546605"/>
    <w:rsid w:val="00551EAE"/>
    <w:rsid w:val="00552F0A"/>
    <w:rsid w:val="0055407A"/>
    <w:rsid w:val="005568B8"/>
    <w:rsid w:val="005614B5"/>
    <w:rsid w:val="00561B54"/>
    <w:rsid w:val="00562B2F"/>
    <w:rsid w:val="00565BDA"/>
    <w:rsid w:val="0056617A"/>
    <w:rsid w:val="0056646C"/>
    <w:rsid w:val="005678EA"/>
    <w:rsid w:val="00570103"/>
    <w:rsid w:val="00571525"/>
    <w:rsid w:val="00571CC0"/>
    <w:rsid w:val="00573249"/>
    <w:rsid w:val="00577A6C"/>
    <w:rsid w:val="00582505"/>
    <w:rsid w:val="0058617C"/>
    <w:rsid w:val="00590643"/>
    <w:rsid w:val="00592D22"/>
    <w:rsid w:val="00596048"/>
    <w:rsid w:val="00597BA8"/>
    <w:rsid w:val="005A1AFC"/>
    <w:rsid w:val="005A27CC"/>
    <w:rsid w:val="005A2A87"/>
    <w:rsid w:val="005A58DC"/>
    <w:rsid w:val="005A5CCF"/>
    <w:rsid w:val="005A78C4"/>
    <w:rsid w:val="005B3DEE"/>
    <w:rsid w:val="005B5119"/>
    <w:rsid w:val="005C0027"/>
    <w:rsid w:val="005C479F"/>
    <w:rsid w:val="005C5CB7"/>
    <w:rsid w:val="005C5E29"/>
    <w:rsid w:val="005D0725"/>
    <w:rsid w:val="005D1089"/>
    <w:rsid w:val="005D1EC3"/>
    <w:rsid w:val="005D23A9"/>
    <w:rsid w:val="005D6FB9"/>
    <w:rsid w:val="005E4B34"/>
    <w:rsid w:val="005E59A9"/>
    <w:rsid w:val="005E69E1"/>
    <w:rsid w:val="00601E2E"/>
    <w:rsid w:val="00602927"/>
    <w:rsid w:val="006056CD"/>
    <w:rsid w:val="006057DE"/>
    <w:rsid w:val="00606A79"/>
    <w:rsid w:val="00613078"/>
    <w:rsid w:val="0062604A"/>
    <w:rsid w:val="00626565"/>
    <w:rsid w:val="00626610"/>
    <w:rsid w:val="0063044D"/>
    <w:rsid w:val="00633DD8"/>
    <w:rsid w:val="006419DC"/>
    <w:rsid w:val="00642AEF"/>
    <w:rsid w:val="00654C6E"/>
    <w:rsid w:val="00657469"/>
    <w:rsid w:val="006608D5"/>
    <w:rsid w:val="00666F76"/>
    <w:rsid w:val="00667BA4"/>
    <w:rsid w:val="00674465"/>
    <w:rsid w:val="00677C69"/>
    <w:rsid w:val="006805F9"/>
    <w:rsid w:val="00683E47"/>
    <w:rsid w:val="00692F33"/>
    <w:rsid w:val="00696149"/>
    <w:rsid w:val="00696C29"/>
    <w:rsid w:val="006A3543"/>
    <w:rsid w:val="006A7137"/>
    <w:rsid w:val="006B131D"/>
    <w:rsid w:val="006B1589"/>
    <w:rsid w:val="006B1B13"/>
    <w:rsid w:val="006B3A9E"/>
    <w:rsid w:val="006B5555"/>
    <w:rsid w:val="006B6E5C"/>
    <w:rsid w:val="006C16D8"/>
    <w:rsid w:val="006C6C28"/>
    <w:rsid w:val="006D1926"/>
    <w:rsid w:val="006D707E"/>
    <w:rsid w:val="006E077E"/>
    <w:rsid w:val="006E23E1"/>
    <w:rsid w:val="006E58B4"/>
    <w:rsid w:val="006E6854"/>
    <w:rsid w:val="006E6CEE"/>
    <w:rsid w:val="006F0CC6"/>
    <w:rsid w:val="006F3FA3"/>
    <w:rsid w:val="006F59D2"/>
    <w:rsid w:val="006F73B6"/>
    <w:rsid w:val="007163B8"/>
    <w:rsid w:val="007166CA"/>
    <w:rsid w:val="00716F03"/>
    <w:rsid w:val="00721673"/>
    <w:rsid w:val="00727B50"/>
    <w:rsid w:val="007325A1"/>
    <w:rsid w:val="00732DC1"/>
    <w:rsid w:val="007366E4"/>
    <w:rsid w:val="00737234"/>
    <w:rsid w:val="00737A82"/>
    <w:rsid w:val="007419A7"/>
    <w:rsid w:val="0074590C"/>
    <w:rsid w:val="00751EA2"/>
    <w:rsid w:val="00753490"/>
    <w:rsid w:val="007601D1"/>
    <w:rsid w:val="00772266"/>
    <w:rsid w:val="00772FA4"/>
    <w:rsid w:val="00781EEF"/>
    <w:rsid w:val="00796E60"/>
    <w:rsid w:val="007A1550"/>
    <w:rsid w:val="007A1C32"/>
    <w:rsid w:val="007A3216"/>
    <w:rsid w:val="007A42C0"/>
    <w:rsid w:val="007A43CE"/>
    <w:rsid w:val="007A6FBB"/>
    <w:rsid w:val="007B2F1A"/>
    <w:rsid w:val="007B7860"/>
    <w:rsid w:val="007C1C2F"/>
    <w:rsid w:val="007C55BD"/>
    <w:rsid w:val="007C607D"/>
    <w:rsid w:val="007D52AC"/>
    <w:rsid w:val="007D7DA2"/>
    <w:rsid w:val="007E288F"/>
    <w:rsid w:val="007E2FEE"/>
    <w:rsid w:val="007F06C6"/>
    <w:rsid w:val="007F1074"/>
    <w:rsid w:val="007F3574"/>
    <w:rsid w:val="007F54EA"/>
    <w:rsid w:val="007F6967"/>
    <w:rsid w:val="007F69AD"/>
    <w:rsid w:val="00806EE1"/>
    <w:rsid w:val="00816AE7"/>
    <w:rsid w:val="008220E4"/>
    <w:rsid w:val="008253FF"/>
    <w:rsid w:val="008303F7"/>
    <w:rsid w:val="00830BA9"/>
    <w:rsid w:val="008337F2"/>
    <w:rsid w:val="00834916"/>
    <w:rsid w:val="00837556"/>
    <w:rsid w:val="0084513B"/>
    <w:rsid w:val="008500B4"/>
    <w:rsid w:val="008564D9"/>
    <w:rsid w:val="00862E58"/>
    <w:rsid w:val="00863928"/>
    <w:rsid w:val="00867A04"/>
    <w:rsid w:val="00870D6D"/>
    <w:rsid w:val="00872AB5"/>
    <w:rsid w:val="00877FB1"/>
    <w:rsid w:val="00880C1E"/>
    <w:rsid w:val="00895EDC"/>
    <w:rsid w:val="008976F7"/>
    <w:rsid w:val="008A6508"/>
    <w:rsid w:val="008B172E"/>
    <w:rsid w:val="008B2B62"/>
    <w:rsid w:val="008B4FF9"/>
    <w:rsid w:val="008B5106"/>
    <w:rsid w:val="008B6D11"/>
    <w:rsid w:val="008C4441"/>
    <w:rsid w:val="008C6E55"/>
    <w:rsid w:val="008D2705"/>
    <w:rsid w:val="008E0DD4"/>
    <w:rsid w:val="008E77D9"/>
    <w:rsid w:val="008F2782"/>
    <w:rsid w:val="008F33EA"/>
    <w:rsid w:val="008F6945"/>
    <w:rsid w:val="008F6F9A"/>
    <w:rsid w:val="00904769"/>
    <w:rsid w:val="00907CA9"/>
    <w:rsid w:val="00913BBF"/>
    <w:rsid w:val="00917A6C"/>
    <w:rsid w:val="009203CC"/>
    <w:rsid w:val="00923239"/>
    <w:rsid w:val="009240D6"/>
    <w:rsid w:val="00925523"/>
    <w:rsid w:val="009260A4"/>
    <w:rsid w:val="00926AF8"/>
    <w:rsid w:val="00930A00"/>
    <w:rsid w:val="0093130D"/>
    <w:rsid w:val="009340A1"/>
    <w:rsid w:val="00936025"/>
    <w:rsid w:val="009360B1"/>
    <w:rsid w:val="009364DC"/>
    <w:rsid w:val="00936B34"/>
    <w:rsid w:val="00936D53"/>
    <w:rsid w:val="00937C09"/>
    <w:rsid w:val="00942B3F"/>
    <w:rsid w:val="00942F76"/>
    <w:rsid w:val="00942FB0"/>
    <w:rsid w:val="00946F13"/>
    <w:rsid w:val="00947514"/>
    <w:rsid w:val="00950B0F"/>
    <w:rsid w:val="0095645B"/>
    <w:rsid w:val="0096035D"/>
    <w:rsid w:val="00962CC8"/>
    <w:rsid w:val="00963B96"/>
    <w:rsid w:val="009657DA"/>
    <w:rsid w:val="00975E54"/>
    <w:rsid w:val="00976393"/>
    <w:rsid w:val="00977BE4"/>
    <w:rsid w:val="0098039C"/>
    <w:rsid w:val="00980EF9"/>
    <w:rsid w:val="00983279"/>
    <w:rsid w:val="00983AC6"/>
    <w:rsid w:val="00983E94"/>
    <w:rsid w:val="0098725B"/>
    <w:rsid w:val="00987FC1"/>
    <w:rsid w:val="009904FD"/>
    <w:rsid w:val="00990D82"/>
    <w:rsid w:val="00991DA7"/>
    <w:rsid w:val="009945B8"/>
    <w:rsid w:val="00995A0B"/>
    <w:rsid w:val="009A0F51"/>
    <w:rsid w:val="009A38C5"/>
    <w:rsid w:val="009A6579"/>
    <w:rsid w:val="009A7284"/>
    <w:rsid w:val="009A74A9"/>
    <w:rsid w:val="009B0416"/>
    <w:rsid w:val="009B25A9"/>
    <w:rsid w:val="009B2726"/>
    <w:rsid w:val="009C5B1E"/>
    <w:rsid w:val="009D5863"/>
    <w:rsid w:val="009D7B45"/>
    <w:rsid w:val="009E0BC2"/>
    <w:rsid w:val="009E0E78"/>
    <w:rsid w:val="009E3795"/>
    <w:rsid w:val="009E4342"/>
    <w:rsid w:val="009F1215"/>
    <w:rsid w:val="009F1667"/>
    <w:rsid w:val="00A021F5"/>
    <w:rsid w:val="00A02977"/>
    <w:rsid w:val="00A10F8B"/>
    <w:rsid w:val="00A1217D"/>
    <w:rsid w:val="00A228E0"/>
    <w:rsid w:val="00A23307"/>
    <w:rsid w:val="00A25227"/>
    <w:rsid w:val="00A2776F"/>
    <w:rsid w:val="00A278A0"/>
    <w:rsid w:val="00A319AD"/>
    <w:rsid w:val="00A31C86"/>
    <w:rsid w:val="00A36E0B"/>
    <w:rsid w:val="00A377D0"/>
    <w:rsid w:val="00A423F8"/>
    <w:rsid w:val="00A47D28"/>
    <w:rsid w:val="00A50773"/>
    <w:rsid w:val="00A53A60"/>
    <w:rsid w:val="00A5491B"/>
    <w:rsid w:val="00A6055A"/>
    <w:rsid w:val="00A615AA"/>
    <w:rsid w:val="00A717E3"/>
    <w:rsid w:val="00A71A32"/>
    <w:rsid w:val="00A722F4"/>
    <w:rsid w:val="00A85162"/>
    <w:rsid w:val="00A86DCE"/>
    <w:rsid w:val="00A90419"/>
    <w:rsid w:val="00A935FB"/>
    <w:rsid w:val="00A9489B"/>
    <w:rsid w:val="00A9505D"/>
    <w:rsid w:val="00A96549"/>
    <w:rsid w:val="00AA0A63"/>
    <w:rsid w:val="00AA25E4"/>
    <w:rsid w:val="00AA2A0E"/>
    <w:rsid w:val="00AA35A5"/>
    <w:rsid w:val="00AA3DDC"/>
    <w:rsid w:val="00AA3E22"/>
    <w:rsid w:val="00AA5272"/>
    <w:rsid w:val="00AA70DD"/>
    <w:rsid w:val="00AB2825"/>
    <w:rsid w:val="00AB4358"/>
    <w:rsid w:val="00AB4B1A"/>
    <w:rsid w:val="00AC7130"/>
    <w:rsid w:val="00AD06C5"/>
    <w:rsid w:val="00AD79E2"/>
    <w:rsid w:val="00AE034B"/>
    <w:rsid w:val="00AE1AEC"/>
    <w:rsid w:val="00AE3747"/>
    <w:rsid w:val="00AE47E3"/>
    <w:rsid w:val="00AE4EC5"/>
    <w:rsid w:val="00AE6485"/>
    <w:rsid w:val="00AF0A68"/>
    <w:rsid w:val="00AF1D9F"/>
    <w:rsid w:val="00AF3619"/>
    <w:rsid w:val="00AF40CB"/>
    <w:rsid w:val="00AF6014"/>
    <w:rsid w:val="00B0602F"/>
    <w:rsid w:val="00B16FD6"/>
    <w:rsid w:val="00B17B56"/>
    <w:rsid w:val="00B270CD"/>
    <w:rsid w:val="00B362BB"/>
    <w:rsid w:val="00B42B24"/>
    <w:rsid w:val="00B432CD"/>
    <w:rsid w:val="00B43A32"/>
    <w:rsid w:val="00B50F7F"/>
    <w:rsid w:val="00B51190"/>
    <w:rsid w:val="00B54E67"/>
    <w:rsid w:val="00B5693D"/>
    <w:rsid w:val="00B62030"/>
    <w:rsid w:val="00B638AE"/>
    <w:rsid w:val="00B6704D"/>
    <w:rsid w:val="00B712B5"/>
    <w:rsid w:val="00B71D80"/>
    <w:rsid w:val="00B7205B"/>
    <w:rsid w:val="00B74E3E"/>
    <w:rsid w:val="00B765E7"/>
    <w:rsid w:val="00B7678E"/>
    <w:rsid w:val="00B82150"/>
    <w:rsid w:val="00B82A17"/>
    <w:rsid w:val="00B87477"/>
    <w:rsid w:val="00B92325"/>
    <w:rsid w:val="00B93B4D"/>
    <w:rsid w:val="00B97A31"/>
    <w:rsid w:val="00BA253C"/>
    <w:rsid w:val="00BA2B57"/>
    <w:rsid w:val="00BA38FF"/>
    <w:rsid w:val="00BA6BA4"/>
    <w:rsid w:val="00BB11A0"/>
    <w:rsid w:val="00BB24DD"/>
    <w:rsid w:val="00BB4C32"/>
    <w:rsid w:val="00BB695D"/>
    <w:rsid w:val="00BB6AEF"/>
    <w:rsid w:val="00BC007A"/>
    <w:rsid w:val="00BC16BF"/>
    <w:rsid w:val="00BC1C66"/>
    <w:rsid w:val="00BC2634"/>
    <w:rsid w:val="00BC35DE"/>
    <w:rsid w:val="00BC4A27"/>
    <w:rsid w:val="00BC6CE9"/>
    <w:rsid w:val="00BC6EF4"/>
    <w:rsid w:val="00BC7568"/>
    <w:rsid w:val="00BD0AAB"/>
    <w:rsid w:val="00BD1E47"/>
    <w:rsid w:val="00BD3C5E"/>
    <w:rsid w:val="00BD414A"/>
    <w:rsid w:val="00BD6B67"/>
    <w:rsid w:val="00BE029E"/>
    <w:rsid w:val="00BE4E19"/>
    <w:rsid w:val="00BE533A"/>
    <w:rsid w:val="00BE5738"/>
    <w:rsid w:val="00BF2011"/>
    <w:rsid w:val="00BF2791"/>
    <w:rsid w:val="00BF49A4"/>
    <w:rsid w:val="00C02013"/>
    <w:rsid w:val="00C021F2"/>
    <w:rsid w:val="00C03A15"/>
    <w:rsid w:val="00C11BA3"/>
    <w:rsid w:val="00C12A14"/>
    <w:rsid w:val="00C157AF"/>
    <w:rsid w:val="00C16A0B"/>
    <w:rsid w:val="00C16EFE"/>
    <w:rsid w:val="00C24CEA"/>
    <w:rsid w:val="00C30140"/>
    <w:rsid w:val="00C3317A"/>
    <w:rsid w:val="00C349D3"/>
    <w:rsid w:val="00C40C1B"/>
    <w:rsid w:val="00C40CD8"/>
    <w:rsid w:val="00C4294B"/>
    <w:rsid w:val="00C42B8A"/>
    <w:rsid w:val="00C5113A"/>
    <w:rsid w:val="00C54B80"/>
    <w:rsid w:val="00C54CC4"/>
    <w:rsid w:val="00C61AA2"/>
    <w:rsid w:val="00C630AA"/>
    <w:rsid w:val="00C64435"/>
    <w:rsid w:val="00C66DEC"/>
    <w:rsid w:val="00C70BE7"/>
    <w:rsid w:val="00C7319A"/>
    <w:rsid w:val="00C73F59"/>
    <w:rsid w:val="00C74852"/>
    <w:rsid w:val="00C81800"/>
    <w:rsid w:val="00C86EA3"/>
    <w:rsid w:val="00C95CD1"/>
    <w:rsid w:val="00C96AAE"/>
    <w:rsid w:val="00C96E30"/>
    <w:rsid w:val="00C96FDD"/>
    <w:rsid w:val="00CA15E4"/>
    <w:rsid w:val="00CA1A98"/>
    <w:rsid w:val="00CA1B86"/>
    <w:rsid w:val="00CA34B5"/>
    <w:rsid w:val="00CA51F1"/>
    <w:rsid w:val="00CB3EC3"/>
    <w:rsid w:val="00CB6E3C"/>
    <w:rsid w:val="00CB7950"/>
    <w:rsid w:val="00CC7EDD"/>
    <w:rsid w:val="00CD2176"/>
    <w:rsid w:val="00CD3095"/>
    <w:rsid w:val="00CD47EC"/>
    <w:rsid w:val="00CD5824"/>
    <w:rsid w:val="00CE26ED"/>
    <w:rsid w:val="00CE4008"/>
    <w:rsid w:val="00CE4A67"/>
    <w:rsid w:val="00CE7FC1"/>
    <w:rsid w:val="00CF354C"/>
    <w:rsid w:val="00CF3851"/>
    <w:rsid w:val="00CF4808"/>
    <w:rsid w:val="00CF5EDC"/>
    <w:rsid w:val="00D0537E"/>
    <w:rsid w:val="00D07F1B"/>
    <w:rsid w:val="00D12EED"/>
    <w:rsid w:val="00D15FA8"/>
    <w:rsid w:val="00D21B35"/>
    <w:rsid w:val="00D2562A"/>
    <w:rsid w:val="00D27071"/>
    <w:rsid w:val="00D27468"/>
    <w:rsid w:val="00D30B08"/>
    <w:rsid w:val="00D33919"/>
    <w:rsid w:val="00D34343"/>
    <w:rsid w:val="00D40838"/>
    <w:rsid w:val="00D442B5"/>
    <w:rsid w:val="00D46554"/>
    <w:rsid w:val="00D46AEB"/>
    <w:rsid w:val="00D4799C"/>
    <w:rsid w:val="00D47D71"/>
    <w:rsid w:val="00D507D0"/>
    <w:rsid w:val="00D50B7E"/>
    <w:rsid w:val="00D51403"/>
    <w:rsid w:val="00D55DF7"/>
    <w:rsid w:val="00D55F92"/>
    <w:rsid w:val="00D658B5"/>
    <w:rsid w:val="00D67912"/>
    <w:rsid w:val="00D70F73"/>
    <w:rsid w:val="00D71CE0"/>
    <w:rsid w:val="00D71EA4"/>
    <w:rsid w:val="00D808CE"/>
    <w:rsid w:val="00D858A0"/>
    <w:rsid w:val="00D92BE7"/>
    <w:rsid w:val="00D93769"/>
    <w:rsid w:val="00D95E76"/>
    <w:rsid w:val="00D96251"/>
    <w:rsid w:val="00D96CA2"/>
    <w:rsid w:val="00DA27F8"/>
    <w:rsid w:val="00DA5043"/>
    <w:rsid w:val="00DB373B"/>
    <w:rsid w:val="00DB4662"/>
    <w:rsid w:val="00DB4810"/>
    <w:rsid w:val="00DB6AF8"/>
    <w:rsid w:val="00DC041F"/>
    <w:rsid w:val="00DC2AB9"/>
    <w:rsid w:val="00DC3052"/>
    <w:rsid w:val="00DD23A3"/>
    <w:rsid w:val="00DD2412"/>
    <w:rsid w:val="00DD6FDE"/>
    <w:rsid w:val="00DE0ABE"/>
    <w:rsid w:val="00DE309A"/>
    <w:rsid w:val="00DE5338"/>
    <w:rsid w:val="00DE586F"/>
    <w:rsid w:val="00DE5BBD"/>
    <w:rsid w:val="00DF1847"/>
    <w:rsid w:val="00DF2D56"/>
    <w:rsid w:val="00DF754E"/>
    <w:rsid w:val="00E01F2B"/>
    <w:rsid w:val="00E02A94"/>
    <w:rsid w:val="00E05141"/>
    <w:rsid w:val="00E05B26"/>
    <w:rsid w:val="00E076F3"/>
    <w:rsid w:val="00E160F7"/>
    <w:rsid w:val="00E16E37"/>
    <w:rsid w:val="00E17439"/>
    <w:rsid w:val="00E2292B"/>
    <w:rsid w:val="00E2307E"/>
    <w:rsid w:val="00E24A40"/>
    <w:rsid w:val="00E257B7"/>
    <w:rsid w:val="00E26636"/>
    <w:rsid w:val="00E279DB"/>
    <w:rsid w:val="00E30E5B"/>
    <w:rsid w:val="00E31A2D"/>
    <w:rsid w:val="00E327BB"/>
    <w:rsid w:val="00E34C24"/>
    <w:rsid w:val="00E357C2"/>
    <w:rsid w:val="00E406DB"/>
    <w:rsid w:val="00E41309"/>
    <w:rsid w:val="00E419A7"/>
    <w:rsid w:val="00E4659C"/>
    <w:rsid w:val="00E50E9F"/>
    <w:rsid w:val="00E51486"/>
    <w:rsid w:val="00E531AD"/>
    <w:rsid w:val="00E55989"/>
    <w:rsid w:val="00E56050"/>
    <w:rsid w:val="00E57863"/>
    <w:rsid w:val="00E60887"/>
    <w:rsid w:val="00E618EB"/>
    <w:rsid w:val="00E653DD"/>
    <w:rsid w:val="00E66644"/>
    <w:rsid w:val="00E66688"/>
    <w:rsid w:val="00E6679F"/>
    <w:rsid w:val="00E70759"/>
    <w:rsid w:val="00E70B28"/>
    <w:rsid w:val="00E71EF9"/>
    <w:rsid w:val="00E7694E"/>
    <w:rsid w:val="00E869BA"/>
    <w:rsid w:val="00E86FE7"/>
    <w:rsid w:val="00E87CFF"/>
    <w:rsid w:val="00E91884"/>
    <w:rsid w:val="00E92B40"/>
    <w:rsid w:val="00E92B6B"/>
    <w:rsid w:val="00E9405F"/>
    <w:rsid w:val="00E9700D"/>
    <w:rsid w:val="00EA02E0"/>
    <w:rsid w:val="00EA400B"/>
    <w:rsid w:val="00EB4FC1"/>
    <w:rsid w:val="00EB6710"/>
    <w:rsid w:val="00EC0618"/>
    <w:rsid w:val="00EC3CF6"/>
    <w:rsid w:val="00EC4747"/>
    <w:rsid w:val="00EC4900"/>
    <w:rsid w:val="00EC5960"/>
    <w:rsid w:val="00EC7780"/>
    <w:rsid w:val="00ED10EB"/>
    <w:rsid w:val="00ED1C71"/>
    <w:rsid w:val="00ED3316"/>
    <w:rsid w:val="00ED446D"/>
    <w:rsid w:val="00ED6C46"/>
    <w:rsid w:val="00EE1AAC"/>
    <w:rsid w:val="00EE25DC"/>
    <w:rsid w:val="00EE2AD2"/>
    <w:rsid w:val="00EE46D6"/>
    <w:rsid w:val="00EE4F3A"/>
    <w:rsid w:val="00EF0B98"/>
    <w:rsid w:val="00EF33B2"/>
    <w:rsid w:val="00EF592A"/>
    <w:rsid w:val="00F032D4"/>
    <w:rsid w:val="00F136B4"/>
    <w:rsid w:val="00F160B4"/>
    <w:rsid w:val="00F21399"/>
    <w:rsid w:val="00F22834"/>
    <w:rsid w:val="00F27DB3"/>
    <w:rsid w:val="00F33C66"/>
    <w:rsid w:val="00F35225"/>
    <w:rsid w:val="00F408AB"/>
    <w:rsid w:val="00F40B7F"/>
    <w:rsid w:val="00F4123B"/>
    <w:rsid w:val="00F474B0"/>
    <w:rsid w:val="00F50C4D"/>
    <w:rsid w:val="00F52F12"/>
    <w:rsid w:val="00F54DD3"/>
    <w:rsid w:val="00F54E9B"/>
    <w:rsid w:val="00F6144B"/>
    <w:rsid w:val="00F61521"/>
    <w:rsid w:val="00F61BF3"/>
    <w:rsid w:val="00F62099"/>
    <w:rsid w:val="00F62754"/>
    <w:rsid w:val="00F67360"/>
    <w:rsid w:val="00F70324"/>
    <w:rsid w:val="00F70452"/>
    <w:rsid w:val="00F71912"/>
    <w:rsid w:val="00F73812"/>
    <w:rsid w:val="00F739CF"/>
    <w:rsid w:val="00F75108"/>
    <w:rsid w:val="00F761B9"/>
    <w:rsid w:val="00F76BBA"/>
    <w:rsid w:val="00F81ED3"/>
    <w:rsid w:val="00F82CE5"/>
    <w:rsid w:val="00F83D09"/>
    <w:rsid w:val="00F85DFD"/>
    <w:rsid w:val="00F87D81"/>
    <w:rsid w:val="00F91D38"/>
    <w:rsid w:val="00F925C4"/>
    <w:rsid w:val="00F9548B"/>
    <w:rsid w:val="00F979AC"/>
    <w:rsid w:val="00FA0C47"/>
    <w:rsid w:val="00FA138B"/>
    <w:rsid w:val="00FA17E7"/>
    <w:rsid w:val="00FA18B7"/>
    <w:rsid w:val="00FA2DB8"/>
    <w:rsid w:val="00FA3C4E"/>
    <w:rsid w:val="00FA4D84"/>
    <w:rsid w:val="00FB1559"/>
    <w:rsid w:val="00FC036B"/>
    <w:rsid w:val="00FC2C68"/>
    <w:rsid w:val="00FC2C8E"/>
    <w:rsid w:val="00FC5242"/>
    <w:rsid w:val="00FC572F"/>
    <w:rsid w:val="00FC5ADA"/>
    <w:rsid w:val="00FD1207"/>
    <w:rsid w:val="00FD17B2"/>
    <w:rsid w:val="00FE4C6C"/>
    <w:rsid w:val="00FE5454"/>
    <w:rsid w:val="00FE5CB0"/>
    <w:rsid w:val="00FE7E12"/>
    <w:rsid w:val="00FF4357"/>
    <w:rsid w:val="00FF7C1F"/>
    <w:rsid w:val="074C6280"/>
    <w:rsid w:val="33AE22FD"/>
    <w:rsid w:val="380021BC"/>
    <w:rsid w:val="44367C7A"/>
    <w:rsid w:val="46B91178"/>
    <w:rsid w:val="46CA7749"/>
    <w:rsid w:val="475804CA"/>
    <w:rsid w:val="523A7CCA"/>
    <w:rsid w:val="528613BC"/>
    <w:rsid w:val="675556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1"/>
    <w:link w:val="13"/>
    <w:qFormat/>
    <w:uiPriority w:val="99"/>
    <w:pPr>
      <w:adjustRightInd w:val="0"/>
      <w:spacing w:after="60" w:line="360" w:lineRule="atLeast"/>
      <w:ind w:left="72" w:leftChars="30" w:right="30" w:rightChars="30"/>
      <w:jc w:val="center"/>
      <w:textAlignment w:val="baseline"/>
    </w:p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styleId="8">
    <w:name w:val="FollowedHyperlink"/>
    <w:basedOn w:val="6"/>
    <w:unhideWhenUsed/>
    <w:uiPriority w:val="99"/>
    <w:rPr>
      <w:color w:val="800080"/>
      <w:u w:val="single"/>
    </w:rPr>
  </w:style>
  <w:style w:type="character" w:styleId="9">
    <w:name w:val="Hyperlink"/>
    <w:basedOn w:val="6"/>
    <w:qFormat/>
    <w:uiPriority w:val="99"/>
    <w:rPr>
      <w:rFonts w:cs="Times New Roman"/>
      <w:color w:val="0000FF"/>
      <w:u w:val="single"/>
    </w:rPr>
  </w:style>
  <w:style w:type="character" w:customStyle="1" w:styleId="10">
    <w:name w:val="font71"/>
    <w:basedOn w:val="6"/>
    <w:qFormat/>
    <w:uiPriority w:val="0"/>
    <w:rPr>
      <w:rFonts w:hint="eastAsia" w:ascii="宋体" w:hAnsi="宋体" w:eastAsia="宋体" w:cs="宋体"/>
      <w:color w:val="000000"/>
      <w:sz w:val="20"/>
      <w:szCs w:val="20"/>
      <w:u w:val="none"/>
    </w:rPr>
  </w:style>
  <w:style w:type="character" w:customStyle="1" w:styleId="11">
    <w:name w:val="font101"/>
    <w:basedOn w:val="6"/>
    <w:qFormat/>
    <w:uiPriority w:val="0"/>
    <w:rPr>
      <w:rFonts w:hint="eastAsia" w:ascii="宋体" w:hAnsi="宋体" w:eastAsia="宋体" w:cs="宋体"/>
      <w:color w:val="000000"/>
      <w:sz w:val="20"/>
      <w:szCs w:val="20"/>
      <w:u w:val="none"/>
      <w:vertAlign w:val="superscript"/>
    </w:rPr>
  </w:style>
  <w:style w:type="character" w:customStyle="1" w:styleId="12">
    <w:name w:val="font11"/>
    <w:basedOn w:val="6"/>
    <w:qFormat/>
    <w:uiPriority w:val="0"/>
    <w:rPr>
      <w:rFonts w:hint="eastAsia" w:ascii="宋体" w:hAnsi="宋体" w:eastAsia="宋体" w:cs="宋体"/>
      <w:color w:val="000000"/>
      <w:sz w:val="20"/>
      <w:szCs w:val="20"/>
      <w:u w:val="none"/>
    </w:rPr>
  </w:style>
  <w:style w:type="character" w:customStyle="1" w:styleId="13">
    <w:name w:val="正文文本 Char"/>
    <w:basedOn w:val="6"/>
    <w:link w:val="2"/>
    <w:uiPriority w:val="99"/>
    <w:rPr>
      <w:rFonts w:ascii="Calibri" w:hAnsi="Calibri" w:eastAsia="宋体" w:cs="Times New Roman"/>
      <w:kern w:val="2"/>
      <w:sz w:val="21"/>
      <w:szCs w:val="22"/>
    </w:rPr>
  </w:style>
  <w:style w:type="paragraph" w:styleId="14">
    <w:name w:val="List Paragraph"/>
    <w:basedOn w:val="1"/>
    <w:unhideWhenUsed/>
    <w:uiPriority w:val="99"/>
    <w:pPr>
      <w:ind w:firstLine="420" w:firstLineChars="200"/>
    </w:pPr>
  </w:style>
  <w:style w:type="paragraph" w:customStyle="1" w:styleId="15">
    <w:name w:val="font0"/>
    <w:basedOn w:val="1"/>
    <w:qFormat/>
    <w:uiPriority w:val="0"/>
    <w:pPr>
      <w:widowControl/>
      <w:spacing w:before="100" w:beforeAutospacing="1" w:after="100" w:afterAutospacing="1"/>
      <w:jc w:val="left"/>
    </w:pPr>
    <w:rPr>
      <w:rFonts w:ascii="宋体" w:hAnsi="宋体" w:cs="宋体"/>
      <w:color w:val="000000"/>
      <w:kern w:val="0"/>
      <w:sz w:val="22"/>
    </w:rPr>
  </w:style>
  <w:style w:type="paragraph" w:customStyle="1" w:styleId="16">
    <w:name w:val="font5"/>
    <w:basedOn w:val="1"/>
    <w:qFormat/>
    <w:uiPriority w:val="0"/>
    <w:pPr>
      <w:widowControl/>
      <w:spacing w:before="100" w:beforeAutospacing="1" w:after="100" w:afterAutospacing="1"/>
      <w:jc w:val="left"/>
    </w:pPr>
    <w:rPr>
      <w:rFonts w:ascii="宋体" w:hAnsi="宋体" w:cs="宋体"/>
      <w:b/>
      <w:bCs/>
      <w:color w:val="000000"/>
      <w:kern w:val="0"/>
      <w:sz w:val="20"/>
      <w:szCs w:val="20"/>
    </w:rPr>
  </w:style>
  <w:style w:type="paragraph" w:customStyle="1" w:styleId="17">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8">
    <w:name w:val="font7"/>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19">
    <w:name w:val="font8"/>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0">
    <w:name w:val="font9"/>
    <w:basedOn w:val="1"/>
    <w:qFormat/>
    <w:uiPriority w:val="0"/>
    <w:pPr>
      <w:widowControl/>
      <w:spacing w:before="100" w:beforeAutospacing="1" w:after="100" w:afterAutospacing="1"/>
      <w:jc w:val="left"/>
    </w:pPr>
    <w:rPr>
      <w:rFonts w:ascii="宋体" w:hAnsi="宋体" w:cs="宋体"/>
      <w:color w:val="000000"/>
      <w:kern w:val="0"/>
      <w:sz w:val="22"/>
    </w:rPr>
  </w:style>
  <w:style w:type="paragraph" w:customStyle="1" w:styleId="21">
    <w:name w:val="font10"/>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2">
    <w:name w:val="xl68"/>
    <w:basedOn w:val="1"/>
    <w:qFormat/>
    <w:uiPriority w:val="0"/>
    <w:pPr>
      <w:widowControl/>
      <w:spacing w:before="100" w:beforeAutospacing="1" w:after="100" w:afterAutospacing="1"/>
      <w:jc w:val="left"/>
    </w:pPr>
    <w:rPr>
      <w:rFonts w:ascii="宋体" w:hAnsi="宋体" w:cs="宋体"/>
      <w:b/>
      <w:bCs/>
      <w:kern w:val="0"/>
      <w:sz w:val="24"/>
      <w:szCs w:val="24"/>
    </w:rPr>
  </w:style>
  <w:style w:type="paragraph" w:customStyle="1" w:styleId="23">
    <w:name w:val="xl69"/>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24">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5">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6">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7">
    <w:name w:val="xl7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8">
    <w:name w:val="xl7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9">
    <w:name w:val="xl7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30">
    <w:name w:val="xl77"/>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31">
    <w:name w:val="xl7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333333"/>
      <w:kern w:val="0"/>
      <w:sz w:val="20"/>
      <w:szCs w:val="20"/>
    </w:rPr>
  </w:style>
  <w:style w:type="paragraph" w:customStyle="1" w:styleId="32">
    <w:name w:val="xl7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33">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4">
    <w:name w:val="xl81"/>
    <w:basedOn w:val="1"/>
    <w:qFormat/>
    <w:uiPriority w:val="0"/>
    <w:pPr>
      <w:widowControl/>
      <w:pBdr>
        <w:top w:val="single" w:color="auto" w:sz="4" w:space="0"/>
        <w:left w:val="single" w:color="auto" w:sz="4" w:space="0"/>
        <w:bottom w:val="single" w:color="000000"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5">
    <w:name w:val="xl8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6">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37">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38">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333333"/>
      <w:kern w:val="0"/>
      <w:sz w:val="20"/>
      <w:szCs w:val="20"/>
    </w:rPr>
  </w:style>
  <w:style w:type="paragraph" w:customStyle="1" w:styleId="39">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40">
    <w:name w:val="xl8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1">
    <w:name w:val="xl8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42">
    <w:name w:val="xl89"/>
    <w:basedOn w:val="1"/>
    <w:uiPriority w:val="0"/>
    <w:pPr>
      <w:widowControl/>
      <w:spacing w:before="100" w:beforeAutospacing="1" w:after="100" w:afterAutospacing="1"/>
      <w:jc w:val="left"/>
    </w:pPr>
    <w:rPr>
      <w:rFonts w:ascii="宋体" w:hAnsi="宋体" w:cs="宋体"/>
      <w:b/>
      <w:bCs/>
      <w:kern w:val="0"/>
      <w:sz w:val="24"/>
      <w:szCs w:val="24"/>
    </w:rPr>
  </w:style>
  <w:style w:type="paragraph" w:customStyle="1" w:styleId="43">
    <w:name w:val="xl90"/>
    <w:basedOn w:val="1"/>
    <w:qFormat/>
    <w:uiPriority w:val="0"/>
    <w:pPr>
      <w:widowControl/>
      <w:spacing w:before="100" w:beforeAutospacing="1" w:after="100" w:afterAutospacing="1"/>
      <w:jc w:val="left"/>
    </w:pPr>
    <w:rPr>
      <w:rFonts w:ascii="宋体" w:hAnsi="宋体" w:cs="宋体"/>
      <w:b/>
      <w:bCs/>
      <w:kern w:val="0"/>
      <w:sz w:val="24"/>
      <w:szCs w:val="24"/>
    </w:rPr>
  </w:style>
  <w:style w:type="paragraph" w:customStyle="1" w:styleId="44">
    <w:name w:val="xl91"/>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45">
    <w:name w:val="xl92"/>
    <w:basedOn w:val="1"/>
    <w:qFormat/>
    <w:uiPriority w:val="0"/>
    <w:pPr>
      <w:widowControl/>
      <w:pBdr>
        <w:top w:val="single" w:color="auto" w:sz="4" w:space="0"/>
        <w:bottom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46">
    <w:name w:val="xl93"/>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47">
    <w:name w:val="xl94"/>
    <w:basedOn w:val="1"/>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48">
    <w:name w:val="xl95"/>
    <w:basedOn w:val="1"/>
    <w:uiPriority w:val="0"/>
    <w:pPr>
      <w:widowControl/>
      <w:pBdr>
        <w:top w:val="single" w:color="auto" w:sz="4" w:space="0"/>
        <w:bottom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49">
    <w:name w:val="xl96"/>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50">
    <w:name w:val="xl97"/>
    <w:basedOn w:val="1"/>
    <w:qFormat/>
    <w:uiPriority w:val="0"/>
    <w:pPr>
      <w:widowControl/>
      <w:spacing w:before="100" w:beforeAutospacing="1" w:after="100" w:afterAutospacing="1"/>
      <w:jc w:val="left"/>
    </w:pPr>
    <w:rPr>
      <w:rFonts w:ascii="宋体" w:hAnsi="宋体" w:cs="宋体"/>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Info spid="_x0000_s1029"/>
    <customShpInfo spid="_x0000_s1028"/>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66F0579-93E6-4DD9-A007-CD19C856782B}">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73</Pages>
  <Words>7844</Words>
  <Characters>44713</Characters>
  <Lines>372</Lines>
  <Paragraphs>104</Paragraphs>
  <TotalTime>3692</TotalTime>
  <ScaleCrop>false</ScaleCrop>
  <LinksUpToDate>false</LinksUpToDate>
  <CharactersWithSpaces>52453</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2023-08-22T01:59:00Z</dcterms:created>
  <dc:creator>Administrator</dc:creator>
  <cp:lastModifiedBy>Administrator</cp:lastModifiedBy>
  <cp:lastPrinted>2025-09-16T07:39:00Z</cp:lastPrinted>
  <dcterms:modified xsi:type="dcterms:W3CDTF">2025-09-24T01:16:03Z</dcterms:modified>
  <cp:revision>1234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22FAC326075D49FFB79358685D067C87</vt:lpwstr>
  </property>
</Properties>
</file>