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5989">
      <w:pPr>
        <w:pStyle w:val="49"/>
        <w:ind w:firstLine="883"/>
        <w:jc w:val="both"/>
        <w:rPr>
          <w:rFonts w:asciiTheme="minorEastAsia" w:hAnsiTheme="minorEastAsia" w:eastAsiaTheme="minorEastAsia"/>
        </w:rPr>
      </w:pPr>
    </w:p>
    <w:p w14:paraId="2851E681">
      <w:pPr>
        <w:pStyle w:val="49"/>
        <w:ind w:firstLine="883"/>
        <w:jc w:val="both"/>
        <w:rPr>
          <w:rFonts w:asciiTheme="minorEastAsia" w:hAnsiTheme="minorEastAsia" w:eastAsiaTheme="minorEastAsia"/>
        </w:rPr>
      </w:pPr>
    </w:p>
    <w:p w14:paraId="4E0F46CD">
      <w:pPr>
        <w:pStyle w:val="10"/>
        <w:spacing w:line="360" w:lineRule="auto"/>
        <w:ind w:firstLine="883"/>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南通市市政设施管理处</w:t>
      </w:r>
    </w:p>
    <w:p w14:paraId="0A7DFBED">
      <w:pPr>
        <w:pStyle w:val="10"/>
        <w:spacing w:line="360" w:lineRule="auto"/>
        <w:ind w:firstLine="1316" w:firstLineChars="298"/>
        <w:rPr>
          <w:rFonts w:asciiTheme="minorEastAsia" w:hAnsiTheme="minorEastAsia" w:eastAsiaTheme="minorEastAsia"/>
        </w:rPr>
      </w:pPr>
      <w:r>
        <w:rPr>
          <w:rFonts w:hint="eastAsia" w:cs="宋体" w:asciiTheme="minorEastAsia" w:hAnsiTheme="minorEastAsia" w:eastAsiaTheme="minorEastAsia"/>
          <w:b/>
          <w:bCs/>
          <w:kern w:val="0"/>
          <w:sz w:val="44"/>
          <w:szCs w:val="44"/>
        </w:rPr>
        <w:t>2025年度彩浆封层、颗粒封层项目</w:t>
      </w:r>
    </w:p>
    <w:p w14:paraId="34EAB30E">
      <w:pPr>
        <w:pStyle w:val="11"/>
        <w:ind w:firstLine="360"/>
        <w:rPr>
          <w:rFonts w:asciiTheme="minorEastAsia" w:hAnsiTheme="minorEastAsia" w:eastAsiaTheme="minorEastAsia"/>
        </w:rPr>
      </w:pPr>
    </w:p>
    <w:p w14:paraId="1BC122B8">
      <w:pPr>
        <w:pStyle w:val="23"/>
        <w:ind w:firstLine="210"/>
        <w:rPr>
          <w:rFonts w:asciiTheme="minorEastAsia" w:hAnsiTheme="minorEastAsia" w:eastAsiaTheme="minorEastAsia"/>
        </w:rPr>
      </w:pPr>
    </w:p>
    <w:p w14:paraId="07D70311">
      <w:pPr>
        <w:spacing w:line="500" w:lineRule="exact"/>
        <w:ind w:firstLine="3088" w:firstLineChars="641"/>
        <w:rPr>
          <w:rFonts w:ascii="宋体" w:hAnsi="宋体" w:cs="宋体"/>
          <w:sz w:val="44"/>
          <w:szCs w:val="44"/>
        </w:rPr>
      </w:pPr>
      <w:r>
        <w:rPr>
          <w:rFonts w:hint="eastAsia" w:ascii="宋体" w:hAnsi="宋体" w:cs="宋体"/>
          <w:b/>
          <w:spacing w:val="20"/>
          <w:sz w:val="44"/>
          <w:szCs w:val="44"/>
        </w:rPr>
        <w:t>公开比选文件</w:t>
      </w:r>
    </w:p>
    <w:p w14:paraId="44BFCFA8">
      <w:pPr>
        <w:spacing w:line="360" w:lineRule="auto"/>
        <w:ind w:firstLine="3003" w:firstLineChars="1001"/>
        <w:rPr>
          <w:rFonts w:hint="eastAsia" w:asciiTheme="minorEastAsia" w:hAnsiTheme="minorEastAsia" w:eastAsiaTheme="minorEastAsia"/>
          <w:sz w:val="30"/>
          <w:szCs w:val="30"/>
        </w:rPr>
      </w:pPr>
    </w:p>
    <w:p w14:paraId="608915E5">
      <w:pPr>
        <w:spacing w:line="360" w:lineRule="auto"/>
        <w:ind w:firstLine="3003" w:firstLineChars="1001"/>
        <w:rPr>
          <w:rFonts w:asciiTheme="minorEastAsia" w:hAnsiTheme="minorEastAsia" w:eastAsiaTheme="minorEastAsia"/>
          <w:sz w:val="30"/>
          <w:szCs w:val="30"/>
        </w:rPr>
      </w:pPr>
      <w:r>
        <w:rPr>
          <w:rFonts w:asciiTheme="minorEastAsia" w:hAnsiTheme="minorEastAsia" w:eastAsiaTheme="minorEastAsia"/>
          <w:sz w:val="30"/>
          <w:szCs w:val="30"/>
        </w:rPr>
        <w:t>项目编号：</w:t>
      </w:r>
      <w:r>
        <w:rPr>
          <w:rFonts w:hint="eastAsia" w:asciiTheme="minorEastAsia" w:hAnsiTheme="minorEastAsia" w:eastAsiaTheme="minorEastAsia"/>
          <w:sz w:val="30"/>
          <w:szCs w:val="30"/>
        </w:rPr>
        <w:t>ZJJ2025030</w:t>
      </w:r>
    </w:p>
    <w:p w14:paraId="1E5B968C">
      <w:pPr>
        <w:pStyle w:val="23"/>
        <w:ind w:firstLine="210"/>
        <w:rPr>
          <w:rFonts w:asciiTheme="minorEastAsia" w:hAnsiTheme="minorEastAsia" w:eastAsiaTheme="minorEastAsia"/>
        </w:rPr>
      </w:pPr>
    </w:p>
    <w:p w14:paraId="415390D8">
      <w:pPr>
        <w:tabs>
          <w:tab w:val="left" w:pos="6300"/>
        </w:tabs>
        <w:spacing w:line="360" w:lineRule="auto"/>
        <w:ind w:firstLine="723"/>
        <w:rPr>
          <w:rFonts w:asciiTheme="minorEastAsia" w:hAnsiTheme="minorEastAsia" w:eastAsiaTheme="minorEastAsia"/>
          <w:b/>
          <w:bCs/>
          <w:sz w:val="36"/>
          <w:szCs w:val="36"/>
        </w:rPr>
      </w:pPr>
    </w:p>
    <w:p w14:paraId="02804DE9">
      <w:pPr>
        <w:pStyle w:val="23"/>
        <w:ind w:firstLine="361"/>
        <w:rPr>
          <w:rFonts w:asciiTheme="minorEastAsia" w:hAnsiTheme="minorEastAsia" w:eastAsiaTheme="minorEastAsia"/>
          <w:b/>
          <w:bCs/>
          <w:sz w:val="36"/>
          <w:szCs w:val="36"/>
        </w:rPr>
      </w:pPr>
    </w:p>
    <w:p w14:paraId="5B6DEEBF">
      <w:pPr>
        <w:pStyle w:val="23"/>
        <w:ind w:firstLine="361"/>
        <w:rPr>
          <w:rFonts w:asciiTheme="minorEastAsia" w:hAnsiTheme="minorEastAsia" w:eastAsiaTheme="minorEastAsia"/>
          <w:b/>
          <w:bCs/>
          <w:sz w:val="36"/>
          <w:szCs w:val="36"/>
        </w:rPr>
      </w:pPr>
    </w:p>
    <w:p w14:paraId="6FDE6BB3">
      <w:pPr>
        <w:pStyle w:val="23"/>
        <w:ind w:firstLine="361"/>
        <w:rPr>
          <w:rFonts w:asciiTheme="minorEastAsia" w:hAnsiTheme="minorEastAsia" w:eastAsiaTheme="minorEastAsia"/>
          <w:b/>
          <w:bCs/>
          <w:sz w:val="36"/>
          <w:szCs w:val="36"/>
        </w:rPr>
      </w:pPr>
    </w:p>
    <w:p w14:paraId="0F2D8808">
      <w:pPr>
        <w:tabs>
          <w:tab w:val="left" w:pos="2020"/>
          <w:tab w:val="center" w:pos="4535"/>
        </w:tabs>
        <w:spacing w:line="360" w:lineRule="auto"/>
        <w:ind w:firstLine="280" w:firstLineChars="100"/>
        <w:rPr>
          <w:rFonts w:hint="eastAsia" w:asciiTheme="minorEastAsia" w:hAnsiTheme="minorEastAsia" w:eastAsiaTheme="minorEastAsia"/>
          <w:bCs/>
          <w:sz w:val="28"/>
        </w:rPr>
      </w:pPr>
    </w:p>
    <w:p w14:paraId="29EDA23E">
      <w:pPr>
        <w:pStyle w:val="42"/>
        <w:ind w:firstLine="420"/>
      </w:pPr>
    </w:p>
    <w:p w14:paraId="2028B39F">
      <w:pPr>
        <w:spacing w:line="360" w:lineRule="auto"/>
        <w:ind w:firstLine="1350" w:firstLineChars="4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7403A520">
      <w:pPr>
        <w:pStyle w:val="24"/>
        <w:spacing w:line="360" w:lineRule="auto"/>
        <w:ind w:left="420" w:firstLine="900" w:firstLineChars="3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代 理 机 构：</w:t>
      </w:r>
      <w:r>
        <w:rPr>
          <w:rFonts w:hint="eastAsia" w:asciiTheme="minorEastAsia" w:hAnsiTheme="minorEastAsia" w:eastAsiaTheme="minorEastAsia"/>
          <w:sz w:val="30"/>
          <w:szCs w:val="30"/>
          <w:u w:val="single"/>
        </w:rPr>
        <w:t>南通城建工程项目管理有限公司</w:t>
      </w:r>
    </w:p>
    <w:p w14:paraId="2D46D039">
      <w:pPr>
        <w:spacing w:line="360" w:lineRule="auto"/>
        <w:ind w:firstLine="1350" w:firstLineChars="450"/>
        <w:rPr>
          <w:rFonts w:asciiTheme="minorEastAsia" w:hAnsiTheme="minorEastAsia" w:eastAsiaTheme="minorEastAsia"/>
          <w:sz w:val="30"/>
          <w:szCs w:val="30"/>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8</w:t>
      </w:r>
      <w:r>
        <w:rPr>
          <w:rFonts w:hint="eastAsia" w:asciiTheme="minorEastAsia" w:hAnsiTheme="minorEastAsia" w:eastAsiaTheme="minorEastAsia"/>
          <w:sz w:val="30"/>
          <w:szCs w:val="30"/>
        </w:rPr>
        <w:t>月</w:t>
      </w:r>
      <w:r>
        <w:rPr>
          <w:rFonts w:hint="eastAsia" w:asciiTheme="minorEastAsia" w:hAnsiTheme="minorEastAsia" w:eastAsiaTheme="minorEastAsia"/>
          <w:sz w:val="30"/>
          <w:szCs w:val="30"/>
          <w:u w:val="single"/>
        </w:rPr>
        <w:t>13</w:t>
      </w:r>
      <w:r>
        <w:rPr>
          <w:rFonts w:hint="eastAsia" w:asciiTheme="minorEastAsia" w:hAnsiTheme="minorEastAsia" w:eastAsiaTheme="minorEastAsia"/>
          <w:sz w:val="30"/>
          <w:szCs w:val="30"/>
        </w:rPr>
        <w:t>日</w:t>
      </w:r>
    </w:p>
    <w:p w14:paraId="0B31A280">
      <w:pPr>
        <w:spacing w:line="360" w:lineRule="auto"/>
        <w:ind w:firstLine="1200" w:firstLineChars="400"/>
        <w:rPr>
          <w:rFonts w:asciiTheme="minorEastAsia" w:hAnsiTheme="minorEastAsia" w:eastAsiaTheme="minorEastAsia"/>
          <w:sz w:val="30"/>
          <w:szCs w:val="30"/>
        </w:rPr>
      </w:pPr>
    </w:p>
    <w:p w14:paraId="0A95D047">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sectPr>
          <w:pgSz w:w="11907" w:h="16839"/>
          <w:pgMar w:top="1418" w:right="1418" w:bottom="1418" w:left="1474" w:header="720" w:footer="720" w:gutter="0"/>
          <w:pgNumType w:fmt="numberInDash"/>
          <w:cols w:space="720" w:num="1"/>
          <w:docGrid w:linePitch="286" w:charSpace="0"/>
        </w:sectPr>
      </w:pPr>
    </w:p>
    <w:p w14:paraId="56657FFE">
      <w:pPr>
        <w:autoSpaceDE w:val="0"/>
        <w:autoSpaceDN w:val="0"/>
        <w:adjustRightInd w:val="0"/>
        <w:snapToGrid w:val="0"/>
        <w:spacing w:line="360" w:lineRule="auto"/>
        <w:ind w:firstLine="880"/>
        <w:jc w:val="center"/>
        <w:rPr>
          <w:rFonts w:asciiTheme="minorEastAsia" w:hAnsiTheme="minorEastAsia" w:eastAsiaTheme="minorEastAsia"/>
          <w:sz w:val="44"/>
          <w:szCs w:val="44"/>
          <w:lang w:val="zh-CN"/>
        </w:rPr>
      </w:pPr>
    </w:p>
    <w:p w14:paraId="4B895B51">
      <w:pPr>
        <w:autoSpaceDE w:val="0"/>
        <w:autoSpaceDN w:val="0"/>
        <w:adjustRightInd w:val="0"/>
        <w:snapToGrid w:val="0"/>
        <w:spacing w:line="360" w:lineRule="auto"/>
        <w:ind w:firstLine="880"/>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  录</w:t>
      </w:r>
    </w:p>
    <w:p w14:paraId="7FDEEC95">
      <w:pPr>
        <w:autoSpaceDE w:val="0"/>
        <w:autoSpaceDN w:val="0"/>
        <w:adjustRightInd w:val="0"/>
        <w:snapToGrid w:val="0"/>
        <w:spacing w:line="360" w:lineRule="auto"/>
        <w:ind w:firstLine="640"/>
        <w:rPr>
          <w:rFonts w:asciiTheme="minorEastAsia" w:hAnsiTheme="minorEastAsia" w:eastAsiaTheme="minorEastAsia"/>
          <w:sz w:val="32"/>
          <w:szCs w:val="32"/>
        </w:rPr>
      </w:pPr>
    </w:p>
    <w:p w14:paraId="79F716FB">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 比选公告</w:t>
      </w:r>
    </w:p>
    <w:p w14:paraId="2AEA8192">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比选须知</w:t>
      </w:r>
    </w:p>
    <w:p w14:paraId="39190EF3">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项目需求说明</w:t>
      </w:r>
    </w:p>
    <w:p w14:paraId="4DE3FF93">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开标和评标</w:t>
      </w:r>
    </w:p>
    <w:p w14:paraId="0E95497C">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比选响应文件组成</w:t>
      </w:r>
    </w:p>
    <w:p w14:paraId="7F62BCEE">
      <w:pPr>
        <w:tabs>
          <w:tab w:val="left" w:pos="7740"/>
        </w:tabs>
        <w:spacing w:line="360" w:lineRule="auto"/>
        <w:ind w:firstLine="640"/>
        <w:rPr>
          <w:rFonts w:asciiTheme="minorEastAsia" w:hAnsiTheme="minorEastAsia" w:eastAsiaTheme="minorEastAsia"/>
          <w:bCs/>
          <w:sz w:val="32"/>
          <w:szCs w:val="32"/>
        </w:rPr>
      </w:pPr>
    </w:p>
    <w:p w14:paraId="7225A3B3">
      <w:pPr>
        <w:tabs>
          <w:tab w:val="left" w:pos="7740"/>
        </w:tabs>
        <w:spacing w:line="360" w:lineRule="auto"/>
        <w:ind w:firstLine="640"/>
        <w:rPr>
          <w:rFonts w:asciiTheme="minorEastAsia" w:hAnsiTheme="minorEastAsia" w:eastAsiaTheme="minorEastAsia"/>
          <w:bCs/>
          <w:sz w:val="32"/>
          <w:szCs w:val="32"/>
        </w:rPr>
      </w:pPr>
    </w:p>
    <w:p w14:paraId="5547018F">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334C8233">
      <w:pPr>
        <w:autoSpaceDE w:val="0"/>
        <w:autoSpaceDN w:val="0"/>
        <w:adjustRightInd w:val="0"/>
        <w:spacing w:line="360" w:lineRule="auto"/>
        <w:ind w:firstLine="723"/>
        <w:rPr>
          <w:rFonts w:asciiTheme="minorEastAsia" w:hAnsiTheme="minorEastAsia" w:eastAsiaTheme="minorEastAsia"/>
          <w:b/>
          <w:bCs/>
          <w:sz w:val="36"/>
          <w:szCs w:val="36"/>
          <w:lang w:val="zh-CN"/>
        </w:rPr>
      </w:pPr>
    </w:p>
    <w:p w14:paraId="1FEC727A">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7722EFEA">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77B7ED96">
      <w:pPr>
        <w:autoSpaceDE w:val="0"/>
        <w:autoSpaceDN w:val="0"/>
        <w:adjustRightInd w:val="0"/>
        <w:spacing w:line="360" w:lineRule="auto"/>
        <w:ind w:firstLine="723"/>
        <w:jc w:val="center"/>
        <w:rPr>
          <w:rFonts w:asciiTheme="minorEastAsia" w:hAnsiTheme="minorEastAsia" w:eastAsiaTheme="minorEastAsia"/>
          <w:b/>
          <w:bCs/>
          <w:sz w:val="36"/>
          <w:szCs w:val="36"/>
          <w:lang w:val="zh-CN"/>
        </w:rPr>
      </w:pPr>
    </w:p>
    <w:p w14:paraId="271F7289">
      <w:pPr>
        <w:autoSpaceDE w:val="0"/>
        <w:autoSpaceDN w:val="0"/>
        <w:adjustRightInd w:val="0"/>
        <w:snapToGrid w:val="0"/>
        <w:spacing w:line="360" w:lineRule="auto"/>
        <w:ind w:firstLine="720"/>
        <w:rPr>
          <w:rFonts w:asciiTheme="minorEastAsia" w:hAnsiTheme="minorEastAsia" w:eastAsiaTheme="minorEastAsia"/>
          <w:sz w:val="36"/>
          <w:szCs w:val="36"/>
          <w:lang w:val="zh-CN"/>
        </w:rPr>
      </w:pPr>
    </w:p>
    <w:p w14:paraId="7FF4BD97">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sectPr>
          <w:footerReference r:id="rId3" w:type="default"/>
          <w:pgSz w:w="11906" w:h="16838"/>
          <w:pgMar w:top="1134" w:right="1800" w:bottom="1134" w:left="1800" w:header="851" w:footer="992" w:gutter="0"/>
          <w:pgNumType w:fmt="numberInDash" w:start="1"/>
          <w:cols w:space="720" w:num="1"/>
          <w:docGrid w:type="lines" w:linePitch="312" w:charSpace="0"/>
        </w:sectPr>
      </w:pPr>
    </w:p>
    <w:p w14:paraId="0D7D061A">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pPr>
    </w:p>
    <w:p w14:paraId="0DC95134">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t xml:space="preserve">第一部分 </w:t>
      </w:r>
      <w:r>
        <w:rPr>
          <w:rFonts w:hint="eastAsia" w:asciiTheme="minorEastAsia" w:hAnsiTheme="minorEastAsia" w:eastAsiaTheme="minorEastAsia"/>
          <w:sz w:val="36"/>
          <w:szCs w:val="36"/>
        </w:rPr>
        <w:t>比选公告</w:t>
      </w:r>
    </w:p>
    <w:p w14:paraId="0FB07BDA">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sz w:val="24"/>
          <w:u w:val="single"/>
        </w:rPr>
        <w:t>南通市市政设施管理处2025年度彩浆封层、颗粒封层项目</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w:t>
      </w:r>
      <w:r>
        <w:rPr>
          <w:rFonts w:hint="eastAsia" w:asciiTheme="minorEastAsia" w:hAnsiTheme="minorEastAsia" w:eastAsiaTheme="minorEastAsia"/>
          <w:sz w:val="24"/>
        </w:rPr>
        <w:t>比选</w:t>
      </w:r>
      <w:r>
        <w:rPr>
          <w:rFonts w:asciiTheme="minorEastAsia" w:hAnsiTheme="minorEastAsia" w:eastAsiaTheme="minorEastAsia"/>
          <w:sz w:val="24"/>
        </w:rPr>
        <w:t>文件，并于</w:t>
      </w:r>
      <w:r>
        <w:rPr>
          <w:rFonts w:hint="eastAsia" w:asciiTheme="minorEastAsia" w:hAnsiTheme="minorEastAsia" w:eastAsiaTheme="minorEastAsia"/>
          <w:b/>
          <w:bCs/>
          <w:color w:val="auto"/>
          <w:sz w:val="24"/>
          <w:highlight w:val="none"/>
          <w:u w:val="single"/>
        </w:rPr>
        <w:t>2025年</w:t>
      </w:r>
      <w:r>
        <w:rPr>
          <w:rFonts w:hint="eastAsia" w:asciiTheme="minorEastAsia" w:hAnsiTheme="minorEastAsia" w:eastAsiaTheme="minorEastAsia"/>
          <w:b/>
          <w:bCs/>
          <w:color w:val="auto"/>
          <w:sz w:val="24"/>
          <w:highlight w:val="none"/>
          <w:u w:val="single"/>
          <w:lang w:val="en-US" w:eastAsia="zh-CN"/>
        </w:rPr>
        <w:t>8</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21</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14</w:t>
      </w:r>
      <w:r>
        <w:rPr>
          <w:rFonts w:hint="eastAsia" w:asciiTheme="minorEastAsia" w:hAnsiTheme="minorEastAsia" w:eastAsiaTheme="minorEastAsia"/>
          <w:b/>
          <w:bCs/>
          <w:color w:val="auto"/>
          <w:sz w:val="24"/>
          <w:highlight w:val="none"/>
          <w:u w:val="single"/>
        </w:rPr>
        <w:t>点</w:t>
      </w:r>
      <w:r>
        <w:rPr>
          <w:rFonts w:hint="eastAsia" w:asciiTheme="minorEastAsia" w:hAnsiTheme="minorEastAsia" w:eastAsiaTheme="minorEastAsia"/>
          <w:b/>
          <w:bCs/>
          <w:color w:val="auto"/>
          <w:sz w:val="24"/>
          <w:highlight w:val="none"/>
          <w:u w:val="single"/>
          <w:lang w:val="en-US" w:eastAsia="zh-CN"/>
        </w:rPr>
        <w:t>30</w:t>
      </w:r>
      <w:r>
        <w:rPr>
          <w:rFonts w:hint="eastAsia" w:asciiTheme="minorEastAsia" w:hAnsiTheme="minorEastAsia" w:eastAsiaTheme="minorEastAsia"/>
          <w:b/>
          <w:bCs/>
          <w:color w:val="auto"/>
          <w:sz w:val="24"/>
          <w:highlight w:val="none"/>
          <w:u w:val="single"/>
        </w:rPr>
        <w:t>分</w:t>
      </w:r>
      <w:r>
        <w:rPr>
          <w:rFonts w:asciiTheme="minorEastAsia" w:hAnsiTheme="minorEastAsia" w:eastAsiaTheme="minorEastAsia"/>
          <w:color w:val="auto"/>
          <w:sz w:val="24"/>
          <w:highlight w:val="none"/>
        </w:rPr>
        <w:t>（北京时间）前提交响应文件。</w:t>
      </w:r>
    </w:p>
    <w:p w14:paraId="46413E06">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asciiTheme="minorEastAsia" w:hAnsiTheme="minorEastAsia" w:eastAsiaTheme="minorEastAsia"/>
          <w:b/>
          <w:spacing w:val="7"/>
          <w:kern w:val="0"/>
          <w:sz w:val="24"/>
        </w:rPr>
        <w:t>一、项目基本情况</w:t>
      </w:r>
    </w:p>
    <w:p w14:paraId="5C6995C5">
      <w:pPr>
        <w:adjustRightInd w:val="0"/>
        <w:snapToGrid w:val="0"/>
        <w:spacing w:line="44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1、项目编号：</w:t>
      </w:r>
      <w:r>
        <w:rPr>
          <w:rFonts w:asciiTheme="minorEastAsia" w:hAnsiTheme="minorEastAsia" w:eastAsiaTheme="minorEastAsia"/>
          <w:sz w:val="24"/>
        </w:rPr>
        <w:t>ZJJ2025030</w:t>
      </w:r>
    </w:p>
    <w:p w14:paraId="26D51044">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2、项目名称：南通市市政设施管理处2025年度彩浆封层、颗粒封层项目</w:t>
      </w:r>
    </w:p>
    <w:p w14:paraId="4B783B7E">
      <w:pPr>
        <w:adjustRightInd w:val="0"/>
        <w:snapToGrid w:val="0"/>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3、所属行业：工程</w:t>
      </w:r>
    </w:p>
    <w:p w14:paraId="5F6DBB42">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rPr>
        <w:t>4、预算金额：</w:t>
      </w:r>
      <w:r>
        <w:rPr>
          <w:rFonts w:hint="eastAsia" w:cs="宋体" w:asciiTheme="minorEastAsia" w:hAnsiTheme="minorEastAsia" w:eastAsiaTheme="minorEastAsia"/>
          <w:color w:val="auto"/>
          <w:sz w:val="24"/>
        </w:rPr>
        <w:t>约55万元</w:t>
      </w:r>
    </w:p>
    <w:p w14:paraId="5329CC49">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5、最高限价：本项目采用下浮率报价，详见第三部分“项目需求”。</w:t>
      </w:r>
    </w:p>
    <w:p w14:paraId="7C3F0B24">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6、采购需求：详见采购文件第三部分“项目需求”，请仔细研究。</w:t>
      </w:r>
    </w:p>
    <w:p w14:paraId="599079CB">
      <w:pPr>
        <w:adjustRightInd w:val="0"/>
        <w:snapToGrid w:val="0"/>
        <w:spacing w:line="440" w:lineRule="exact"/>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7、</w:t>
      </w:r>
      <w:r>
        <w:rPr>
          <w:rFonts w:hint="eastAsia" w:asciiTheme="minorEastAsia" w:hAnsiTheme="minorEastAsia" w:eastAsiaTheme="minorEastAsia"/>
          <w:color w:val="auto"/>
          <w:sz w:val="24"/>
          <w:lang w:val="en-US" w:eastAsia="zh-CN"/>
        </w:rPr>
        <w:t>服务期限</w:t>
      </w:r>
      <w:r>
        <w:rPr>
          <w:rFonts w:hint="eastAsia" w:asciiTheme="minorEastAsia" w:hAnsiTheme="minorEastAsia" w:eastAsiaTheme="minorEastAsia"/>
          <w:color w:val="auto"/>
          <w:sz w:val="24"/>
        </w:rPr>
        <w:t>：</w:t>
      </w:r>
      <w:r>
        <w:rPr>
          <w:rFonts w:hint="eastAsia" w:ascii="宋体" w:hAnsi="宋体" w:cs="宋体"/>
          <w:color w:val="auto"/>
          <w:sz w:val="24"/>
        </w:rPr>
        <w:t>自合同签订之日起1年或服务期1年内合同结算总金额达到55万元，则合同终止</w:t>
      </w:r>
      <w:r>
        <w:rPr>
          <w:rFonts w:hint="eastAsia" w:asciiTheme="minorEastAsia" w:hAnsiTheme="minorEastAsia" w:eastAsiaTheme="minorEastAsia"/>
          <w:color w:val="auto"/>
          <w:sz w:val="24"/>
        </w:rPr>
        <w:t>。</w:t>
      </w:r>
    </w:p>
    <w:p w14:paraId="5D577811">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4E5E4BFD">
      <w:pPr>
        <w:pStyle w:val="80"/>
        <w:spacing w:line="440" w:lineRule="exact"/>
        <w:ind w:firstLine="480"/>
        <w:rPr>
          <w:rFonts w:hint="eastAsia" w:cs="宋体" w:asciiTheme="minorEastAsia" w:hAnsiTheme="minorEastAsia" w:eastAsiaTheme="minorEastAsia"/>
          <w:sz w:val="24"/>
        </w:rPr>
      </w:pPr>
      <w:bookmarkStart w:id="0" w:name="_Toc86915687"/>
      <w:r>
        <w:rPr>
          <w:rFonts w:hint="eastAsia" w:cs="宋体" w:asciiTheme="minorEastAsia" w:hAnsiTheme="minorEastAsia"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参加本次比选活动前三年内，在经营活动中没有重大违法记录；</w:t>
      </w:r>
    </w:p>
    <w:p w14:paraId="2FC6DF16">
      <w:pPr>
        <w:pStyle w:val="80"/>
        <w:spacing w:line="440" w:lineRule="exact"/>
        <w:ind w:firstLine="480"/>
        <w:rPr>
          <w:rFonts w:asciiTheme="minorEastAsia" w:hAnsiTheme="minorEastAsia" w:eastAsiaTheme="minorEastAsia"/>
          <w:sz w:val="24"/>
        </w:rPr>
      </w:pPr>
      <w:r>
        <w:rPr>
          <w:rFonts w:hint="eastAsia" w:cs="宋体" w:asciiTheme="minorEastAsia" w:hAnsiTheme="minorEastAsia" w:eastAsiaTheme="minorEastAsia"/>
          <w:sz w:val="24"/>
          <w:szCs w:val="24"/>
        </w:rPr>
        <w:t>2、本项目的特定资格要求:</w:t>
      </w:r>
    </w:p>
    <w:p w14:paraId="74B92C5B">
      <w:pPr>
        <w:pStyle w:val="80"/>
        <w:spacing w:line="440" w:lineRule="exact"/>
        <w:ind w:firstLine="482"/>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（1）具备建设主管部门颁发的市政公用工程施工总承包叁级及以上资质。</w:t>
      </w:r>
    </w:p>
    <w:p w14:paraId="56B730E4">
      <w:pPr>
        <w:pStyle w:val="80"/>
        <w:spacing w:line="440" w:lineRule="exact"/>
        <w:ind w:firstLine="482"/>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（2）企业具备安全产生条件，并取得有效的安全生产许可证。</w:t>
      </w:r>
    </w:p>
    <w:p w14:paraId="27AC149D">
      <w:pPr>
        <w:pStyle w:val="80"/>
        <w:spacing w:line="440" w:lineRule="exact"/>
        <w:ind w:firstLine="482"/>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（3）供应商拟派项目负责人须具备市政公用工程专业二级及以上注册建造师，同时具有安全生产考核合格证（B证），且为投标企业正式员工。 </w:t>
      </w:r>
    </w:p>
    <w:p w14:paraId="26E23079">
      <w:pPr>
        <w:pStyle w:val="80"/>
        <w:spacing w:line="440" w:lineRule="exact"/>
        <w:ind w:firstLine="482"/>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b/>
          <w:color w:val="auto"/>
          <w:sz w:val="24"/>
          <w:lang w:val="en-US" w:eastAsia="zh-CN"/>
        </w:rPr>
        <w:t>4</w:t>
      </w:r>
      <w:r>
        <w:rPr>
          <w:rFonts w:hint="eastAsia" w:cs="宋体" w:asciiTheme="minorEastAsia" w:hAnsiTheme="minorEastAsia" w:eastAsiaTheme="minorEastAsia"/>
          <w:b/>
          <w:color w:val="auto"/>
          <w:sz w:val="24"/>
          <w:lang w:eastAsia="zh-CN"/>
        </w:rPr>
        <w:t>）</w:t>
      </w:r>
      <w:r>
        <w:rPr>
          <w:rFonts w:hint="eastAsia" w:ascii="宋体" w:hAnsi="宋体"/>
          <w:b/>
          <w:bCs/>
          <w:color w:val="auto"/>
          <w:sz w:val="24"/>
          <w:szCs w:val="24"/>
          <w:highlight w:val="none"/>
          <w:lang w:eastAsia="zh-CN"/>
        </w:rPr>
        <w:t>202</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年1月</w:t>
      </w:r>
      <w:r>
        <w:rPr>
          <w:rFonts w:hint="eastAsia" w:ascii="宋体" w:hAnsi="宋体"/>
          <w:b/>
          <w:bCs/>
          <w:color w:val="auto"/>
          <w:sz w:val="24"/>
          <w:szCs w:val="24"/>
          <w:highlight w:val="none"/>
          <w:lang w:val="en-US" w:eastAsia="zh-CN"/>
        </w:rPr>
        <w:t>1日</w:t>
      </w:r>
      <w:r>
        <w:rPr>
          <w:rFonts w:hint="eastAsia" w:ascii="宋体" w:hAnsi="宋体"/>
          <w:b/>
          <w:bCs/>
          <w:color w:val="auto"/>
          <w:sz w:val="24"/>
          <w:szCs w:val="24"/>
          <w:highlight w:val="none"/>
          <w:lang w:eastAsia="zh-CN"/>
        </w:rPr>
        <w:t>至投标截止日（以“合同签订”日期为准）投标单位需</w:t>
      </w:r>
      <w:r>
        <w:rPr>
          <w:rFonts w:hint="eastAsia" w:ascii="宋体" w:hAnsi="宋体"/>
          <w:b/>
          <w:bCs/>
          <w:color w:val="auto"/>
          <w:sz w:val="24"/>
          <w:szCs w:val="24"/>
          <w:highlight w:val="none"/>
          <w:lang w:val="en-US" w:eastAsia="zh-CN"/>
        </w:rPr>
        <w:t>提供</w:t>
      </w:r>
      <w:r>
        <w:rPr>
          <w:rFonts w:hint="eastAsia" w:ascii="宋体" w:hAnsi="宋体"/>
          <w:b/>
          <w:bCs/>
          <w:color w:val="auto"/>
          <w:sz w:val="24"/>
          <w:szCs w:val="24"/>
          <w:highlight w:val="none"/>
          <w:lang w:eastAsia="zh-CN"/>
        </w:rPr>
        <w:t>承担过</w:t>
      </w:r>
      <w:r>
        <w:rPr>
          <w:rFonts w:hint="eastAsia"/>
          <w:b/>
          <w:bCs/>
          <w:color w:val="auto"/>
          <w:sz w:val="24"/>
          <w:szCs w:val="24"/>
          <w:highlight w:val="none"/>
          <w:lang w:val="en-US" w:eastAsia="zh-CN"/>
        </w:rPr>
        <w:t>类似</w:t>
      </w:r>
      <w:r>
        <w:rPr>
          <w:rFonts w:hint="eastAsia" w:ascii="宋体" w:hAnsi="宋体"/>
          <w:b/>
          <w:bCs/>
          <w:color w:val="auto"/>
          <w:sz w:val="24"/>
          <w:szCs w:val="24"/>
          <w:highlight w:val="none"/>
          <w:lang w:eastAsia="zh-CN"/>
        </w:rPr>
        <w:t>彩浆封层、颗粒封层施工项目</w:t>
      </w:r>
      <w:r>
        <w:rPr>
          <w:rFonts w:hint="eastAsia" w:ascii="宋体" w:hAnsi="宋体"/>
          <w:b/>
          <w:bCs/>
          <w:color w:val="auto"/>
          <w:sz w:val="24"/>
          <w:szCs w:val="24"/>
          <w:highlight w:val="none"/>
          <w:lang w:val="en-US" w:eastAsia="zh-CN"/>
        </w:rPr>
        <w:t>相关</w:t>
      </w:r>
      <w:r>
        <w:rPr>
          <w:rFonts w:hint="eastAsia" w:ascii="宋体" w:hAnsi="宋体"/>
          <w:b/>
          <w:bCs/>
          <w:color w:val="auto"/>
          <w:sz w:val="24"/>
          <w:szCs w:val="24"/>
          <w:highlight w:val="none"/>
          <w:lang w:eastAsia="zh-CN"/>
        </w:rPr>
        <w:t>的业绩。</w:t>
      </w:r>
    </w:p>
    <w:p w14:paraId="56E929AF">
      <w:pPr>
        <w:pStyle w:val="22"/>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3、本项目不接受联合体投标。</w:t>
      </w:r>
    </w:p>
    <w:bookmarkEnd w:id="0"/>
    <w:p w14:paraId="6E572B73">
      <w:pPr>
        <w:adjustRightInd w:val="0"/>
        <w:snapToGrid w:val="0"/>
        <w:spacing w:line="440" w:lineRule="exact"/>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三、</w:t>
      </w:r>
      <w:r>
        <w:rPr>
          <w:rFonts w:hint="eastAsia" w:cs="宋体" w:asciiTheme="minorEastAsia" w:hAnsiTheme="minorEastAsia" w:eastAsiaTheme="minorEastAsia"/>
          <w:b/>
          <w:sz w:val="24"/>
        </w:rPr>
        <w:t>比选公告期限</w:t>
      </w:r>
    </w:p>
    <w:p w14:paraId="31019624">
      <w:pPr>
        <w:adjustRightInd w:val="0"/>
        <w:snapToGrid w:val="0"/>
        <w:spacing w:line="44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自比选公告在南通市住房和城乡建设局官网发布之日起至开标截止时间止。</w:t>
      </w:r>
    </w:p>
    <w:p w14:paraId="6ED9648A">
      <w:pPr>
        <w:adjustRightInd w:val="0"/>
        <w:snapToGrid w:val="0"/>
        <w:spacing w:line="440" w:lineRule="exact"/>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四、比选保证金：本项目不涉及。</w:t>
      </w:r>
    </w:p>
    <w:p w14:paraId="7A81C829">
      <w:pPr>
        <w:adjustRightInd w:val="0"/>
        <w:snapToGrid w:val="0"/>
        <w:spacing w:line="44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五、响应文件提交</w:t>
      </w:r>
    </w:p>
    <w:p w14:paraId="3E1D6868">
      <w:pPr>
        <w:adjustRightInd w:val="0"/>
        <w:snapToGrid w:val="0"/>
        <w:spacing w:line="440" w:lineRule="exact"/>
        <w:ind w:firstLine="480" w:firstLineChars="200"/>
        <w:rPr>
          <w:rFonts w:hint="eastAsia" w:asciiTheme="minorEastAsia" w:hAnsiTheme="minorEastAsia" w:eastAsiaTheme="minorEastAsia"/>
          <w:b/>
          <w:sz w:val="24"/>
        </w:rPr>
      </w:pPr>
      <w:r>
        <w:rPr>
          <w:rFonts w:hint="eastAsia" w:cs="宋体" w:asciiTheme="minorEastAsia" w:hAnsiTheme="minorEastAsia" w:eastAsiaTheme="minorEastAsia"/>
          <w:sz w:val="24"/>
        </w:rPr>
        <w:t>1.获取比选文件：</w:t>
      </w:r>
    </w:p>
    <w:p w14:paraId="69C9C099">
      <w:pPr>
        <w:adjustRightInd w:val="0"/>
        <w:snapToGrid w:val="0"/>
        <w:spacing w:line="440" w:lineRule="exact"/>
        <w:ind w:firstLine="480" w:firstLineChars="200"/>
        <w:rPr>
          <w:rFonts w:hint="eastAsia" w:asciiTheme="minorEastAsia" w:hAnsiTheme="minorEastAsia" w:eastAsiaTheme="minorEastAsia"/>
          <w:b/>
          <w:sz w:val="24"/>
        </w:rPr>
      </w:pPr>
      <w:r>
        <w:rPr>
          <w:rFonts w:hint="eastAsia" w:cs="宋体" w:asciiTheme="minorEastAsia" w:hAnsiTheme="minorEastAsia" w:eastAsiaTheme="minorEastAsia"/>
          <w:sz w:val="24"/>
        </w:rPr>
        <w:t>时间：本项目挂网之日起至开标截止时间止</w:t>
      </w:r>
    </w:p>
    <w:p w14:paraId="0739758E">
      <w:pPr>
        <w:adjustRightInd w:val="0"/>
        <w:snapToGrid w:val="0"/>
        <w:spacing w:line="440" w:lineRule="exact"/>
        <w:ind w:firstLine="480" w:firstLineChars="200"/>
        <w:rPr>
          <w:rFonts w:hint="eastAsia" w:asciiTheme="minorEastAsia" w:hAnsiTheme="minorEastAsia" w:eastAsiaTheme="minorEastAsia"/>
          <w:b/>
          <w:sz w:val="24"/>
        </w:rPr>
      </w:pPr>
      <w:r>
        <w:rPr>
          <w:rFonts w:hint="eastAsia" w:cs="宋体" w:asciiTheme="minorEastAsia" w:hAnsiTheme="minorEastAsia" w:eastAsiaTheme="minorEastAsia"/>
          <w:sz w:val="24"/>
        </w:rPr>
        <w:t>地点：南通市住房和城乡建设局官网</w:t>
      </w:r>
    </w:p>
    <w:p w14:paraId="77510282">
      <w:pPr>
        <w:adjustRightInd w:val="0"/>
        <w:snapToGrid w:val="0"/>
        <w:spacing w:line="440" w:lineRule="exact"/>
        <w:ind w:firstLine="480" w:firstLineChars="200"/>
        <w:rPr>
          <w:rFonts w:hint="eastAsia" w:asciiTheme="minorEastAsia" w:hAnsiTheme="minorEastAsia" w:eastAsiaTheme="minorEastAsia"/>
          <w:b/>
          <w:sz w:val="24"/>
        </w:rPr>
      </w:pPr>
      <w:r>
        <w:rPr>
          <w:rFonts w:hint="eastAsia" w:cs="宋体" w:asciiTheme="minorEastAsia" w:hAnsiTheme="minorEastAsia" w:eastAsiaTheme="minorEastAsia"/>
          <w:sz w:val="24"/>
        </w:rPr>
        <w:t>方式：自行下载比选文件</w:t>
      </w:r>
    </w:p>
    <w:p w14:paraId="653E3ADF">
      <w:pPr>
        <w:adjustRightInd w:val="0"/>
        <w:snapToGrid w:val="0"/>
        <w:spacing w:line="440" w:lineRule="exact"/>
        <w:ind w:firstLine="482" w:firstLineChars="200"/>
        <w:rPr>
          <w:rFonts w:hint="eastAsia" w:asciiTheme="minorEastAsia" w:hAnsiTheme="minorEastAsia" w:eastAsiaTheme="minorEastAsia"/>
          <w:b/>
          <w:sz w:val="24"/>
        </w:rPr>
      </w:pPr>
      <w:r>
        <w:rPr>
          <w:rFonts w:hint="eastAsia" w:cs="宋体" w:asciiTheme="minorEastAsia" w:hAnsiTheme="minorEastAsia" w:eastAsiaTheme="minorEastAsia"/>
          <w:b/>
          <w:sz w:val="24"/>
        </w:rPr>
        <w:t>六、提交响应文件截止时间、比选时间和地点</w:t>
      </w:r>
    </w:p>
    <w:p w14:paraId="6C85F61B">
      <w:pPr>
        <w:adjustRightInd w:val="0"/>
        <w:snapToGrid w:val="0"/>
        <w:spacing w:line="440" w:lineRule="exact"/>
        <w:ind w:firstLine="480" w:firstLineChars="200"/>
        <w:rPr>
          <w:rFonts w:asciiTheme="minorEastAsia" w:hAnsiTheme="minorEastAsia" w:eastAsiaTheme="minorEastAsia"/>
          <w:b/>
          <w:color w:val="auto"/>
          <w:sz w:val="24"/>
        </w:rPr>
      </w:pPr>
      <w:r>
        <w:rPr>
          <w:rFonts w:hint="eastAsia" w:cs="宋体" w:asciiTheme="minorEastAsia" w:hAnsiTheme="minorEastAsia" w:eastAsiaTheme="minorEastAsia"/>
          <w:color w:val="auto"/>
          <w:sz w:val="24"/>
        </w:rPr>
        <w:t>截止时间及开标时间：</w:t>
      </w:r>
      <w:r>
        <w:rPr>
          <w:rFonts w:hint="eastAsia" w:cs="宋体" w:asciiTheme="minorEastAsia" w:hAnsiTheme="minorEastAsia" w:eastAsiaTheme="minorEastAsia"/>
          <w:b/>
          <w:bCs/>
          <w:color w:val="auto"/>
          <w:sz w:val="24"/>
        </w:rPr>
        <w:t>2025年</w:t>
      </w:r>
      <w:r>
        <w:rPr>
          <w:rFonts w:hint="eastAsia" w:cs="宋体" w:asciiTheme="minorEastAsia" w:hAnsiTheme="minorEastAsia" w:eastAsiaTheme="minorEastAsia"/>
          <w:b/>
          <w:bCs/>
          <w:color w:val="auto"/>
          <w:sz w:val="24"/>
          <w:lang w:val="en-US" w:eastAsia="zh-CN"/>
        </w:rPr>
        <w:t>8</w:t>
      </w:r>
      <w:r>
        <w:rPr>
          <w:rFonts w:hint="eastAsia" w:cs="宋体" w:asciiTheme="minorEastAsia" w:hAnsiTheme="minorEastAsia" w:eastAsiaTheme="minorEastAsia"/>
          <w:b/>
          <w:bCs/>
          <w:color w:val="auto"/>
          <w:sz w:val="24"/>
        </w:rPr>
        <w:t>月</w:t>
      </w:r>
      <w:r>
        <w:rPr>
          <w:rFonts w:hint="eastAsia" w:cs="宋体" w:asciiTheme="minorEastAsia" w:hAnsiTheme="minorEastAsia" w:eastAsiaTheme="minorEastAsia"/>
          <w:b/>
          <w:bCs/>
          <w:color w:val="auto"/>
          <w:sz w:val="24"/>
          <w:lang w:val="en-US" w:eastAsia="zh-CN"/>
        </w:rPr>
        <w:t>21</w:t>
      </w:r>
      <w:r>
        <w:rPr>
          <w:rFonts w:hint="eastAsia" w:cs="宋体" w:asciiTheme="minorEastAsia" w:hAnsiTheme="minorEastAsia" w:eastAsiaTheme="minorEastAsia"/>
          <w:b/>
          <w:bCs/>
          <w:color w:val="auto"/>
          <w:sz w:val="24"/>
        </w:rPr>
        <w:t>日</w:t>
      </w:r>
      <w:r>
        <w:rPr>
          <w:rFonts w:hint="eastAsia" w:cs="宋体" w:asciiTheme="minorEastAsia" w:hAnsiTheme="minorEastAsia" w:eastAsiaTheme="minorEastAsia"/>
          <w:b/>
          <w:bCs/>
          <w:color w:val="auto"/>
          <w:sz w:val="24"/>
          <w:lang w:val="en-US" w:eastAsia="zh-CN"/>
        </w:rPr>
        <w:t>14</w:t>
      </w:r>
      <w:r>
        <w:rPr>
          <w:rFonts w:hint="eastAsia" w:cs="宋体" w:asciiTheme="minorEastAsia" w:hAnsiTheme="minorEastAsia" w:eastAsiaTheme="minorEastAsia"/>
          <w:b/>
          <w:bCs/>
          <w:color w:val="auto"/>
          <w:sz w:val="24"/>
        </w:rPr>
        <w:t>点</w:t>
      </w:r>
      <w:r>
        <w:rPr>
          <w:rFonts w:hint="eastAsia" w:cs="宋体" w:asciiTheme="minorEastAsia" w:hAnsiTheme="minorEastAsia" w:eastAsiaTheme="minorEastAsia"/>
          <w:b/>
          <w:bCs/>
          <w:color w:val="auto"/>
          <w:sz w:val="24"/>
          <w:lang w:val="en-US" w:eastAsia="zh-CN"/>
        </w:rPr>
        <w:t>30</w:t>
      </w:r>
      <w:bookmarkStart w:id="16" w:name="_GoBack"/>
      <w:bookmarkEnd w:id="16"/>
      <w:r>
        <w:rPr>
          <w:rFonts w:hint="eastAsia" w:cs="宋体" w:asciiTheme="minorEastAsia" w:hAnsiTheme="minorEastAsia" w:eastAsiaTheme="minorEastAsia"/>
          <w:b/>
          <w:bCs/>
          <w:color w:val="auto"/>
          <w:sz w:val="24"/>
        </w:rPr>
        <w:t>分</w:t>
      </w:r>
    </w:p>
    <w:p w14:paraId="1F39F1B7">
      <w:pPr>
        <w:pStyle w:val="8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地点：</w:t>
      </w:r>
      <w:r>
        <w:rPr>
          <w:rFonts w:hint="eastAsia" w:cs="宋体" w:asciiTheme="minorEastAsia" w:hAnsiTheme="minorEastAsia" w:eastAsiaTheme="minorEastAsia"/>
          <w:sz w:val="24"/>
          <w:szCs w:val="24"/>
        </w:rPr>
        <w:t>响应供应商自行选择任意地点参加远程开标会</w:t>
      </w:r>
    </w:p>
    <w:p w14:paraId="68109EA4">
      <w:pPr>
        <w:widowControl/>
        <w:adjustRightInd w:val="0"/>
        <w:snapToGrid w:val="0"/>
        <w:spacing w:line="360" w:lineRule="auto"/>
        <w:ind w:firstLine="472" w:firstLineChars="196"/>
        <w:jc w:val="left"/>
        <w:rPr>
          <w:rFonts w:cs="宋体" w:asciiTheme="minorEastAsia" w:hAnsiTheme="minorEastAsia" w:eastAsiaTheme="minorEastAsia"/>
          <w:b/>
          <w:sz w:val="24"/>
        </w:rPr>
      </w:pPr>
      <w:r>
        <w:rPr>
          <w:rFonts w:hint="eastAsia" w:cs="宋体" w:asciiTheme="minorEastAsia" w:hAnsiTheme="minorEastAsia" w:eastAsiaTheme="minorEastAsia"/>
          <w:b/>
          <w:sz w:val="24"/>
        </w:rPr>
        <w:t>递交方式：各潜在投标供应商在开标截止时间前将电子投标文件以PDF的文件格式分“资</w:t>
      </w:r>
      <w:r>
        <w:rPr>
          <w:rFonts w:hint="eastAsia" w:cs="宋体" w:asciiTheme="minorEastAsia" w:hAnsiTheme="minorEastAsia" w:eastAsiaTheme="minorEastAsia"/>
          <w:b/>
          <w:bCs/>
          <w:sz w:val="24"/>
        </w:rPr>
        <w:t>格审查证明材料</w:t>
      </w:r>
      <w:r>
        <w:rPr>
          <w:rFonts w:hint="eastAsia" w:cs="宋体" w:asciiTheme="minorEastAsia" w:hAnsiTheme="minorEastAsia" w:eastAsiaTheme="minorEastAsia"/>
          <w:b/>
          <w:sz w:val="24"/>
        </w:rPr>
        <w:t>、</w:t>
      </w:r>
      <w:r>
        <w:rPr>
          <w:rFonts w:hint="eastAsia" w:cs="宋体" w:asciiTheme="minorEastAsia" w:hAnsiTheme="minorEastAsia" w:eastAsiaTheme="minorEastAsia"/>
          <w:b/>
          <w:bCs/>
          <w:sz w:val="24"/>
        </w:rPr>
        <w:t>价格文件</w:t>
      </w:r>
      <w:r>
        <w:rPr>
          <w:rFonts w:hint="eastAsia" w:cs="宋体" w:asciiTheme="minorEastAsia" w:hAnsiTheme="minorEastAsia" w:eastAsiaTheme="minorEastAsia"/>
          <w:b/>
          <w:sz w:val="24"/>
        </w:rPr>
        <w:t>”二个包单独加密码并注明投标供应商名称（文件名分别为：“×××公司+资格审查证明材料”、</w:t>
      </w:r>
      <w:r>
        <w:rPr>
          <w:rFonts w:hint="eastAsia" w:cs="宋体" w:asciiTheme="minorEastAsia" w:hAnsiTheme="minorEastAsia" w:eastAsiaTheme="minorEastAsia"/>
          <w:b/>
          <w:bCs/>
          <w:sz w:val="24"/>
        </w:rPr>
        <w:t>“</w:t>
      </w:r>
      <w:r>
        <w:rPr>
          <w:rFonts w:hint="eastAsia" w:cs="宋体" w:asciiTheme="minorEastAsia" w:hAnsiTheme="minorEastAsia" w:eastAsiaTheme="minorEastAsia"/>
          <w:b/>
          <w:sz w:val="24"/>
        </w:rPr>
        <w:t>×××公司+</w:t>
      </w:r>
      <w:r>
        <w:rPr>
          <w:rFonts w:hint="eastAsia" w:cs="宋体" w:asciiTheme="minorEastAsia" w:hAnsiTheme="minorEastAsia" w:eastAsiaTheme="minorEastAsia"/>
          <w:b/>
          <w:bCs/>
          <w:sz w:val="24"/>
        </w:rPr>
        <w:t>价格文件”</w:t>
      </w:r>
      <w:r>
        <w:rPr>
          <w:rFonts w:hint="eastAsia" w:cs="宋体" w:asciiTheme="minorEastAsia" w:hAnsiTheme="minorEastAsia" w:eastAsiaTheme="minorEastAsia"/>
          <w:b/>
          <w:sz w:val="24"/>
        </w:rPr>
        <w:t>）发送至邮箱：81395315@qq.com 。逾期未发送的投标文件，采购人将不予受理。（注：</w:t>
      </w:r>
      <w:r>
        <w:rPr>
          <w:rFonts w:hint="eastAsia" w:cs="宋体" w:asciiTheme="minorEastAsia" w:hAnsiTheme="minorEastAsia" w:eastAsiaTheme="minorEastAsia"/>
          <w:b/>
          <w:bCs/>
          <w:sz w:val="24"/>
        </w:rPr>
        <w:t>邮件主题“项目名称+公司名称+授权委托人姓名+联系方式”，邮件内容应包含公司名称全称、联系人、职务、联系电话等，</w:t>
      </w:r>
      <w:r>
        <w:rPr>
          <w:rFonts w:hint="eastAsia" w:cs="宋体" w:asciiTheme="minorEastAsia" w:hAnsiTheme="minorEastAsia" w:eastAsiaTheme="minorEastAsia"/>
          <w:b/>
          <w:sz w:val="24"/>
        </w:rPr>
        <w:t>投标文件的密码请按</w:t>
      </w:r>
      <w:r>
        <w:rPr>
          <w:rFonts w:hint="eastAsia" w:cs="宋体" w:asciiTheme="minorEastAsia" w:hAnsiTheme="minorEastAsia" w:eastAsiaTheme="minorEastAsia"/>
          <w:b/>
          <w:bCs/>
          <w:sz w:val="24"/>
        </w:rPr>
        <w:t>“南通城建不见面开标群</w:t>
      </w:r>
      <w:r>
        <w:rPr>
          <w:rFonts w:hint="eastAsia" w:cs="宋体" w:asciiTheme="minorEastAsia" w:hAnsiTheme="minorEastAsia" w:eastAsiaTheme="minorEastAsia"/>
          <w:b/>
          <w:sz w:val="24"/>
        </w:rPr>
        <w:t>”里的提示，按时提交，当场解密开标）。</w:t>
      </w:r>
    </w:p>
    <w:p w14:paraId="214DFE3B">
      <w:pPr>
        <w:widowControl/>
        <w:adjustRightInd w:val="0"/>
        <w:snapToGrid w:val="0"/>
        <w:spacing w:line="360" w:lineRule="auto"/>
        <w:ind w:firstLine="472" w:firstLineChars="196"/>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注：为确保本项目远程开标时交互顺利，现提供QQ群作为本项目的备用远程交互群，群号为：</w:t>
      </w:r>
      <w:r>
        <w:rPr>
          <w:rFonts w:cs="宋体" w:asciiTheme="minorEastAsia" w:hAnsiTheme="minorEastAsia" w:eastAsiaTheme="minorEastAsia"/>
          <w:b/>
          <w:bCs/>
          <w:sz w:val="24"/>
        </w:rPr>
        <w:t>688296845</w:t>
      </w:r>
      <w:r>
        <w:rPr>
          <w:rFonts w:hint="eastAsia" w:cs="宋体" w:asciiTheme="minorEastAsia" w:hAnsiTheme="minorEastAsia" w:eastAsiaTheme="minorEastAsia"/>
          <w:b/>
          <w:bCs/>
          <w:sz w:val="24"/>
        </w:rPr>
        <w:t>，群名称为：南通城建不见面开标群，各投标供应商的授权委托人在开标前一小时内以“项目简称+单位全称+授权委托人姓名”的格式申请加入此群，并在入群后修改自己在群里的备注名称为“单位全称+授权委托人姓名”，在开评标全过程中，则以此QQ群作为远程交互工具进行实时交互，若此时投标供应商未加入QQ交互群，则视为不参与本次招标投标且无权对开评标全过程提疑。</w:t>
      </w:r>
    </w:p>
    <w:p w14:paraId="5B411D35">
      <w:pPr>
        <w:adjustRightInd w:val="0"/>
        <w:snapToGrid w:val="0"/>
        <w:spacing w:line="440" w:lineRule="exact"/>
        <w:ind w:firstLine="482"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
          <w:bCs/>
          <w:sz w:val="24"/>
        </w:rPr>
        <w:t>若投标供应商在提交响应文件截止时间前未加群或进群后未在规定的时间内签到，均视为不参与本次招标投标且无权对开评标全过程提疑；若投标供应商进群后在10分钟内无法与招标代理工作人员或采购人建立联系（无人应答或不作响应等），即视为投标供应商放弃交互权利。默认采购人可以不再通过其他方式与之建立联系，投标供应商将接受包括终止投标资格在内的任何处理结果，最终处置方式由采购人自行决定。</w:t>
      </w:r>
    </w:p>
    <w:p w14:paraId="75D0DA42">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、其他补充事宜</w:t>
      </w:r>
    </w:p>
    <w:p w14:paraId="529CECFF">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1、投标保证金：免收</w:t>
      </w:r>
    </w:p>
    <w:p w14:paraId="4834EFA4">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2、项目比选活动模式：不见面比选模式。</w:t>
      </w:r>
    </w:p>
    <w:p w14:paraId="6022DCD5">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3、项目演示、样品、答辩等（如有请描述）：无</w:t>
      </w:r>
    </w:p>
    <w:p w14:paraId="7383E1F2">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4、对项目需求部分（供应商资格要求、项目需求、商务技术评分标准）的询问、质疑请向采购人提出，由采购人负责答复；对项目比选文件其它部分的询问请向比选文件制作人或项目比选经办人提出。</w:t>
      </w:r>
    </w:p>
    <w:p w14:paraId="729FC264">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D2B5937">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八</w:t>
      </w:r>
      <w:r>
        <w:rPr>
          <w:rFonts w:asciiTheme="minorEastAsia" w:hAnsiTheme="minorEastAsia" w:eastAsiaTheme="minorEastAsia"/>
          <w:b/>
          <w:spacing w:val="7"/>
          <w:kern w:val="0"/>
          <w:sz w:val="24"/>
        </w:rPr>
        <w:t>、凡对本次采购提出询问，请按以下方式联系。</w:t>
      </w:r>
    </w:p>
    <w:p w14:paraId="1904FDF0">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1、采购人信息</w:t>
      </w:r>
    </w:p>
    <w:p w14:paraId="26C095AA">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名称：南通市市政设施管理处　</w:t>
      </w:r>
    </w:p>
    <w:p w14:paraId="272FE9D4">
      <w:pPr>
        <w:adjustRightInd w:val="0"/>
        <w:snapToGrid w:val="0"/>
        <w:spacing w:line="44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kern w:val="0"/>
          <w:sz w:val="24"/>
        </w:rPr>
        <w:t>江苏省南通市崇川</w:t>
      </w:r>
      <w:r>
        <w:rPr>
          <w:rFonts w:hint="eastAsia" w:cs="宋体" w:asciiTheme="minorEastAsia" w:hAnsiTheme="minorEastAsia" w:eastAsiaTheme="minorEastAsia"/>
          <w:sz w:val="24"/>
        </w:rPr>
        <w:t>区</w:t>
      </w:r>
      <w:r>
        <w:rPr>
          <w:rFonts w:hint="eastAsia" w:cs="宋体" w:asciiTheme="minorEastAsia" w:hAnsiTheme="minorEastAsia" w:eastAsiaTheme="minorEastAsia"/>
          <w:kern w:val="0"/>
          <w:sz w:val="24"/>
        </w:rPr>
        <w:t>人民西路428号</w:t>
      </w:r>
    </w:p>
    <w:p w14:paraId="1EB18035">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联系人：严先生</w:t>
      </w:r>
    </w:p>
    <w:p w14:paraId="20A5C4BB">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联系方式：0513-81169511</w:t>
      </w:r>
    </w:p>
    <w:p w14:paraId="017E42D5">
      <w:pPr>
        <w:numPr>
          <w:ilvl w:val="0"/>
          <w:numId w:val="1"/>
        </w:num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采购代理机构信息</w:t>
      </w:r>
    </w:p>
    <w:p w14:paraId="200E0802">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称：南通城建工程项目管理有限公司</w:t>
      </w:r>
    </w:p>
    <w:p w14:paraId="43C88D06">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地址：南通市崇川区世纪大道18号兴业大厦801室</w:t>
      </w:r>
    </w:p>
    <w:p w14:paraId="6B205AA5">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联系方式：包敏  0513-85502599</w:t>
      </w:r>
    </w:p>
    <w:p w14:paraId="396911D7">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电子邮箱： </w:t>
      </w:r>
      <w:r>
        <w:fldChar w:fldCharType="begin"/>
      </w:r>
      <w:r>
        <w:instrText xml:space="preserve"> HYPERLINK "mailto:357601028@qq.com" </w:instrText>
      </w:r>
      <w:r>
        <w:fldChar w:fldCharType="separate"/>
      </w:r>
      <w:r>
        <w:rPr>
          <w:rFonts w:hint="eastAsia" w:cs="宋体" w:asciiTheme="minorEastAsia" w:hAnsiTheme="minorEastAsia" w:eastAsiaTheme="minorEastAsia"/>
          <w:sz w:val="24"/>
        </w:rPr>
        <w:t>81395315@qq.com</w:t>
      </w:r>
      <w:r>
        <w:rPr>
          <w:rFonts w:hint="eastAsia" w:cs="宋体" w:asciiTheme="minorEastAsia" w:hAnsiTheme="minorEastAsia" w:eastAsiaTheme="minorEastAsia"/>
          <w:sz w:val="24"/>
        </w:rPr>
        <w:fldChar w:fldCharType="end"/>
      </w:r>
    </w:p>
    <w:p w14:paraId="355569A5">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w:t>
      </w:r>
    </w:p>
    <w:p w14:paraId="2D8E5505">
      <w:pPr>
        <w:spacing w:line="360" w:lineRule="auto"/>
        <w:ind w:firstLine="480" w:firstLineChars="200"/>
        <w:rPr>
          <w:rFonts w:cs="宋体" w:asciiTheme="minorEastAsia" w:hAnsiTheme="minorEastAsia" w:eastAsiaTheme="minorEastAsia"/>
          <w:sz w:val="24"/>
        </w:rPr>
      </w:pPr>
    </w:p>
    <w:p w14:paraId="60173D96">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534BDA5E">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p>
    <w:p w14:paraId="79844B64">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t>第二部分 比选须知</w:t>
      </w:r>
    </w:p>
    <w:p w14:paraId="46CE5731">
      <w:pPr>
        <w:autoSpaceDE w:val="0"/>
        <w:autoSpaceDN w:val="0"/>
        <w:adjustRightInd w:val="0"/>
        <w:snapToGrid w:val="0"/>
        <w:spacing w:line="360" w:lineRule="auto"/>
        <w:ind w:firstLine="482"/>
        <w:contextualSpacing/>
        <w:rPr>
          <w:rFonts w:asciiTheme="minorEastAsia" w:hAnsiTheme="minorEastAsia" w:eastAsiaTheme="minorEastAsia"/>
          <w:b/>
          <w:kern w:val="0"/>
          <w:sz w:val="24"/>
        </w:rPr>
      </w:pPr>
      <w:r>
        <w:rPr>
          <w:rFonts w:hint="eastAsia" w:asciiTheme="minorEastAsia" w:hAnsiTheme="minorEastAsia" w:eastAsiaTheme="minorEastAsia"/>
          <w:b/>
          <w:kern w:val="0"/>
          <w:sz w:val="24"/>
        </w:rPr>
        <w:t>一、本采购文件由采购人解释。</w:t>
      </w:r>
    </w:p>
    <w:p w14:paraId="7E82AE52">
      <w:pPr>
        <w:snapToGrid w:val="0"/>
        <w:spacing w:line="460" w:lineRule="exact"/>
        <w:ind w:firstLine="480" w:firstLineChars="200"/>
        <w:rPr>
          <w:rFonts w:ascii="宋体" w:hAnsi="宋体" w:cs="宋体"/>
          <w:sz w:val="24"/>
        </w:rPr>
      </w:pPr>
      <w:r>
        <w:rPr>
          <w:rFonts w:hint="eastAsia" w:ascii="宋体" w:hAnsi="宋体" w:cs="宋体"/>
          <w:sz w:val="24"/>
        </w:rPr>
        <w:t>1.供应商获取比选文件后，应仔细检查比选文件的所有内容，如有内容或页码残缺、资格要求和技术参数含有倾向性或排他性等表述的，请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4325BA5D">
      <w:pPr>
        <w:snapToGrid w:val="0"/>
        <w:spacing w:line="460" w:lineRule="exact"/>
        <w:ind w:firstLine="480" w:firstLineChars="200"/>
        <w:rPr>
          <w:rFonts w:hint="eastAsia" w:ascii="宋体" w:hAnsi="宋体" w:cs="宋体"/>
          <w:sz w:val="24"/>
        </w:rPr>
      </w:pPr>
      <w:r>
        <w:rPr>
          <w:rFonts w:hint="eastAsia" w:ascii="宋体" w:hAnsi="宋体" w:cs="宋体"/>
          <w:sz w:val="24"/>
        </w:rPr>
        <w:t>2.比选人应认真审阅采购文件中所有的事项、格式、条款和规范要求等，如果比选人没有按照采购文件要求提交比选响应文件，或者比选响应文件没有对采购文件做出实质性响应，其比选将被拒绝，比选人自行承担责任。</w:t>
      </w:r>
    </w:p>
    <w:p w14:paraId="2FC4AD32">
      <w:pPr>
        <w:snapToGrid w:val="0"/>
        <w:spacing w:line="460" w:lineRule="exact"/>
        <w:ind w:firstLine="482" w:firstLineChars="200"/>
        <w:rPr>
          <w:rFonts w:ascii="宋体" w:hAnsi="宋体" w:cs="宋体"/>
          <w:sz w:val="24"/>
        </w:rPr>
      </w:pPr>
      <w:r>
        <w:rPr>
          <w:rFonts w:hint="eastAsia" w:asciiTheme="minorEastAsia" w:hAnsiTheme="minorEastAsia" w:eastAsiaTheme="minorEastAsia"/>
          <w:b/>
          <w:bCs/>
          <w:sz w:val="24"/>
        </w:rPr>
        <w:t>二、采购文件的澄清、修改、答疑</w:t>
      </w:r>
    </w:p>
    <w:p w14:paraId="1064077B">
      <w:pPr>
        <w:snapToGrid w:val="0"/>
        <w:spacing w:line="460" w:lineRule="exact"/>
        <w:ind w:firstLine="480" w:firstLineChars="200"/>
        <w:rPr>
          <w:rFonts w:ascii="宋体" w:hAnsi="宋体" w:cs="宋体"/>
          <w:sz w:val="24"/>
        </w:rPr>
      </w:pPr>
      <w:r>
        <w:rPr>
          <w:rFonts w:hint="eastAsia" w:ascii="宋体" w:hAnsi="宋体" w:cs="宋体"/>
          <w:sz w:val="24"/>
        </w:rPr>
        <w:t>1.采购人有权对发出的采购文件进行必要的澄清或修改。</w:t>
      </w:r>
    </w:p>
    <w:p w14:paraId="5116C38E">
      <w:pPr>
        <w:snapToGrid w:val="0"/>
        <w:spacing w:line="460" w:lineRule="exact"/>
        <w:ind w:firstLine="480" w:firstLineChars="200"/>
        <w:rPr>
          <w:rFonts w:ascii="宋体" w:hAnsi="宋体" w:cs="宋体"/>
          <w:sz w:val="24"/>
        </w:rPr>
      </w:pPr>
      <w:r>
        <w:rPr>
          <w:rFonts w:hint="eastAsia" w:ascii="宋体" w:hAnsi="宋体" w:cs="宋体"/>
          <w:sz w:val="24"/>
        </w:rPr>
        <w:t>2.采购人可视情取消、延长相关时间。</w:t>
      </w:r>
    </w:p>
    <w:p w14:paraId="5FA715F3">
      <w:pPr>
        <w:snapToGrid w:val="0"/>
        <w:spacing w:line="460" w:lineRule="exact"/>
        <w:ind w:firstLine="480" w:firstLineChars="200"/>
        <w:rPr>
          <w:rFonts w:ascii="宋体" w:hAnsi="宋体" w:cs="宋体"/>
          <w:sz w:val="24"/>
        </w:rPr>
      </w:pPr>
      <w:r>
        <w:rPr>
          <w:rFonts w:hint="eastAsia" w:ascii="宋体" w:hAnsi="宋体" w:cs="宋体"/>
          <w:sz w:val="24"/>
        </w:rPr>
        <w:t>3.采购人对采购文件的澄清、修改将构成采购文件的一部分，对比选人具有约束力。</w:t>
      </w:r>
    </w:p>
    <w:p w14:paraId="3D3B6490">
      <w:pPr>
        <w:snapToGrid w:val="0"/>
        <w:spacing w:line="460" w:lineRule="exact"/>
        <w:ind w:firstLine="480" w:firstLineChars="200"/>
        <w:rPr>
          <w:rFonts w:ascii="宋体" w:hAnsi="宋体" w:cs="宋体"/>
          <w:sz w:val="24"/>
        </w:rPr>
      </w:pPr>
      <w:r>
        <w:rPr>
          <w:rFonts w:hint="eastAsia" w:ascii="宋体" w:hAnsi="宋体" w:cs="宋体"/>
          <w:sz w:val="24"/>
        </w:rPr>
        <w:t>4.比选人由于对采购文件的任何推论和误解以及采购人对有关问题的口头解释所造成的后果，均由比选人自负。</w:t>
      </w:r>
    </w:p>
    <w:p w14:paraId="28E9F5CC">
      <w:pPr>
        <w:snapToGrid w:val="0"/>
        <w:spacing w:line="460" w:lineRule="exact"/>
        <w:ind w:firstLine="480" w:firstLineChars="200"/>
        <w:outlineLvl w:val="1"/>
        <w:rPr>
          <w:rFonts w:ascii="宋体" w:hAnsi="宋体" w:cs="宋体"/>
          <w:b/>
          <w:sz w:val="24"/>
        </w:rPr>
      </w:pPr>
      <w:r>
        <w:rPr>
          <w:rFonts w:hint="eastAsia" w:ascii="宋体" w:hAnsi="宋体" w:cs="宋体"/>
          <w:sz w:val="24"/>
        </w:rPr>
        <w:t>5.采购人视情组织答疑会。</w:t>
      </w:r>
    </w:p>
    <w:p w14:paraId="35745963">
      <w:pPr>
        <w:widowControl/>
        <w:spacing w:line="460" w:lineRule="exact"/>
        <w:ind w:firstLine="482" w:firstLineChars="200"/>
        <w:jc w:val="left"/>
        <w:rPr>
          <w:rFonts w:ascii="宋体" w:hAnsi="宋体" w:cs="宋体"/>
          <w:b/>
          <w:sz w:val="24"/>
        </w:rPr>
      </w:pPr>
      <w:r>
        <w:rPr>
          <w:rFonts w:hint="eastAsia" w:ascii="宋体" w:hAnsi="宋体" w:cs="宋体"/>
          <w:b/>
          <w:sz w:val="24"/>
        </w:rPr>
        <w:t>三、比选报价</w:t>
      </w:r>
    </w:p>
    <w:p w14:paraId="7AEF6785">
      <w:pPr>
        <w:widowControl/>
        <w:spacing w:line="460" w:lineRule="exact"/>
        <w:ind w:firstLine="480" w:firstLineChars="200"/>
        <w:jc w:val="left"/>
        <w:rPr>
          <w:rFonts w:ascii="宋体" w:hAnsi="宋体" w:cs="宋体"/>
          <w:bCs/>
          <w:sz w:val="24"/>
        </w:rPr>
      </w:pPr>
      <w:r>
        <w:rPr>
          <w:rFonts w:hint="eastAsia" w:ascii="宋体" w:hAnsi="宋体" w:cs="宋体"/>
          <w:bCs/>
          <w:sz w:val="24"/>
        </w:rPr>
        <w:t>1.本项目不接受任何有选择的报价。</w:t>
      </w:r>
    </w:p>
    <w:p w14:paraId="2C8F982E">
      <w:pPr>
        <w:widowControl/>
        <w:spacing w:line="460" w:lineRule="exact"/>
        <w:ind w:firstLine="480" w:firstLineChars="200"/>
        <w:jc w:val="left"/>
        <w:rPr>
          <w:rFonts w:ascii="宋体" w:hAnsi="宋体" w:cs="宋体"/>
          <w:bCs/>
          <w:sz w:val="24"/>
        </w:rPr>
      </w:pPr>
      <w:r>
        <w:rPr>
          <w:rFonts w:hint="eastAsia" w:ascii="宋体" w:hAnsi="宋体" w:cs="宋体"/>
          <w:bCs/>
          <w:sz w:val="24"/>
        </w:rPr>
        <w:t>2.比选报价均以人民币为报价的货币单位。</w:t>
      </w:r>
    </w:p>
    <w:p w14:paraId="192ED2C5">
      <w:pPr>
        <w:widowControl/>
        <w:spacing w:line="460" w:lineRule="exact"/>
        <w:ind w:firstLine="480" w:firstLineChars="200"/>
        <w:jc w:val="left"/>
        <w:rPr>
          <w:rFonts w:ascii="宋体" w:hAnsi="宋体" w:cs="宋体"/>
          <w:bCs/>
          <w:sz w:val="24"/>
        </w:rPr>
      </w:pPr>
      <w:r>
        <w:rPr>
          <w:rFonts w:hint="eastAsia" w:ascii="宋体" w:hAnsi="宋体" w:cs="宋体"/>
          <w:bCs/>
          <w:sz w:val="24"/>
        </w:rPr>
        <w:t>3.报价表必须加盖供应商公章且必须经法定代表人或被委托授权人签署。</w:t>
      </w:r>
    </w:p>
    <w:p w14:paraId="5B651141">
      <w:pPr>
        <w:widowControl/>
        <w:spacing w:line="460" w:lineRule="exact"/>
        <w:ind w:firstLine="480" w:firstLineChars="200"/>
        <w:jc w:val="left"/>
        <w:rPr>
          <w:rFonts w:ascii="宋体" w:hAnsi="宋体" w:cs="宋体"/>
          <w:bCs/>
          <w:sz w:val="24"/>
        </w:rPr>
      </w:pPr>
      <w:r>
        <w:rPr>
          <w:rFonts w:hint="eastAsia" w:ascii="宋体" w:hAnsi="宋体" w:cs="宋体"/>
          <w:bCs/>
          <w:sz w:val="24"/>
        </w:rPr>
        <w:t>4.比选报价出现前后不一致的，按照下列规定修正：</w:t>
      </w:r>
    </w:p>
    <w:p w14:paraId="7EC4EA61">
      <w:pPr>
        <w:widowControl/>
        <w:spacing w:line="460" w:lineRule="exact"/>
        <w:ind w:firstLine="480" w:firstLineChars="200"/>
        <w:jc w:val="left"/>
        <w:rPr>
          <w:rFonts w:ascii="宋体" w:hAnsi="宋体" w:cs="宋体"/>
          <w:bCs/>
          <w:sz w:val="24"/>
        </w:rPr>
      </w:pPr>
      <w:r>
        <w:rPr>
          <w:rFonts w:hint="eastAsia" w:ascii="宋体" w:hAnsi="宋体" w:cs="宋体"/>
          <w:bCs/>
          <w:sz w:val="24"/>
        </w:rPr>
        <w:t>（1）比选</w:t>
      </w:r>
      <w:r>
        <w:rPr>
          <w:rFonts w:hint="eastAsia" w:ascii="宋体" w:hAnsi="宋体" w:cs="宋体"/>
          <w:sz w:val="24"/>
        </w:rPr>
        <w:t>响应</w:t>
      </w:r>
      <w:r>
        <w:rPr>
          <w:rFonts w:hint="eastAsia" w:ascii="宋体" w:hAnsi="宋体" w:cs="宋体"/>
          <w:bCs/>
          <w:sz w:val="24"/>
        </w:rPr>
        <w:t>文件中报价表内容与比选</w:t>
      </w:r>
      <w:r>
        <w:rPr>
          <w:rFonts w:hint="eastAsia" w:ascii="宋体" w:hAnsi="宋体" w:cs="宋体"/>
          <w:sz w:val="24"/>
        </w:rPr>
        <w:t>响应</w:t>
      </w:r>
      <w:r>
        <w:rPr>
          <w:rFonts w:hint="eastAsia" w:ascii="宋体" w:hAnsi="宋体" w:cs="宋体"/>
          <w:bCs/>
          <w:sz w:val="24"/>
        </w:rPr>
        <w:t>文件技术响应中内容明细不一致的，以报价表为准；</w:t>
      </w:r>
    </w:p>
    <w:p w14:paraId="6E6E4826">
      <w:pPr>
        <w:widowControl/>
        <w:spacing w:line="460" w:lineRule="exact"/>
        <w:ind w:firstLine="480" w:firstLineChars="200"/>
        <w:jc w:val="left"/>
        <w:rPr>
          <w:rFonts w:ascii="宋体" w:hAnsi="宋体" w:cs="宋体"/>
          <w:bCs/>
          <w:sz w:val="24"/>
        </w:rPr>
      </w:pPr>
      <w:r>
        <w:rPr>
          <w:rFonts w:hint="eastAsia" w:ascii="宋体" w:hAnsi="宋体" w:cs="宋体"/>
          <w:bCs/>
          <w:sz w:val="24"/>
        </w:rPr>
        <w:t>（2）比选</w:t>
      </w:r>
      <w:r>
        <w:rPr>
          <w:rFonts w:hint="eastAsia" w:ascii="宋体" w:hAnsi="宋体" w:cs="宋体"/>
          <w:sz w:val="24"/>
        </w:rPr>
        <w:t>响应</w:t>
      </w:r>
      <w:r>
        <w:rPr>
          <w:rFonts w:hint="eastAsia" w:ascii="宋体" w:hAnsi="宋体" w:cs="宋体"/>
          <w:bCs/>
          <w:sz w:val="24"/>
        </w:rPr>
        <w:t>文件中涉及大写金额和小写金额不一致的，以大写金额为准；</w:t>
      </w:r>
    </w:p>
    <w:p w14:paraId="008976D2">
      <w:pPr>
        <w:widowControl/>
        <w:spacing w:line="460" w:lineRule="exact"/>
        <w:ind w:firstLine="480" w:firstLineChars="200"/>
        <w:jc w:val="left"/>
        <w:rPr>
          <w:rFonts w:ascii="宋体" w:hAnsi="宋体" w:cs="宋体"/>
          <w:bCs/>
          <w:sz w:val="24"/>
        </w:rPr>
      </w:pPr>
      <w:r>
        <w:rPr>
          <w:rFonts w:hint="eastAsia" w:ascii="宋体" w:hAnsi="宋体" w:cs="宋体"/>
          <w:bCs/>
          <w:sz w:val="24"/>
        </w:rPr>
        <w:t>（3）单价金额小数点或者百分比有明显错位的，以报价表（投标报价总表）的总价为准，并修改单价；</w:t>
      </w:r>
    </w:p>
    <w:p w14:paraId="7C25F4E7">
      <w:pPr>
        <w:widowControl/>
        <w:spacing w:line="460" w:lineRule="exact"/>
        <w:ind w:firstLine="480" w:firstLineChars="200"/>
        <w:jc w:val="left"/>
        <w:rPr>
          <w:rFonts w:ascii="宋体" w:hAnsi="宋体" w:cs="宋体"/>
          <w:bCs/>
          <w:sz w:val="24"/>
        </w:rPr>
      </w:pPr>
      <w:r>
        <w:rPr>
          <w:rFonts w:hint="eastAsia" w:ascii="宋体" w:hAnsi="宋体" w:cs="宋体"/>
          <w:bCs/>
          <w:sz w:val="24"/>
        </w:rPr>
        <w:t>（4）总价金额与按单价汇总金额不一致的，以单价金额计算结果为准。</w:t>
      </w:r>
    </w:p>
    <w:p w14:paraId="32F0E6BF">
      <w:pPr>
        <w:widowControl/>
        <w:spacing w:line="460" w:lineRule="exact"/>
        <w:ind w:firstLine="480" w:firstLineChars="200"/>
        <w:jc w:val="left"/>
        <w:rPr>
          <w:rFonts w:ascii="宋体" w:hAnsi="宋体" w:cs="宋体"/>
          <w:bCs/>
          <w:sz w:val="24"/>
        </w:rPr>
      </w:pPr>
      <w:r>
        <w:rPr>
          <w:rFonts w:hint="eastAsia" w:ascii="宋体" w:hAnsi="宋体" w:cs="宋体"/>
          <w:bCs/>
          <w:sz w:val="24"/>
        </w:rPr>
        <w:t>同时出现两种以上不一致的，按照前款规定的顺序修正。修正后的报价应当由供应商的法定代表人或其授权的代表签字确认后产生约束力，供应商不确认的，其投标无效。</w:t>
      </w:r>
    </w:p>
    <w:p w14:paraId="607093C4">
      <w:pPr>
        <w:widowControl/>
        <w:spacing w:line="460" w:lineRule="exact"/>
        <w:ind w:firstLine="480" w:firstLineChars="200"/>
        <w:jc w:val="left"/>
        <w:rPr>
          <w:rFonts w:ascii="宋体" w:hAnsi="宋体" w:cs="宋体"/>
          <w:bCs/>
          <w:sz w:val="24"/>
        </w:rPr>
      </w:pPr>
      <w:r>
        <w:rPr>
          <w:rFonts w:hint="eastAsia" w:ascii="宋体" w:hAnsi="宋体" w:cs="宋体"/>
          <w:bCs/>
          <w:sz w:val="24"/>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72ED16C2">
      <w:pPr>
        <w:snapToGrid w:val="0"/>
        <w:spacing w:line="460" w:lineRule="exact"/>
        <w:ind w:firstLine="482" w:firstLineChars="200"/>
        <w:outlineLvl w:val="1"/>
        <w:rPr>
          <w:rFonts w:ascii="宋体" w:hAnsi="宋体" w:cs="宋体"/>
          <w:b/>
          <w:sz w:val="24"/>
        </w:rPr>
      </w:pPr>
      <w:r>
        <w:rPr>
          <w:rFonts w:hint="eastAsia" w:ascii="宋体" w:hAnsi="宋体" w:cs="宋体"/>
          <w:b/>
          <w:sz w:val="24"/>
        </w:rPr>
        <w:t>四、比选响应文件的编写、份数和签署（本项目不适用）</w:t>
      </w:r>
    </w:p>
    <w:p w14:paraId="491AF080">
      <w:pPr>
        <w:snapToGrid w:val="0"/>
        <w:spacing w:line="460" w:lineRule="exact"/>
        <w:ind w:firstLine="480" w:firstLineChars="200"/>
        <w:contextualSpacing/>
        <w:rPr>
          <w:rFonts w:ascii="宋体" w:hAnsi="宋体" w:cs="宋体"/>
          <w:sz w:val="24"/>
        </w:rPr>
      </w:pPr>
      <w:r>
        <w:rPr>
          <w:rFonts w:hint="eastAsia" w:ascii="宋体" w:hAnsi="宋体" w:cs="宋体"/>
          <w:sz w:val="24"/>
        </w:rPr>
        <w:t>1.比选人按第六部分“比选响应文件组成”编写比选响应文件。</w:t>
      </w:r>
      <w:r>
        <w:rPr>
          <w:rFonts w:hint="eastAsia" w:ascii="宋体" w:hAnsi="宋体" w:cs="宋体"/>
          <w:kern w:val="0"/>
          <w:sz w:val="24"/>
          <w:lang w:val="zh-CN"/>
        </w:rPr>
        <w:t>比选</w:t>
      </w:r>
      <w:r>
        <w:rPr>
          <w:rFonts w:hint="eastAsia" w:ascii="宋体" w:hAnsi="宋体" w:cs="宋体"/>
          <w:sz w:val="24"/>
        </w:rPr>
        <w:t>响应</w:t>
      </w:r>
      <w:r>
        <w:rPr>
          <w:rFonts w:hint="eastAsia" w:ascii="宋体" w:hAnsi="宋体" w:cs="宋体"/>
          <w:kern w:val="0"/>
          <w:sz w:val="24"/>
          <w:lang w:val="zh-CN"/>
        </w:rPr>
        <w:t>文件规格幅面</w:t>
      </w:r>
      <w:r>
        <w:rPr>
          <w:rFonts w:hint="eastAsia" w:ascii="宋体" w:hAnsi="宋体" w:cs="宋体"/>
          <w:sz w:val="24"/>
        </w:rPr>
        <w:t>A4纸（图纸等除外）</w:t>
      </w:r>
      <w:r>
        <w:rPr>
          <w:rFonts w:hint="eastAsia" w:ascii="宋体" w:hAnsi="宋体" w:cs="宋体"/>
          <w:kern w:val="0"/>
          <w:sz w:val="24"/>
          <w:lang w:val="zh-CN"/>
        </w:rPr>
        <w:t>；按照采购文件所规定的内容顺序，统一编制目录，逐页编码，由于编排混乱导致比选</w:t>
      </w:r>
      <w:r>
        <w:rPr>
          <w:rFonts w:hint="eastAsia" w:ascii="宋体" w:hAnsi="宋体" w:cs="宋体"/>
          <w:sz w:val="24"/>
        </w:rPr>
        <w:t>响应</w:t>
      </w:r>
      <w:r>
        <w:rPr>
          <w:rFonts w:hint="eastAsia" w:ascii="宋体" w:hAnsi="宋体" w:cs="宋体"/>
          <w:kern w:val="0"/>
          <w:sz w:val="24"/>
          <w:lang w:val="zh-CN"/>
        </w:rPr>
        <w:t>文件被误读或查找不到，其责任应当由比选人承担；</w:t>
      </w:r>
      <w:r>
        <w:rPr>
          <w:rFonts w:hint="eastAsia" w:ascii="宋体" w:hAnsi="宋体" w:cs="宋体"/>
          <w:sz w:val="24"/>
        </w:rPr>
        <w:t>牢固装订成册，不建议使用活页夹、拉杆夹、文件夹、塑料方便式书脊（插入式或穿孔式）装订；比选响应文件不得行间插字、涂改、增删，如修补错漏处，须经比选响应文件签署人签字并加盖公章。</w:t>
      </w:r>
    </w:p>
    <w:p w14:paraId="650367EB">
      <w:pPr>
        <w:snapToGrid w:val="0"/>
        <w:spacing w:line="460" w:lineRule="exact"/>
        <w:ind w:firstLine="480" w:firstLineChars="200"/>
        <w:contextualSpacing/>
        <w:rPr>
          <w:rFonts w:ascii="宋体" w:hAnsi="宋体" w:cs="宋体"/>
          <w:b/>
          <w:sz w:val="24"/>
        </w:rPr>
      </w:pPr>
      <w:r>
        <w:rPr>
          <w:rFonts w:hint="eastAsia" w:ascii="宋体" w:hAnsi="宋体" w:cs="宋体"/>
          <w:sz w:val="24"/>
        </w:rPr>
        <w:t>2.比选响应文件（资格审查文件、价格标），明确标注项目名称、参选人全称、标段号、响应文件名称等关键信息，“正本”、“副本”字样。</w:t>
      </w:r>
    </w:p>
    <w:p w14:paraId="6B054939">
      <w:pPr>
        <w:snapToGrid w:val="0"/>
        <w:spacing w:line="460" w:lineRule="exact"/>
        <w:ind w:firstLine="480" w:firstLineChars="200"/>
        <w:contextualSpacing/>
        <w:rPr>
          <w:rFonts w:ascii="宋体" w:hAnsi="宋体" w:cs="宋体"/>
          <w:sz w:val="24"/>
        </w:rPr>
      </w:pPr>
      <w:r>
        <w:rPr>
          <w:rFonts w:hint="eastAsia" w:ascii="宋体" w:hAnsi="宋体" w:cs="宋体"/>
          <w:sz w:val="24"/>
        </w:rPr>
        <w:t>3.比选响应文件正本须打印并由比选人法定代表人或授权人签字并加盖单位印章。副本可复印，但须加盖单位印章。</w:t>
      </w:r>
    </w:p>
    <w:p w14:paraId="4CE5175E">
      <w:pPr>
        <w:snapToGrid w:val="0"/>
        <w:spacing w:line="480" w:lineRule="exact"/>
        <w:ind w:firstLine="472" w:firstLineChars="196"/>
        <w:rPr>
          <w:rFonts w:ascii="宋体" w:hAnsi="宋体" w:cs="宋体"/>
          <w:sz w:val="24"/>
        </w:rPr>
      </w:pPr>
      <w:r>
        <w:rPr>
          <w:rFonts w:hint="eastAsia" w:ascii="宋体" w:hAnsi="宋体" w:cs="宋体"/>
          <w:b/>
          <w:sz w:val="24"/>
        </w:rPr>
        <w:t>五、比选响应文件的密封及标记</w:t>
      </w:r>
      <w:r>
        <w:rPr>
          <w:rFonts w:ascii="宋体" w:hAnsi="宋体" w:cs="宋体"/>
          <w:b/>
          <w:sz w:val="24"/>
        </w:rPr>
        <w:t>（</w:t>
      </w:r>
      <w:r>
        <w:rPr>
          <w:rFonts w:hint="eastAsia" w:ascii="宋体" w:hAnsi="宋体" w:cs="宋体"/>
          <w:b/>
          <w:sz w:val="24"/>
        </w:rPr>
        <w:t>本项目不适用</w:t>
      </w:r>
      <w:r>
        <w:rPr>
          <w:rFonts w:ascii="宋体" w:hAnsi="宋体" w:cs="宋体"/>
          <w:b/>
          <w:sz w:val="24"/>
        </w:rPr>
        <w:t>）</w:t>
      </w:r>
    </w:p>
    <w:p w14:paraId="622D1C5B">
      <w:pPr>
        <w:snapToGrid w:val="0"/>
        <w:spacing w:line="460" w:lineRule="exact"/>
        <w:ind w:firstLine="480" w:firstLineChars="200"/>
        <w:contextualSpacing/>
        <w:rPr>
          <w:rFonts w:ascii="宋体" w:hAnsi="宋体" w:cs="宋体"/>
          <w:sz w:val="24"/>
        </w:rPr>
      </w:pPr>
      <w:bookmarkStart w:id="1" w:name="_Hlk168062654"/>
      <w:r>
        <w:rPr>
          <w:rFonts w:hint="eastAsia" w:ascii="宋体" w:hAnsi="宋体" w:cs="宋体"/>
          <w:sz w:val="24"/>
        </w:rPr>
        <w:t>比选人应将资格审查文件、价格标分别密封并加盖单位公章。明确标注项目名称、标段号、参选人全称、响应文件名称等关键信息以及“正本”、“副本”字样。</w:t>
      </w:r>
    </w:p>
    <w:p w14:paraId="176B9A17">
      <w:pPr>
        <w:snapToGrid w:val="0"/>
        <w:spacing w:line="480" w:lineRule="exact"/>
        <w:ind w:firstLine="472" w:firstLineChars="196"/>
        <w:rPr>
          <w:rFonts w:ascii="宋体" w:hAnsi="宋体" w:cs="宋体"/>
          <w:b/>
          <w:sz w:val="24"/>
        </w:rPr>
      </w:pPr>
      <w:r>
        <w:rPr>
          <w:rFonts w:hint="eastAsia" w:ascii="宋体" w:hAnsi="宋体" w:cs="宋体"/>
          <w:b/>
          <w:sz w:val="24"/>
        </w:rPr>
        <w:t>注：本项目采用远程不见面交易模式，投标单位仅需制作电子投标文件，无需提供纸质投标文件；成交人在领取成交通知书前须提交纸质投标文件各叁套（一正贰副）（包括资格审查文件、价格标）。</w:t>
      </w:r>
    </w:p>
    <w:bookmarkEnd w:id="1"/>
    <w:p w14:paraId="510D4347">
      <w:pPr>
        <w:snapToGrid w:val="0"/>
        <w:spacing w:line="460" w:lineRule="exact"/>
        <w:ind w:firstLine="482" w:firstLineChars="200"/>
        <w:outlineLvl w:val="1"/>
        <w:rPr>
          <w:rFonts w:ascii="宋体" w:hAnsi="宋体" w:cs="宋体"/>
          <w:b/>
          <w:sz w:val="24"/>
        </w:rPr>
      </w:pPr>
      <w:r>
        <w:rPr>
          <w:rFonts w:hint="eastAsia" w:ascii="宋体" w:hAnsi="宋体" w:cs="宋体"/>
          <w:b/>
          <w:sz w:val="24"/>
        </w:rPr>
        <w:t>六、比选响应文件的递交时间</w:t>
      </w:r>
    </w:p>
    <w:p w14:paraId="56C1E0B3">
      <w:pPr>
        <w:snapToGrid w:val="0"/>
        <w:spacing w:line="460" w:lineRule="exact"/>
        <w:ind w:firstLine="480" w:firstLineChars="200"/>
        <w:rPr>
          <w:rFonts w:ascii="宋体" w:hAnsi="宋体" w:cs="宋体"/>
          <w:sz w:val="24"/>
        </w:rPr>
      </w:pPr>
      <w:r>
        <w:rPr>
          <w:rFonts w:hint="eastAsia" w:ascii="宋体" w:hAnsi="宋体" w:cs="宋体"/>
          <w:sz w:val="24"/>
        </w:rPr>
        <w:t>比选响应文件必须在规定的接收截止时间前送达采购人。采购人将拒绝接收在比选截止时间后递交的比选响应文件。</w:t>
      </w:r>
    </w:p>
    <w:p w14:paraId="00AEBD6D">
      <w:pPr>
        <w:snapToGrid w:val="0"/>
        <w:spacing w:line="460" w:lineRule="exact"/>
        <w:ind w:firstLine="482" w:firstLineChars="200"/>
        <w:outlineLvl w:val="1"/>
        <w:rPr>
          <w:rFonts w:ascii="宋体" w:hAnsi="宋体" w:cs="宋体"/>
          <w:b/>
          <w:sz w:val="24"/>
        </w:rPr>
      </w:pPr>
      <w:r>
        <w:rPr>
          <w:rFonts w:hint="eastAsia" w:ascii="宋体" w:hAnsi="宋体" w:cs="宋体"/>
          <w:b/>
          <w:sz w:val="24"/>
        </w:rPr>
        <w:t>七、相关费用</w:t>
      </w:r>
    </w:p>
    <w:p w14:paraId="20FA19F5">
      <w:pPr>
        <w:snapToGrid w:val="0"/>
        <w:spacing w:line="460" w:lineRule="exact"/>
        <w:ind w:firstLine="480" w:firstLineChars="200"/>
        <w:contextualSpacing/>
        <w:rPr>
          <w:rFonts w:ascii="宋体" w:hAnsi="宋体" w:cs="宋体"/>
          <w:sz w:val="24"/>
        </w:rPr>
      </w:pPr>
      <w:r>
        <w:rPr>
          <w:rFonts w:hint="eastAsia" w:ascii="宋体" w:hAnsi="宋体" w:cs="宋体"/>
          <w:sz w:val="24"/>
        </w:rPr>
        <w:t>1.供应商承担参与比选可能发生的全部费用，代理机构在任何情况下均无义务和责任承担这些费用。</w:t>
      </w:r>
    </w:p>
    <w:p w14:paraId="65EBB2EC">
      <w:pPr>
        <w:snapToGrid w:val="0"/>
        <w:spacing w:line="460" w:lineRule="exact"/>
        <w:ind w:firstLine="480" w:firstLineChars="200"/>
        <w:contextualSpacing/>
        <w:rPr>
          <w:rFonts w:ascii="宋体" w:hAnsi="宋体" w:cs="宋体"/>
          <w:kern w:val="0"/>
          <w:sz w:val="24"/>
          <w:lang w:val="zh-CN"/>
        </w:rPr>
      </w:pPr>
      <w:r>
        <w:rPr>
          <w:rFonts w:hint="eastAsia" w:ascii="宋体" w:hAnsi="宋体" w:cs="宋体"/>
          <w:sz w:val="24"/>
        </w:rPr>
        <w:t>2.本次招标代理费由采购人支付</w:t>
      </w:r>
      <w:r>
        <w:rPr>
          <w:rFonts w:hint="eastAsia" w:ascii="宋体" w:hAnsi="宋体" w:cs="宋体"/>
          <w:kern w:val="0"/>
          <w:sz w:val="24"/>
          <w:lang w:val="zh-CN"/>
        </w:rPr>
        <w:t>。</w:t>
      </w:r>
    </w:p>
    <w:p w14:paraId="0F7B14A3">
      <w:pPr>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kern w:val="0"/>
          <w:sz w:val="24"/>
        </w:rPr>
        <w:t>3.比选</w:t>
      </w:r>
      <w:r>
        <w:rPr>
          <w:rFonts w:hint="eastAsia" w:ascii="宋体" w:hAnsi="宋体" w:cs="宋体"/>
          <w:kern w:val="0"/>
          <w:sz w:val="24"/>
          <w:lang w:val="zh-CN"/>
        </w:rPr>
        <w:t>文件未列明，而投标供应商认为必需的费用也需列入报价。</w:t>
      </w:r>
    </w:p>
    <w:p w14:paraId="5C91727E">
      <w:pPr>
        <w:adjustRightInd w:val="0"/>
        <w:snapToGrid w:val="0"/>
        <w:spacing w:line="480" w:lineRule="exact"/>
        <w:ind w:firstLine="482" w:firstLineChars="200"/>
        <w:rPr>
          <w:rFonts w:ascii="宋体" w:hAnsi="宋体" w:cs="宋体"/>
          <w:b/>
          <w:sz w:val="24"/>
        </w:rPr>
      </w:pPr>
      <w:r>
        <w:rPr>
          <w:rFonts w:hint="eastAsia" w:ascii="宋体" w:hAnsi="宋体" w:cs="宋体"/>
          <w:b/>
          <w:sz w:val="24"/>
        </w:rPr>
        <w:t>八、授予合同</w:t>
      </w:r>
    </w:p>
    <w:p w14:paraId="292C4B2C">
      <w:pPr>
        <w:adjustRightInd w:val="0"/>
        <w:snapToGrid w:val="0"/>
        <w:spacing w:line="48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履约保证金</w:t>
      </w:r>
    </w:p>
    <w:p w14:paraId="50BC9206">
      <w:pPr>
        <w:widowControl/>
        <w:adjustRightInd w:val="0"/>
        <w:snapToGrid w:val="0"/>
        <w:spacing w:line="360" w:lineRule="auto"/>
        <w:ind w:firstLine="480" w:firstLineChars="200"/>
        <w:rPr>
          <w:rFonts w:ascii="宋体" w:hAnsi="宋体" w:cs="宋体"/>
          <w:sz w:val="24"/>
        </w:rPr>
      </w:pPr>
      <w:bookmarkStart w:id="2" w:name="_Toc16938553"/>
      <w:bookmarkStart w:id="3" w:name="_Toc513029237"/>
      <w:bookmarkStart w:id="4" w:name="_Toc20823309"/>
      <w:r>
        <w:rPr>
          <w:rFonts w:hint="eastAsia" w:ascii="宋体" w:hAnsi="宋体" w:cs="宋体"/>
          <w:sz w:val="24"/>
        </w:rPr>
        <w:t>1.1本项目成交后的履约保证金为成交价的</w:t>
      </w:r>
      <w:r>
        <w:rPr>
          <w:rFonts w:hint="eastAsia" w:ascii="宋体" w:hAnsi="宋体" w:cs="宋体"/>
          <w:b/>
          <w:bCs/>
          <w:sz w:val="24"/>
          <w:u w:val="single"/>
        </w:rPr>
        <w:t xml:space="preserve">5% </w:t>
      </w:r>
      <w:r>
        <w:rPr>
          <w:rFonts w:hint="eastAsia" w:ascii="宋体" w:hAnsi="宋体" w:cs="宋体"/>
          <w:b/>
          <w:bCs/>
          <w:sz w:val="24"/>
        </w:rPr>
        <w:t>（取整</w:t>
      </w:r>
      <w:r>
        <w:rPr>
          <w:rFonts w:hint="eastAsia" w:ascii="宋体" w:hAnsi="宋体" w:cs="宋体"/>
          <w:sz w:val="24"/>
        </w:rPr>
        <w:t>），成交后7个工作日内递交，否则作自动放弃成交资格处理。</w:t>
      </w:r>
    </w:p>
    <w:p w14:paraId="08812429">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1.2缴纳方式：支票、汇票、本票、保函等非现金形式。</w:t>
      </w:r>
    </w:p>
    <w:p w14:paraId="3E12AD7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1.3账户信息： </w:t>
      </w:r>
    </w:p>
    <w:p w14:paraId="23599284">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收款人：南通市市政设施管理处</w:t>
      </w:r>
    </w:p>
    <w:p w14:paraId="04BCD90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单位地址：江苏省南通市人民西路428号 0513-85105936 </w:t>
      </w:r>
    </w:p>
    <w:p w14:paraId="366F3E6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开户行：建行南通分行营业部 </w:t>
      </w:r>
    </w:p>
    <w:p w14:paraId="28884B98">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开户账号：32001648636050828835</w:t>
      </w:r>
    </w:p>
    <w:p w14:paraId="1FDBE5A6">
      <w:pPr>
        <w:snapToGrid w:val="0"/>
        <w:spacing w:line="360" w:lineRule="auto"/>
        <w:ind w:firstLine="494" w:firstLineChars="206"/>
        <w:outlineLvl w:val="1"/>
        <w:rPr>
          <w:rFonts w:ascii="宋体" w:hAnsi="宋体" w:cs="宋体"/>
          <w:sz w:val="24"/>
        </w:rPr>
      </w:pPr>
      <w:r>
        <w:rPr>
          <w:rFonts w:hint="eastAsia" w:ascii="宋体" w:hAnsi="宋体" w:cs="宋体"/>
          <w:sz w:val="24"/>
        </w:rPr>
        <w:t>1.4服务期满后，成交供应商全部履约合同义务，提交相应的申请材料，经采购人确认后，15个工作日内一次性无息退还该合同项目的履约保证金。</w:t>
      </w:r>
    </w:p>
    <w:p w14:paraId="5C893514">
      <w:pPr>
        <w:snapToGrid w:val="0"/>
        <w:spacing w:line="360" w:lineRule="auto"/>
        <w:ind w:firstLine="494" w:firstLineChars="206"/>
        <w:outlineLvl w:val="1"/>
        <w:rPr>
          <w:rFonts w:ascii="宋体" w:hAnsi="宋体" w:cs="宋体"/>
          <w:sz w:val="24"/>
        </w:rPr>
      </w:pPr>
      <w:r>
        <w:rPr>
          <w:rFonts w:hint="eastAsia" w:ascii="宋体" w:hAnsi="宋体" w:cs="宋体"/>
          <w:sz w:val="24"/>
        </w:rPr>
        <w:t>1.5由于成交供应商原因，在签订合同后出现不按合同履行的情况，采购人有权将履约保证金作为违约金，全额不予退还，同时采购人亦有权终止合同，造成损失的，成交供应商还须承担相应的法律赔偿责任。</w:t>
      </w:r>
    </w:p>
    <w:p w14:paraId="417F6FFC">
      <w:pPr>
        <w:keepNext/>
        <w:adjustRightInd w:val="0"/>
        <w:snapToGrid w:val="0"/>
        <w:spacing w:line="480" w:lineRule="exact"/>
        <w:ind w:firstLine="480" w:firstLineChars="200"/>
        <w:outlineLvl w:val="3"/>
        <w:rPr>
          <w:rFonts w:ascii="宋体" w:hAnsi="宋体" w:cs="宋体"/>
          <w:b/>
          <w:kern w:val="0"/>
          <w:sz w:val="24"/>
        </w:rPr>
      </w:pPr>
      <w:r>
        <w:rPr>
          <w:rFonts w:hint="eastAsia" w:ascii="宋体" w:hAnsi="宋体" w:cs="宋体"/>
          <w:kern w:val="0"/>
          <w:sz w:val="24"/>
        </w:rPr>
        <w:t>2、签订合同</w:t>
      </w:r>
    </w:p>
    <w:p w14:paraId="654226B2">
      <w:pPr>
        <w:adjustRightInd w:val="0"/>
        <w:snapToGrid w:val="0"/>
        <w:spacing w:line="480" w:lineRule="exact"/>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.l成交供应商应当在成交通知书发出之日起三十日内，按照比选文件确定的事项与采购人签订政府采购合同。</w:t>
      </w:r>
    </w:p>
    <w:p w14:paraId="5DFB16C1">
      <w:pPr>
        <w:adjustRightInd w:val="0"/>
        <w:snapToGrid w:val="0"/>
        <w:spacing w:line="480" w:lineRule="exact"/>
        <w:ind w:firstLine="480" w:firstLineChars="200"/>
        <w:rPr>
          <w:rFonts w:ascii="宋体" w:hAnsi="宋体" w:cs="宋体"/>
          <w:sz w:val="24"/>
        </w:rPr>
      </w:pPr>
      <w:r>
        <w:rPr>
          <w:rFonts w:hint="eastAsia" w:ascii="宋体" w:hAnsi="宋体" w:cs="宋体"/>
          <w:sz w:val="24"/>
        </w:rPr>
        <w:t>2.2比选文件、成交供应商的响应文件及比选过程中有关澄清、承诺文件均应作为合同附件。</w:t>
      </w:r>
    </w:p>
    <w:p w14:paraId="4CE91108">
      <w:pPr>
        <w:adjustRightInd w:val="0"/>
        <w:snapToGrid w:val="0"/>
        <w:spacing w:line="480" w:lineRule="exact"/>
        <w:ind w:firstLine="480" w:firstLineChars="200"/>
        <w:rPr>
          <w:rFonts w:ascii="宋体" w:hAnsi="宋体" w:cs="宋体"/>
          <w:sz w:val="24"/>
        </w:rPr>
      </w:pPr>
      <w:r>
        <w:rPr>
          <w:rFonts w:hint="eastAsia" w:ascii="宋体" w:hAnsi="宋体" w:cs="宋体"/>
          <w:sz w:val="24"/>
        </w:rPr>
        <w:t>2.3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bookmarkEnd w:id="2"/>
    <w:bookmarkEnd w:id="3"/>
    <w:bookmarkEnd w:id="4"/>
    <w:p w14:paraId="1F602E7E">
      <w:pPr>
        <w:snapToGrid w:val="0"/>
        <w:spacing w:line="360" w:lineRule="auto"/>
        <w:ind w:firstLine="480" w:firstLineChars="200"/>
        <w:outlineLvl w:val="1"/>
        <w:rPr>
          <w:rFonts w:cs="仿宋" w:asciiTheme="minorEastAsia" w:hAnsiTheme="minorEastAsia" w:eastAsiaTheme="minorEastAsia"/>
          <w:sz w:val="24"/>
        </w:rPr>
      </w:pPr>
    </w:p>
    <w:p w14:paraId="2D49D8EE">
      <w:pPr>
        <w:adjustRightInd w:val="0"/>
        <w:snapToGrid w:val="0"/>
        <w:spacing w:line="360" w:lineRule="auto"/>
        <w:ind w:firstLine="720" w:firstLineChars="200"/>
        <w:jc w:val="center"/>
        <w:rPr>
          <w:rFonts w:asciiTheme="minorEastAsia" w:hAnsiTheme="minorEastAsia" w:eastAsiaTheme="minorEastAsia"/>
          <w:bCs/>
          <w:sz w:val="36"/>
          <w:szCs w:val="36"/>
        </w:rPr>
      </w:pPr>
    </w:p>
    <w:p w14:paraId="3F681CB5">
      <w:pPr>
        <w:ind w:firstLine="720"/>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295B6B98">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rPr>
      </w:pPr>
    </w:p>
    <w:p w14:paraId="0855BF0F">
      <w:pPr>
        <w:autoSpaceDE w:val="0"/>
        <w:autoSpaceDN w:val="0"/>
        <w:adjustRightInd w:val="0"/>
        <w:snapToGrid w:val="0"/>
        <w:spacing w:line="360" w:lineRule="auto"/>
        <w:ind w:firstLine="720"/>
        <w:jc w:val="center"/>
        <w:outlineLvl w:val="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t xml:space="preserve">第三部分 </w:t>
      </w:r>
      <w:r>
        <w:rPr>
          <w:rFonts w:asciiTheme="minorEastAsia" w:hAnsiTheme="minorEastAsia" w:eastAsiaTheme="minorEastAsia"/>
          <w:sz w:val="36"/>
          <w:szCs w:val="36"/>
          <w:lang w:val="zh-CN"/>
        </w:rPr>
        <w:t>项目需求</w:t>
      </w:r>
    </w:p>
    <w:p w14:paraId="175DBBF2">
      <w:pPr>
        <w:pageBreakBefore w:val="0"/>
        <w:kinsoku/>
        <w:wordWrap/>
        <w:overflowPunct/>
        <w:topLinePunct w:val="0"/>
        <w:autoSpaceDE/>
        <w:autoSpaceDN/>
        <w:bidi w:val="0"/>
        <w:snapToGrid/>
        <w:spacing w:line="360" w:lineRule="auto"/>
        <w:ind w:firstLine="562"/>
        <w:textAlignment w:val="auto"/>
        <w:rPr>
          <w:rFonts w:cs="宋体" w:asciiTheme="minorEastAsia" w:hAnsiTheme="minorEastAsia" w:eastAsiaTheme="minorEastAsia"/>
          <w:sz w:val="24"/>
        </w:rPr>
      </w:pPr>
      <w:r>
        <w:rPr>
          <w:rFonts w:hint="eastAsia" w:ascii="宋体" w:cs="宋体"/>
          <w:b/>
          <w:sz w:val="24"/>
        </w:rPr>
        <w:t>请供应商在响应前和制作响应文件时仔细研究项目需求说明。</w:t>
      </w:r>
      <w:r>
        <w:rPr>
          <w:rFonts w:hint="eastAsia" w:ascii="宋体" w:cs="宋体"/>
          <w:sz w:val="24"/>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服务同采购单位提出的项目需求说明中的技术、商务要求不同的，必须在</w:t>
      </w:r>
      <w:r>
        <w:rPr>
          <w:rFonts w:hint="eastAsia" w:ascii="宋体" w:cs="宋体"/>
          <w:b/>
          <w:bCs/>
          <w:sz w:val="24"/>
        </w:rPr>
        <w:t>《商务部分正负偏离表》</w:t>
      </w:r>
      <w:r>
        <w:rPr>
          <w:rFonts w:hint="eastAsia" w:ascii="宋体" w:cs="宋体"/>
          <w:sz w:val="24"/>
        </w:rPr>
        <w:t>和</w:t>
      </w:r>
      <w:r>
        <w:rPr>
          <w:rFonts w:hint="eastAsia" w:ascii="宋体" w:cs="宋体"/>
          <w:b/>
          <w:bCs/>
          <w:sz w:val="24"/>
        </w:rPr>
        <w:t>《技术部分正负偏离表》</w:t>
      </w:r>
      <w:r>
        <w:rPr>
          <w:rFonts w:hint="eastAsia" w:ascii="宋体" w:cs="宋体"/>
          <w:sz w:val="24"/>
        </w:rPr>
        <w:t>上明示，如不明示的视同完全响应。</w:t>
      </w:r>
    </w:p>
    <w:p w14:paraId="48F60E90">
      <w:pPr>
        <w:keepNext w:val="0"/>
        <w:keepLines w:val="0"/>
        <w:pageBreakBefore w:val="0"/>
        <w:kinsoku/>
        <w:wordWrap/>
        <w:overflowPunct/>
        <w:topLinePunct w:val="0"/>
        <w:autoSpaceDE/>
        <w:autoSpaceDN/>
        <w:bidi w:val="0"/>
        <w:snapToGrid/>
        <w:spacing w:line="360" w:lineRule="auto"/>
        <w:ind w:firstLine="472" w:firstLineChars="196"/>
        <w:textAlignment w:val="auto"/>
        <w:rPr>
          <w:rFonts w:cs="宋体" w:asciiTheme="minorEastAsia" w:hAnsiTheme="minorEastAsia" w:eastAsiaTheme="minorEastAsia"/>
          <w:b/>
          <w:kern w:val="0"/>
          <w:sz w:val="24"/>
        </w:rPr>
      </w:pPr>
      <w:r>
        <w:rPr>
          <w:rFonts w:hint="eastAsia" w:cs="宋体" w:asciiTheme="minorEastAsia" w:hAnsiTheme="minorEastAsia" w:eastAsiaTheme="minorEastAsia"/>
          <w:b/>
          <w:sz w:val="24"/>
          <w:lang w:val="zh-CN"/>
        </w:rPr>
        <w:t>一、</w:t>
      </w:r>
      <w:r>
        <w:rPr>
          <w:rFonts w:hint="eastAsia" w:cs="宋体" w:asciiTheme="minorEastAsia" w:hAnsiTheme="minorEastAsia" w:eastAsiaTheme="minorEastAsia"/>
          <w:b/>
          <w:bCs/>
          <w:sz w:val="24"/>
        </w:rPr>
        <w:t>采购标的需实现的功能或者目标, 以及为落实政府采购政策需满足的要求</w:t>
      </w:r>
    </w:p>
    <w:p w14:paraId="3EC1E381">
      <w:pPr>
        <w:keepNext w:val="0"/>
        <w:keepLines w:val="0"/>
        <w:pageBreakBefore w:val="0"/>
        <w:kinsoku/>
        <w:wordWrap/>
        <w:overflowPunct/>
        <w:topLinePunct w:val="0"/>
        <w:autoSpaceDE/>
        <w:autoSpaceDN/>
        <w:bidi w:val="0"/>
        <w:snapToGrid/>
        <w:spacing w:line="360" w:lineRule="auto"/>
        <w:ind w:firstLine="480"/>
        <w:textAlignment w:val="auto"/>
        <w:rPr>
          <w:rFonts w:ascii="宋体" w:hAnsi="宋体" w:cs="宋体"/>
          <w:sz w:val="24"/>
        </w:rPr>
      </w:pPr>
      <w:r>
        <w:rPr>
          <w:rFonts w:hint="eastAsia" w:ascii="宋体" w:hAnsi="宋体" w:cs="宋体"/>
          <w:sz w:val="24"/>
        </w:rPr>
        <w:t>1、本项目为供应商根据采购人要求实施彩浆封层及颗粒封层，用于修复路面出现线裂、网裂、龟裂、拥包或波浪、车辙、沉陷、翻浆、剥落、啃边、路框差、唧浆、泛油、抗滑性能不足、横坡不适、平整度差等缺陷。</w:t>
      </w:r>
    </w:p>
    <w:p w14:paraId="4FE04126">
      <w:pPr>
        <w:keepNext w:val="0"/>
        <w:keepLines w:val="0"/>
        <w:pageBreakBefore w:val="0"/>
        <w:kinsoku/>
        <w:wordWrap/>
        <w:overflowPunct/>
        <w:topLinePunct w:val="0"/>
        <w:autoSpaceDE/>
        <w:autoSpaceDN/>
        <w:bidi w:val="0"/>
        <w:snapToGrid/>
        <w:spacing w:line="360" w:lineRule="auto"/>
        <w:ind w:firstLine="480"/>
        <w:textAlignment w:val="auto"/>
        <w:rPr>
          <w:rFonts w:ascii="宋体" w:hAnsi="宋体" w:cs="宋体"/>
          <w:sz w:val="24"/>
        </w:rPr>
      </w:pPr>
      <w:r>
        <w:rPr>
          <w:rFonts w:hint="eastAsia" w:ascii="宋体" w:hAnsi="宋体" w:cs="宋体"/>
          <w:sz w:val="24"/>
        </w:rPr>
        <w:t>2、本项目实施地点为招标人辖区</w:t>
      </w:r>
      <w:r>
        <w:rPr>
          <w:rFonts w:hint="eastAsia" w:ascii="宋体" w:hAnsi="宋体" w:eastAsia="等线" w:cs="宋体"/>
          <w:sz w:val="24"/>
        </w:rPr>
        <w:t>。</w:t>
      </w:r>
    </w:p>
    <w:p w14:paraId="7033372E">
      <w:pPr>
        <w:keepNext w:val="0"/>
        <w:keepLines w:val="0"/>
        <w:pageBreakBefore w:val="0"/>
        <w:kinsoku/>
        <w:wordWrap/>
        <w:overflowPunct/>
        <w:topLinePunct w:val="0"/>
        <w:autoSpaceDE/>
        <w:autoSpaceDN/>
        <w:bidi w:val="0"/>
        <w:snapToGrid/>
        <w:spacing w:line="360" w:lineRule="auto"/>
        <w:ind w:firstLine="480"/>
        <w:textAlignment w:val="auto"/>
        <w:rPr>
          <w:rFonts w:ascii="宋体" w:hAnsi="宋体" w:cs="宋体"/>
          <w:sz w:val="24"/>
        </w:rPr>
      </w:pPr>
      <w:r>
        <w:rPr>
          <w:rFonts w:hint="eastAsia" w:ascii="宋体" w:hAnsi="宋体" w:cs="宋体"/>
          <w:sz w:val="24"/>
        </w:rPr>
        <w:t>3、本项目实施涉及内容主要包括（1）施工现场安全维护；（2）路面清扫；（3）路面裂缝处理；（4）路面抛丸（水泥混凝土路面）</w:t>
      </w:r>
      <w:r>
        <w:rPr>
          <w:rFonts w:hint="eastAsia" w:ascii="宋体" w:hAnsi="宋体" w:eastAsia="等线" w:cs="宋体"/>
          <w:sz w:val="24"/>
        </w:rPr>
        <w:t>、</w:t>
      </w:r>
      <w:r>
        <w:rPr>
          <w:rFonts w:hint="eastAsia" w:ascii="宋体" w:hAnsi="宋体" w:cs="宋体"/>
          <w:sz w:val="24"/>
        </w:rPr>
        <w:t>找平；（</w:t>
      </w:r>
      <w:r>
        <w:rPr>
          <w:rFonts w:hint="eastAsia" w:ascii="宋体" w:hAnsi="宋体" w:eastAsia="等线" w:cs="宋体"/>
          <w:sz w:val="24"/>
        </w:rPr>
        <w:t>5</w:t>
      </w:r>
      <w:r>
        <w:rPr>
          <w:rFonts w:hint="eastAsia" w:ascii="宋体" w:hAnsi="宋体" w:cs="宋体"/>
          <w:sz w:val="24"/>
        </w:rPr>
        <w:t>）实施彩浆封层及颗粒封层。</w:t>
      </w:r>
    </w:p>
    <w:p w14:paraId="18D1C815">
      <w:pPr>
        <w:keepNext w:val="0"/>
        <w:keepLines w:val="0"/>
        <w:pageBreakBefore w:val="0"/>
        <w:kinsoku/>
        <w:wordWrap/>
        <w:overflowPunct/>
        <w:topLinePunct w:val="0"/>
        <w:autoSpaceDE/>
        <w:autoSpaceDN/>
        <w:bidi w:val="0"/>
        <w:snapToGrid/>
        <w:spacing w:line="360" w:lineRule="auto"/>
        <w:ind w:firstLine="482"/>
        <w:textAlignment w:val="auto"/>
        <w:rPr>
          <w:rFonts w:ascii="宋体" w:hAnsi="宋体" w:cs="宋体"/>
          <w:sz w:val="24"/>
        </w:rPr>
      </w:pPr>
      <w:r>
        <w:rPr>
          <w:rFonts w:hint="eastAsia" w:cs="宋体" w:asciiTheme="minorEastAsia" w:hAnsiTheme="minorEastAsia" w:eastAsiaTheme="minorEastAsia"/>
          <w:b/>
          <w:sz w:val="24"/>
          <w:lang w:val="zh-CN"/>
        </w:rPr>
        <w:t>二、采购标的需执行的国家相关标准、行业标准、地方标准或者其他标准、规范</w:t>
      </w:r>
    </w:p>
    <w:p w14:paraId="0AB99BE3">
      <w:pPr>
        <w:pStyle w:val="22"/>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asciiTheme="minorEastAsia" w:hAnsiTheme="minorEastAsia" w:eastAsiaTheme="minorEastAsia"/>
          <w:b/>
          <w:bCs/>
          <w:kern w:val="2"/>
        </w:rPr>
      </w:pPr>
      <w:r>
        <w:rPr>
          <w:rFonts w:hint="eastAsia" w:hAnsi="宋体"/>
          <w:bCs/>
        </w:rPr>
        <w:t>按国家现行相关法律法规和行业标准执行，包括但不限于《彩浆封层铺面应用技术规程》</w:t>
      </w:r>
      <w:r>
        <w:rPr>
          <w:rFonts w:hint="eastAsia" w:hAnsi="宋体"/>
          <w:bCs/>
          <w:lang w:bidi="en-US"/>
        </w:rPr>
        <w:t>DG/TJ 08-2223-2016、</w:t>
      </w:r>
      <w:r>
        <w:rPr>
          <w:rFonts w:hint="eastAsia" w:hAnsi="宋体"/>
          <w:bCs/>
        </w:rPr>
        <w:t>《公路沥青路面施工技术规范》（JTG F40-2004）、《城镇道路养护技术规范》（CJJ36-2016）、《建筑工程施工质量验收统一标准》GB50300-2013、《建筑工程项目管理规范》GB/T50326-2006等。如有最新的执行标准、规范则满足最新的标准、规范要求，设计（或工程）对质量另有要求的，必须同时满足。</w:t>
      </w:r>
    </w:p>
    <w:p w14:paraId="64B1D812">
      <w:pPr>
        <w:pStyle w:val="22"/>
        <w:keepNext w:val="0"/>
        <w:keepLines w:val="0"/>
        <w:pageBreakBefore w:val="0"/>
        <w:kinsoku/>
        <w:wordWrap/>
        <w:overflowPunct/>
        <w:topLinePunct w:val="0"/>
        <w:autoSpaceDE/>
        <w:autoSpaceDN/>
        <w:bidi w:val="0"/>
        <w:snapToGrid/>
        <w:spacing w:beforeAutospacing="0" w:afterAutospacing="0" w:line="360" w:lineRule="auto"/>
        <w:ind w:firstLine="482" w:firstLineChars="200"/>
        <w:textAlignment w:val="auto"/>
        <w:rPr>
          <w:rFonts w:asciiTheme="minorEastAsia" w:hAnsiTheme="minorEastAsia" w:eastAsiaTheme="minorEastAsia"/>
          <w:b/>
          <w:bCs/>
          <w:kern w:val="2"/>
        </w:rPr>
      </w:pPr>
      <w:r>
        <w:rPr>
          <w:rFonts w:hint="eastAsia" w:asciiTheme="minorEastAsia" w:hAnsiTheme="minorEastAsia" w:eastAsiaTheme="minorEastAsia"/>
          <w:b/>
          <w:bCs/>
          <w:kern w:val="2"/>
        </w:rPr>
        <w:t>三、采购标的需满足的质量、安全、技术规格、物理特性等要求</w:t>
      </w:r>
    </w:p>
    <w:p w14:paraId="4CD4AB12">
      <w:pPr>
        <w:keepNext w:val="0"/>
        <w:keepLines w:val="0"/>
        <w:pageBreakBefore w:val="0"/>
        <w:kinsoku/>
        <w:wordWrap/>
        <w:overflowPunct/>
        <w:topLinePunct w:val="0"/>
        <w:autoSpaceDE/>
        <w:autoSpaceDN/>
        <w:bidi w:val="0"/>
        <w:snapToGrid/>
        <w:spacing w:line="360" w:lineRule="auto"/>
        <w:ind w:firstLine="482"/>
        <w:textAlignment w:val="auto"/>
        <w:rPr>
          <w:rFonts w:cs="宋体" w:asciiTheme="majorEastAsia" w:hAnsiTheme="majorEastAsia" w:eastAsiaTheme="majorEastAsia"/>
          <w:b/>
          <w:bCs/>
          <w:sz w:val="24"/>
        </w:rPr>
      </w:pPr>
      <w:r>
        <w:rPr>
          <w:rFonts w:hint="eastAsia" w:cs="宋体" w:asciiTheme="majorEastAsia" w:hAnsiTheme="majorEastAsia" w:eastAsiaTheme="majorEastAsia"/>
          <w:b/>
          <w:bCs/>
          <w:sz w:val="24"/>
        </w:rPr>
        <w:t xml:space="preserve">1.  </w:t>
      </w:r>
      <w:bookmarkStart w:id="5" w:name="_Toc126914402"/>
      <w:r>
        <w:rPr>
          <w:rFonts w:hint="eastAsia" w:cs="宋体" w:asciiTheme="majorEastAsia" w:hAnsiTheme="majorEastAsia" w:eastAsiaTheme="majorEastAsia"/>
          <w:b/>
          <w:bCs/>
          <w:sz w:val="24"/>
        </w:rPr>
        <w:t>应用于沥青路面的彩浆封层路面技术要求</w:t>
      </w:r>
      <w:bookmarkEnd w:id="5"/>
    </w:p>
    <w:p w14:paraId="2E7BB376">
      <w:pPr>
        <w:keepNext w:val="0"/>
        <w:keepLines w:val="0"/>
        <w:pageBreakBefore w:val="0"/>
        <w:kinsoku/>
        <w:wordWrap/>
        <w:overflowPunct/>
        <w:topLinePunct w:val="0"/>
        <w:autoSpaceDE/>
        <w:autoSpaceDN/>
        <w:bidi w:val="0"/>
        <w:snapToGrid/>
        <w:spacing w:line="360" w:lineRule="auto"/>
        <w:ind w:firstLine="480"/>
        <w:textAlignment w:val="auto"/>
        <w:rPr>
          <w:rFonts w:cs="宋体" w:asciiTheme="majorEastAsia" w:hAnsiTheme="majorEastAsia" w:eastAsiaTheme="majorEastAsia"/>
          <w:sz w:val="24"/>
        </w:rPr>
      </w:pPr>
      <w:bookmarkStart w:id="6" w:name="_Toc126914403"/>
      <w:r>
        <w:rPr>
          <w:rFonts w:hint="eastAsia" w:cs="宋体" w:asciiTheme="majorEastAsia" w:hAnsiTheme="majorEastAsia" w:eastAsiaTheme="majorEastAsia"/>
          <w:sz w:val="24"/>
        </w:rPr>
        <w:t>1.1彩浆封层材料技术要求</w:t>
      </w:r>
      <w:bookmarkEnd w:id="6"/>
    </w:p>
    <w:p w14:paraId="43F4AB4E">
      <w:pPr>
        <w:keepNext w:val="0"/>
        <w:keepLines w:val="0"/>
        <w:pageBreakBefore w:val="0"/>
        <w:numPr>
          <w:ilvl w:val="0"/>
          <w:numId w:val="2"/>
        </w:numPr>
        <w:tabs>
          <w:tab w:val="left" w:pos="426"/>
        </w:tabs>
        <w:kinsoku/>
        <w:wordWrap/>
        <w:overflowPunct/>
        <w:topLinePunct w:val="0"/>
        <w:autoSpaceDE/>
        <w:autoSpaceDN/>
        <w:bidi w:val="0"/>
        <w:adjustRightInd w:val="0"/>
        <w:snapToGrid/>
        <w:spacing w:line="360" w:lineRule="auto"/>
        <w:ind w:firstLine="48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A组份：树脂高聚复合乳液。树脂高聚复合乳液的质量应符合下表要求</w:t>
      </w:r>
      <w:r>
        <w:rPr>
          <w:rFonts w:hint="eastAsia" w:cs="宋体" w:asciiTheme="majorEastAsia" w:hAnsiTheme="majorEastAsia" w:eastAsiaTheme="majorEastAsia"/>
          <w:bCs/>
          <w:sz w:val="24"/>
          <w:lang w:eastAsia="zh-CN"/>
        </w:rPr>
        <w:t>：</w:t>
      </w:r>
    </w:p>
    <w:p w14:paraId="73370841">
      <w:pPr>
        <w:pageBreakBefore w:val="0"/>
        <w:kinsoku/>
        <w:wordWrap/>
        <w:overflowPunct/>
        <w:topLinePunct w:val="0"/>
        <w:autoSpaceDE/>
        <w:autoSpaceDN/>
        <w:bidi w:val="0"/>
        <w:adjustRightInd w:val="0"/>
        <w:snapToGrid/>
        <w:spacing w:line="360" w:lineRule="auto"/>
        <w:ind w:firstLine="480"/>
        <w:jc w:val="center"/>
        <w:textAlignment w:val="auto"/>
        <w:rPr>
          <w:rFonts w:hint="eastAsia" w:cs="宋体" w:asciiTheme="majorEastAsia" w:hAnsiTheme="majorEastAsia" w:eastAsiaTheme="majorEastAsia"/>
          <w:bCs/>
          <w:sz w:val="24"/>
        </w:rPr>
      </w:pPr>
    </w:p>
    <w:p w14:paraId="5547F998">
      <w:pPr>
        <w:pageBreakBefore w:val="0"/>
        <w:kinsoku/>
        <w:wordWrap/>
        <w:overflowPunct/>
        <w:topLinePunct w:val="0"/>
        <w:autoSpaceDE/>
        <w:autoSpaceDN/>
        <w:bidi w:val="0"/>
        <w:adjustRightInd w:val="0"/>
        <w:snapToGrid/>
        <w:spacing w:line="360" w:lineRule="auto"/>
        <w:ind w:firstLine="480"/>
        <w:jc w:val="center"/>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树脂高聚复合乳液技术要求（表一）</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6"/>
        <w:gridCol w:w="776"/>
        <w:gridCol w:w="889"/>
        <w:gridCol w:w="2665"/>
        <w:gridCol w:w="2052"/>
      </w:tblGrid>
      <w:tr w14:paraId="09EB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730" w:type="dxa"/>
            <w:gridSpan w:val="2"/>
            <w:noWrap/>
            <w:vAlign w:val="center"/>
          </w:tcPr>
          <w:p w14:paraId="641E9E18">
            <w:pPr>
              <w:pageBreakBefore w:val="0"/>
              <w:kinsoku/>
              <w:wordWrap/>
              <w:overflowPunct/>
              <w:topLinePunct w:val="0"/>
              <w:autoSpaceDE/>
              <w:autoSpaceDN/>
              <w:bidi w:val="0"/>
              <w:snapToGrid/>
              <w:spacing w:line="360" w:lineRule="auto"/>
              <w:ind w:firstLine="480"/>
              <w:textAlignment w:val="auto"/>
            </w:pPr>
            <w:r>
              <w:rPr>
                <w:rFonts w:hint="eastAsia"/>
              </w:rPr>
              <w:t>项目</w:t>
            </w:r>
          </w:p>
        </w:tc>
        <w:tc>
          <w:tcPr>
            <w:tcW w:w="851" w:type="dxa"/>
            <w:noWrap/>
            <w:vAlign w:val="center"/>
          </w:tcPr>
          <w:p w14:paraId="69895795">
            <w:pPr>
              <w:pageBreakBefore w:val="0"/>
              <w:kinsoku/>
              <w:wordWrap/>
              <w:overflowPunct/>
              <w:topLinePunct w:val="0"/>
              <w:autoSpaceDE/>
              <w:autoSpaceDN/>
              <w:bidi w:val="0"/>
              <w:snapToGrid/>
              <w:spacing w:line="360" w:lineRule="auto"/>
              <w:textAlignment w:val="auto"/>
            </w:pPr>
            <w:r>
              <w:rPr>
                <w:rFonts w:hint="eastAsia"/>
              </w:rPr>
              <w:t>单位</w:t>
            </w:r>
          </w:p>
        </w:tc>
        <w:tc>
          <w:tcPr>
            <w:tcW w:w="2551" w:type="dxa"/>
            <w:noWrap/>
            <w:vAlign w:val="center"/>
          </w:tcPr>
          <w:p w14:paraId="24C227D8">
            <w:pPr>
              <w:pageBreakBefore w:val="0"/>
              <w:kinsoku/>
              <w:wordWrap/>
              <w:overflowPunct/>
              <w:topLinePunct w:val="0"/>
              <w:autoSpaceDE/>
              <w:autoSpaceDN/>
              <w:bidi w:val="0"/>
              <w:snapToGrid/>
              <w:spacing w:line="360" w:lineRule="auto"/>
              <w:ind w:firstLine="480"/>
              <w:textAlignment w:val="auto"/>
            </w:pPr>
            <w:r>
              <w:rPr>
                <w:rFonts w:hint="eastAsia"/>
              </w:rPr>
              <w:t>技术要求</w:t>
            </w:r>
          </w:p>
        </w:tc>
        <w:tc>
          <w:tcPr>
            <w:tcW w:w="1964" w:type="dxa"/>
            <w:noWrap/>
            <w:vAlign w:val="center"/>
          </w:tcPr>
          <w:p w14:paraId="7B0EAE67">
            <w:pPr>
              <w:pageBreakBefore w:val="0"/>
              <w:kinsoku/>
              <w:wordWrap/>
              <w:overflowPunct/>
              <w:topLinePunct w:val="0"/>
              <w:autoSpaceDE/>
              <w:autoSpaceDN/>
              <w:bidi w:val="0"/>
              <w:snapToGrid/>
              <w:spacing w:line="360" w:lineRule="auto"/>
              <w:ind w:firstLine="480"/>
              <w:textAlignment w:val="auto"/>
            </w:pPr>
            <w:r>
              <w:rPr>
                <w:rFonts w:hint="eastAsia"/>
              </w:rPr>
              <w:t>试验方法</w:t>
            </w:r>
          </w:p>
        </w:tc>
      </w:tr>
      <w:tr w14:paraId="0321B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137E16FB">
            <w:pPr>
              <w:pageBreakBefore w:val="0"/>
              <w:kinsoku/>
              <w:wordWrap/>
              <w:overflowPunct/>
              <w:topLinePunct w:val="0"/>
              <w:autoSpaceDE/>
              <w:autoSpaceDN/>
              <w:bidi w:val="0"/>
              <w:snapToGrid/>
              <w:spacing w:line="360" w:lineRule="auto"/>
              <w:jc w:val="center"/>
              <w:textAlignment w:val="auto"/>
            </w:pPr>
            <w:r>
              <w:rPr>
                <w:rFonts w:hint="eastAsia"/>
              </w:rPr>
              <w:t>破乳速度</w:t>
            </w:r>
          </w:p>
        </w:tc>
        <w:tc>
          <w:tcPr>
            <w:tcW w:w="851" w:type="dxa"/>
            <w:noWrap/>
            <w:vAlign w:val="center"/>
          </w:tcPr>
          <w:p w14:paraId="3E7600ED">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1EC8FAC6">
            <w:pPr>
              <w:pageBreakBefore w:val="0"/>
              <w:kinsoku/>
              <w:wordWrap/>
              <w:overflowPunct/>
              <w:topLinePunct w:val="0"/>
              <w:autoSpaceDE/>
              <w:autoSpaceDN/>
              <w:bidi w:val="0"/>
              <w:snapToGrid/>
              <w:spacing w:line="360" w:lineRule="auto"/>
              <w:ind w:firstLine="480"/>
              <w:textAlignment w:val="auto"/>
            </w:pPr>
            <w:r>
              <w:rPr>
                <w:rFonts w:hint="eastAsia"/>
              </w:rPr>
              <w:t>慢裂或中裂</w:t>
            </w:r>
          </w:p>
        </w:tc>
        <w:tc>
          <w:tcPr>
            <w:tcW w:w="1964" w:type="dxa"/>
            <w:noWrap/>
            <w:vAlign w:val="center"/>
          </w:tcPr>
          <w:p w14:paraId="38AD90A9">
            <w:pPr>
              <w:pageBreakBefore w:val="0"/>
              <w:kinsoku/>
              <w:wordWrap/>
              <w:overflowPunct/>
              <w:topLinePunct w:val="0"/>
              <w:autoSpaceDE/>
              <w:autoSpaceDN/>
              <w:bidi w:val="0"/>
              <w:snapToGrid/>
              <w:spacing w:line="360" w:lineRule="auto"/>
              <w:textAlignment w:val="auto"/>
            </w:pPr>
            <w:r>
              <w:rPr>
                <w:rFonts w:hint="eastAsia"/>
              </w:rPr>
              <w:t>JTG E20-T 0658</w:t>
            </w:r>
          </w:p>
        </w:tc>
      </w:tr>
      <w:tr w14:paraId="75964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7692A04C">
            <w:pPr>
              <w:pageBreakBefore w:val="0"/>
              <w:kinsoku/>
              <w:wordWrap/>
              <w:overflowPunct/>
              <w:topLinePunct w:val="0"/>
              <w:autoSpaceDE/>
              <w:autoSpaceDN/>
              <w:bidi w:val="0"/>
              <w:snapToGrid/>
              <w:spacing w:line="360" w:lineRule="auto"/>
              <w:jc w:val="center"/>
              <w:textAlignment w:val="auto"/>
            </w:pPr>
            <w:r>
              <w:rPr>
                <w:rFonts w:hint="eastAsia"/>
              </w:rPr>
              <w:t>粒子电荷</w:t>
            </w:r>
          </w:p>
        </w:tc>
        <w:tc>
          <w:tcPr>
            <w:tcW w:w="851" w:type="dxa"/>
            <w:noWrap/>
            <w:vAlign w:val="center"/>
          </w:tcPr>
          <w:p w14:paraId="48217A0B">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52745357">
            <w:pPr>
              <w:pageBreakBefore w:val="0"/>
              <w:kinsoku/>
              <w:wordWrap/>
              <w:overflowPunct/>
              <w:topLinePunct w:val="0"/>
              <w:autoSpaceDE/>
              <w:autoSpaceDN/>
              <w:bidi w:val="0"/>
              <w:snapToGrid/>
              <w:spacing w:line="360" w:lineRule="auto"/>
              <w:textAlignment w:val="auto"/>
            </w:pPr>
            <w:r>
              <w:rPr>
                <w:rFonts w:hint="eastAsia"/>
              </w:rPr>
              <w:t>阴离子、阳离子或非离子</w:t>
            </w:r>
          </w:p>
        </w:tc>
        <w:tc>
          <w:tcPr>
            <w:tcW w:w="1964" w:type="dxa"/>
            <w:noWrap/>
            <w:vAlign w:val="center"/>
          </w:tcPr>
          <w:p w14:paraId="7FDFEB20">
            <w:pPr>
              <w:pageBreakBefore w:val="0"/>
              <w:kinsoku/>
              <w:wordWrap/>
              <w:overflowPunct/>
              <w:topLinePunct w:val="0"/>
              <w:autoSpaceDE/>
              <w:autoSpaceDN/>
              <w:bidi w:val="0"/>
              <w:snapToGrid/>
              <w:spacing w:line="360" w:lineRule="auto"/>
              <w:textAlignment w:val="auto"/>
            </w:pPr>
            <w:r>
              <w:rPr>
                <w:rFonts w:hint="eastAsia"/>
              </w:rPr>
              <w:t>JTG E20-T 0653</w:t>
            </w:r>
          </w:p>
        </w:tc>
      </w:tr>
      <w:tr w14:paraId="255F2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78F6EF1B">
            <w:pPr>
              <w:pageBreakBefore w:val="0"/>
              <w:kinsoku/>
              <w:wordWrap/>
              <w:overflowPunct/>
              <w:topLinePunct w:val="0"/>
              <w:autoSpaceDE/>
              <w:autoSpaceDN/>
              <w:bidi w:val="0"/>
              <w:snapToGrid/>
              <w:spacing w:line="360" w:lineRule="auto"/>
              <w:jc w:val="center"/>
              <w:textAlignment w:val="auto"/>
            </w:pPr>
            <w:r>
              <w:rPr>
                <w:rFonts w:hint="eastAsia"/>
              </w:rPr>
              <w:t>筛上残留物（1.18mm筛）</w:t>
            </w:r>
          </w:p>
        </w:tc>
        <w:tc>
          <w:tcPr>
            <w:tcW w:w="851" w:type="dxa"/>
            <w:noWrap/>
            <w:vAlign w:val="center"/>
          </w:tcPr>
          <w:p w14:paraId="34F466FE">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5CC01FA9">
            <w:pPr>
              <w:pageBreakBefore w:val="0"/>
              <w:kinsoku/>
              <w:wordWrap/>
              <w:overflowPunct/>
              <w:topLinePunct w:val="0"/>
              <w:autoSpaceDE/>
              <w:autoSpaceDN/>
              <w:bidi w:val="0"/>
              <w:snapToGrid/>
              <w:spacing w:line="360" w:lineRule="auto"/>
              <w:ind w:firstLine="480"/>
              <w:textAlignment w:val="auto"/>
            </w:pPr>
            <w:r>
              <w:rPr>
                <w:rFonts w:hint="eastAsia"/>
              </w:rPr>
              <w:t>≤0.1</w:t>
            </w:r>
          </w:p>
        </w:tc>
        <w:tc>
          <w:tcPr>
            <w:tcW w:w="1964" w:type="dxa"/>
            <w:noWrap/>
            <w:vAlign w:val="center"/>
          </w:tcPr>
          <w:p w14:paraId="64964D0D">
            <w:pPr>
              <w:pageBreakBefore w:val="0"/>
              <w:kinsoku/>
              <w:wordWrap/>
              <w:overflowPunct/>
              <w:topLinePunct w:val="0"/>
              <w:autoSpaceDE/>
              <w:autoSpaceDN/>
              <w:bidi w:val="0"/>
              <w:snapToGrid/>
              <w:spacing w:line="360" w:lineRule="auto"/>
              <w:textAlignment w:val="auto"/>
            </w:pPr>
            <w:r>
              <w:rPr>
                <w:rFonts w:hint="eastAsia"/>
              </w:rPr>
              <w:t>JTG E20-T 0652</w:t>
            </w:r>
          </w:p>
        </w:tc>
      </w:tr>
      <w:tr w14:paraId="4CC3D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48054B06">
            <w:pPr>
              <w:pageBreakBefore w:val="0"/>
              <w:kinsoku/>
              <w:wordWrap/>
              <w:overflowPunct/>
              <w:topLinePunct w:val="0"/>
              <w:autoSpaceDE/>
              <w:autoSpaceDN/>
              <w:bidi w:val="0"/>
              <w:snapToGrid/>
              <w:spacing w:line="360" w:lineRule="auto"/>
              <w:jc w:val="center"/>
              <w:textAlignment w:val="auto"/>
            </w:pPr>
            <w:r>
              <w:rPr>
                <w:rFonts w:hint="eastAsia"/>
              </w:rPr>
              <w:t>颜色</w:t>
            </w:r>
          </w:p>
        </w:tc>
        <w:tc>
          <w:tcPr>
            <w:tcW w:w="851" w:type="dxa"/>
            <w:noWrap/>
            <w:vAlign w:val="center"/>
          </w:tcPr>
          <w:p w14:paraId="1003EF6C">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46DB99FD">
            <w:pPr>
              <w:pageBreakBefore w:val="0"/>
              <w:kinsoku/>
              <w:wordWrap/>
              <w:overflowPunct/>
              <w:topLinePunct w:val="0"/>
              <w:autoSpaceDE/>
              <w:autoSpaceDN/>
              <w:bidi w:val="0"/>
              <w:snapToGrid/>
              <w:spacing w:line="360" w:lineRule="auto"/>
              <w:ind w:firstLine="480"/>
              <w:textAlignment w:val="auto"/>
            </w:pPr>
            <w:r>
              <w:rPr>
                <w:rFonts w:hint="eastAsia"/>
              </w:rPr>
              <w:t>乳白、淡黄、灰色</w:t>
            </w:r>
          </w:p>
        </w:tc>
        <w:tc>
          <w:tcPr>
            <w:tcW w:w="1964" w:type="dxa"/>
            <w:noWrap/>
            <w:vAlign w:val="center"/>
          </w:tcPr>
          <w:p w14:paraId="540839EC">
            <w:pPr>
              <w:pageBreakBefore w:val="0"/>
              <w:kinsoku/>
              <w:wordWrap/>
              <w:overflowPunct/>
              <w:topLinePunct w:val="0"/>
              <w:autoSpaceDE/>
              <w:autoSpaceDN/>
              <w:bidi w:val="0"/>
              <w:snapToGrid/>
              <w:spacing w:line="360" w:lineRule="auto"/>
              <w:textAlignment w:val="auto"/>
            </w:pPr>
            <w:r>
              <w:rPr>
                <w:rFonts w:hint="eastAsia"/>
              </w:rPr>
              <w:t>GB/T 11175.1</w:t>
            </w:r>
          </w:p>
        </w:tc>
      </w:tr>
      <w:tr w14:paraId="3AFF4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0614F452">
            <w:pPr>
              <w:pageBreakBefore w:val="0"/>
              <w:kinsoku/>
              <w:wordWrap/>
              <w:overflowPunct/>
              <w:topLinePunct w:val="0"/>
              <w:autoSpaceDE/>
              <w:autoSpaceDN/>
              <w:bidi w:val="0"/>
              <w:snapToGrid/>
              <w:spacing w:line="360" w:lineRule="auto"/>
              <w:jc w:val="center"/>
              <w:textAlignment w:val="auto"/>
            </w:pPr>
            <w:r>
              <w:rPr>
                <w:rFonts w:hint="eastAsia"/>
              </w:rPr>
              <w:t>密度</w:t>
            </w:r>
          </w:p>
        </w:tc>
        <w:tc>
          <w:tcPr>
            <w:tcW w:w="851" w:type="dxa"/>
            <w:noWrap/>
            <w:vAlign w:val="center"/>
          </w:tcPr>
          <w:p w14:paraId="17018E79">
            <w:pPr>
              <w:pageBreakBefore w:val="0"/>
              <w:kinsoku/>
              <w:wordWrap/>
              <w:overflowPunct/>
              <w:topLinePunct w:val="0"/>
              <w:autoSpaceDE/>
              <w:autoSpaceDN/>
              <w:bidi w:val="0"/>
              <w:snapToGrid/>
              <w:spacing w:line="360" w:lineRule="auto"/>
              <w:jc w:val="center"/>
              <w:textAlignment w:val="auto"/>
            </w:pPr>
            <w:r>
              <w:rPr>
                <w:rFonts w:hint="eastAsia"/>
              </w:rPr>
              <w:t>Kg/m</w:t>
            </w:r>
            <w:r>
              <w:rPr>
                <w:rFonts w:hint="eastAsia"/>
                <w:vertAlign w:val="superscript"/>
              </w:rPr>
              <w:t>3</w:t>
            </w:r>
          </w:p>
        </w:tc>
        <w:tc>
          <w:tcPr>
            <w:tcW w:w="2551" w:type="dxa"/>
            <w:noWrap/>
            <w:vAlign w:val="center"/>
          </w:tcPr>
          <w:p w14:paraId="668A3EA6">
            <w:pPr>
              <w:pageBreakBefore w:val="0"/>
              <w:kinsoku/>
              <w:wordWrap/>
              <w:overflowPunct/>
              <w:topLinePunct w:val="0"/>
              <w:autoSpaceDE/>
              <w:autoSpaceDN/>
              <w:bidi w:val="0"/>
              <w:snapToGrid/>
              <w:spacing w:line="360" w:lineRule="auto"/>
              <w:ind w:firstLine="480"/>
              <w:textAlignment w:val="auto"/>
            </w:pPr>
            <w:r>
              <w:rPr>
                <w:rFonts w:hint="eastAsia"/>
              </w:rPr>
              <w:t>0.98×103~1.08×103</w:t>
            </w:r>
          </w:p>
        </w:tc>
        <w:tc>
          <w:tcPr>
            <w:tcW w:w="1964" w:type="dxa"/>
            <w:noWrap/>
            <w:vAlign w:val="center"/>
          </w:tcPr>
          <w:p w14:paraId="60D74F2A">
            <w:pPr>
              <w:pageBreakBefore w:val="0"/>
              <w:kinsoku/>
              <w:wordWrap/>
              <w:overflowPunct/>
              <w:topLinePunct w:val="0"/>
              <w:autoSpaceDE/>
              <w:autoSpaceDN/>
              <w:bidi w:val="0"/>
              <w:snapToGrid/>
              <w:spacing w:line="360" w:lineRule="auto"/>
              <w:textAlignment w:val="auto"/>
            </w:pPr>
            <w:r>
              <w:rPr>
                <w:rFonts w:hint="eastAsia"/>
              </w:rPr>
              <w:t>JTG E20- T0603</w:t>
            </w:r>
          </w:p>
        </w:tc>
      </w:tr>
      <w:tr w14:paraId="5E011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3E81DD3D">
            <w:pPr>
              <w:pageBreakBefore w:val="0"/>
              <w:kinsoku/>
              <w:wordWrap/>
              <w:overflowPunct/>
              <w:topLinePunct w:val="0"/>
              <w:autoSpaceDE/>
              <w:autoSpaceDN/>
              <w:bidi w:val="0"/>
              <w:snapToGrid/>
              <w:spacing w:line="360" w:lineRule="auto"/>
              <w:jc w:val="center"/>
              <w:textAlignment w:val="auto"/>
            </w:pPr>
            <w:r>
              <w:rPr>
                <w:rFonts w:hint="eastAsia"/>
              </w:rPr>
              <w:t>布氏粘度（20℃）</w:t>
            </w:r>
          </w:p>
        </w:tc>
        <w:tc>
          <w:tcPr>
            <w:tcW w:w="851" w:type="dxa"/>
            <w:noWrap/>
            <w:vAlign w:val="center"/>
          </w:tcPr>
          <w:p w14:paraId="10EB0A29">
            <w:pPr>
              <w:pageBreakBefore w:val="0"/>
              <w:kinsoku/>
              <w:wordWrap/>
              <w:overflowPunct/>
              <w:topLinePunct w:val="0"/>
              <w:autoSpaceDE/>
              <w:autoSpaceDN/>
              <w:bidi w:val="0"/>
              <w:snapToGrid/>
              <w:spacing w:line="360" w:lineRule="auto"/>
              <w:jc w:val="center"/>
              <w:textAlignment w:val="auto"/>
            </w:pPr>
            <w:r>
              <w:rPr>
                <w:rFonts w:hint="eastAsia"/>
              </w:rPr>
              <w:t>mPa.s</w:t>
            </w:r>
          </w:p>
        </w:tc>
        <w:tc>
          <w:tcPr>
            <w:tcW w:w="2551" w:type="dxa"/>
            <w:noWrap/>
            <w:vAlign w:val="center"/>
          </w:tcPr>
          <w:p w14:paraId="2F5FDA69">
            <w:pPr>
              <w:pageBreakBefore w:val="0"/>
              <w:kinsoku/>
              <w:wordWrap/>
              <w:overflowPunct/>
              <w:topLinePunct w:val="0"/>
              <w:autoSpaceDE/>
              <w:autoSpaceDN/>
              <w:bidi w:val="0"/>
              <w:snapToGrid/>
              <w:spacing w:line="360" w:lineRule="auto"/>
              <w:ind w:firstLine="480"/>
              <w:textAlignment w:val="auto"/>
            </w:pPr>
            <w:r>
              <w:rPr>
                <w:rFonts w:hint="eastAsia"/>
              </w:rPr>
              <w:t>≤250</w:t>
            </w:r>
          </w:p>
        </w:tc>
        <w:tc>
          <w:tcPr>
            <w:tcW w:w="1964" w:type="dxa"/>
            <w:noWrap/>
            <w:vAlign w:val="center"/>
          </w:tcPr>
          <w:p w14:paraId="06C95B41">
            <w:pPr>
              <w:pageBreakBefore w:val="0"/>
              <w:kinsoku/>
              <w:wordWrap/>
              <w:overflowPunct/>
              <w:topLinePunct w:val="0"/>
              <w:autoSpaceDE/>
              <w:autoSpaceDN/>
              <w:bidi w:val="0"/>
              <w:snapToGrid/>
              <w:spacing w:line="360" w:lineRule="auto"/>
              <w:textAlignment w:val="auto"/>
            </w:pPr>
            <w:r>
              <w:rPr>
                <w:rFonts w:hint="eastAsia"/>
              </w:rPr>
              <w:t>JTG E20-T 0625</w:t>
            </w:r>
          </w:p>
        </w:tc>
      </w:tr>
      <w:tr w14:paraId="7F7EB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114C18B0">
            <w:pPr>
              <w:pageBreakBefore w:val="0"/>
              <w:kinsoku/>
              <w:wordWrap/>
              <w:overflowPunct/>
              <w:topLinePunct w:val="0"/>
              <w:autoSpaceDE/>
              <w:autoSpaceDN/>
              <w:bidi w:val="0"/>
              <w:snapToGrid/>
              <w:spacing w:line="360" w:lineRule="auto"/>
              <w:jc w:val="center"/>
              <w:textAlignment w:val="auto"/>
            </w:pPr>
            <w:r>
              <w:rPr>
                <w:rFonts w:hint="eastAsia"/>
              </w:rPr>
              <w:t>残留分含量</w:t>
            </w:r>
          </w:p>
        </w:tc>
        <w:tc>
          <w:tcPr>
            <w:tcW w:w="851" w:type="dxa"/>
            <w:noWrap/>
            <w:vAlign w:val="center"/>
          </w:tcPr>
          <w:p w14:paraId="76BBF131">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3380D6C3">
            <w:pPr>
              <w:pageBreakBefore w:val="0"/>
              <w:kinsoku/>
              <w:wordWrap/>
              <w:overflowPunct/>
              <w:topLinePunct w:val="0"/>
              <w:autoSpaceDE/>
              <w:autoSpaceDN/>
              <w:bidi w:val="0"/>
              <w:snapToGrid/>
              <w:spacing w:line="360" w:lineRule="auto"/>
              <w:ind w:firstLine="480"/>
              <w:textAlignment w:val="auto"/>
            </w:pPr>
            <w:r>
              <w:rPr>
                <w:rFonts w:hint="eastAsia"/>
              </w:rPr>
              <w:t>≥46</w:t>
            </w:r>
          </w:p>
        </w:tc>
        <w:tc>
          <w:tcPr>
            <w:tcW w:w="1964" w:type="dxa"/>
            <w:noWrap/>
            <w:vAlign w:val="center"/>
          </w:tcPr>
          <w:p w14:paraId="4065BAC1">
            <w:pPr>
              <w:pageBreakBefore w:val="0"/>
              <w:kinsoku/>
              <w:wordWrap/>
              <w:overflowPunct/>
              <w:topLinePunct w:val="0"/>
              <w:autoSpaceDE/>
              <w:autoSpaceDN/>
              <w:bidi w:val="0"/>
              <w:snapToGrid/>
              <w:spacing w:line="360" w:lineRule="auto"/>
              <w:textAlignment w:val="auto"/>
            </w:pPr>
            <w:r>
              <w:rPr>
                <w:rFonts w:hint="eastAsia"/>
              </w:rPr>
              <w:t>JTG E20-T 0651</w:t>
            </w:r>
          </w:p>
        </w:tc>
      </w:tr>
      <w:tr w14:paraId="0CBD2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noWrap/>
            <w:vAlign w:val="center"/>
          </w:tcPr>
          <w:p w14:paraId="6CEE2866">
            <w:pPr>
              <w:pageBreakBefore w:val="0"/>
              <w:kinsoku/>
              <w:wordWrap/>
              <w:overflowPunct/>
              <w:topLinePunct w:val="0"/>
              <w:autoSpaceDE/>
              <w:autoSpaceDN/>
              <w:bidi w:val="0"/>
              <w:snapToGrid/>
              <w:spacing w:line="360" w:lineRule="auto"/>
              <w:jc w:val="center"/>
              <w:textAlignment w:val="auto"/>
            </w:pPr>
            <w:r>
              <w:rPr>
                <w:rFonts w:hint="eastAsia"/>
              </w:rPr>
              <w:t>与固体粉料的拌和试验</w:t>
            </w:r>
          </w:p>
        </w:tc>
        <w:tc>
          <w:tcPr>
            <w:tcW w:w="851" w:type="dxa"/>
            <w:noWrap/>
            <w:vAlign w:val="center"/>
          </w:tcPr>
          <w:p w14:paraId="6D619C4C">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084875EC">
            <w:pPr>
              <w:pageBreakBefore w:val="0"/>
              <w:kinsoku/>
              <w:wordWrap/>
              <w:overflowPunct/>
              <w:topLinePunct w:val="0"/>
              <w:autoSpaceDE/>
              <w:autoSpaceDN/>
              <w:bidi w:val="0"/>
              <w:snapToGrid/>
              <w:spacing w:line="360" w:lineRule="auto"/>
              <w:ind w:firstLine="480"/>
              <w:textAlignment w:val="auto"/>
            </w:pPr>
            <w:r>
              <w:rPr>
                <w:rFonts w:hint="eastAsia"/>
              </w:rPr>
              <w:t>均匀</w:t>
            </w:r>
          </w:p>
        </w:tc>
        <w:tc>
          <w:tcPr>
            <w:tcW w:w="1964" w:type="dxa"/>
            <w:noWrap/>
            <w:vAlign w:val="center"/>
          </w:tcPr>
          <w:p w14:paraId="7CAC09C2">
            <w:pPr>
              <w:pageBreakBefore w:val="0"/>
              <w:kinsoku/>
              <w:wordWrap/>
              <w:overflowPunct/>
              <w:topLinePunct w:val="0"/>
              <w:autoSpaceDE/>
              <w:autoSpaceDN/>
              <w:bidi w:val="0"/>
              <w:snapToGrid/>
              <w:spacing w:line="360" w:lineRule="auto"/>
              <w:textAlignment w:val="auto"/>
            </w:pPr>
            <w:r>
              <w:rPr>
                <w:rFonts w:hint="eastAsia"/>
              </w:rPr>
              <w:t>JTG E20-T 0659</w:t>
            </w:r>
          </w:p>
        </w:tc>
      </w:tr>
      <w:tr w14:paraId="46A86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87" w:type="dxa"/>
            <w:vMerge w:val="restart"/>
            <w:noWrap/>
            <w:vAlign w:val="center"/>
          </w:tcPr>
          <w:p w14:paraId="27F0A196">
            <w:pPr>
              <w:pageBreakBefore w:val="0"/>
              <w:kinsoku/>
              <w:wordWrap/>
              <w:overflowPunct/>
              <w:topLinePunct w:val="0"/>
              <w:autoSpaceDE/>
              <w:autoSpaceDN/>
              <w:bidi w:val="0"/>
              <w:snapToGrid/>
              <w:spacing w:line="360" w:lineRule="auto"/>
              <w:jc w:val="center"/>
              <w:textAlignment w:val="auto"/>
            </w:pPr>
            <w:r>
              <w:rPr>
                <w:rFonts w:hint="eastAsia"/>
              </w:rPr>
              <w:t>常温贮存稳定性</w:t>
            </w:r>
          </w:p>
        </w:tc>
        <w:tc>
          <w:tcPr>
            <w:tcW w:w="743" w:type="dxa"/>
            <w:noWrap/>
            <w:vAlign w:val="center"/>
          </w:tcPr>
          <w:p w14:paraId="064C04AC">
            <w:pPr>
              <w:pageBreakBefore w:val="0"/>
              <w:kinsoku/>
              <w:wordWrap/>
              <w:overflowPunct/>
              <w:topLinePunct w:val="0"/>
              <w:autoSpaceDE/>
              <w:autoSpaceDN/>
              <w:bidi w:val="0"/>
              <w:snapToGrid/>
              <w:spacing w:line="360" w:lineRule="auto"/>
              <w:textAlignment w:val="auto"/>
            </w:pPr>
            <w:r>
              <w:rPr>
                <w:rFonts w:hint="eastAsia"/>
              </w:rPr>
              <w:t>1d</w:t>
            </w:r>
          </w:p>
        </w:tc>
        <w:tc>
          <w:tcPr>
            <w:tcW w:w="851" w:type="dxa"/>
            <w:noWrap/>
            <w:vAlign w:val="center"/>
          </w:tcPr>
          <w:p w14:paraId="2DE898EF">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39D29DE8">
            <w:pPr>
              <w:pageBreakBefore w:val="0"/>
              <w:kinsoku/>
              <w:wordWrap/>
              <w:overflowPunct/>
              <w:topLinePunct w:val="0"/>
              <w:autoSpaceDE/>
              <w:autoSpaceDN/>
              <w:bidi w:val="0"/>
              <w:snapToGrid/>
              <w:spacing w:line="360" w:lineRule="auto"/>
              <w:ind w:firstLine="480"/>
              <w:textAlignment w:val="auto"/>
            </w:pPr>
            <w:r>
              <w:rPr>
                <w:rFonts w:hint="eastAsia"/>
              </w:rPr>
              <w:t>≤1</w:t>
            </w:r>
          </w:p>
        </w:tc>
        <w:tc>
          <w:tcPr>
            <w:tcW w:w="1964" w:type="dxa"/>
            <w:vMerge w:val="restart"/>
            <w:noWrap/>
            <w:vAlign w:val="center"/>
          </w:tcPr>
          <w:p w14:paraId="1CADF678">
            <w:pPr>
              <w:pageBreakBefore w:val="0"/>
              <w:kinsoku/>
              <w:wordWrap/>
              <w:overflowPunct/>
              <w:topLinePunct w:val="0"/>
              <w:autoSpaceDE/>
              <w:autoSpaceDN/>
              <w:bidi w:val="0"/>
              <w:snapToGrid/>
              <w:spacing w:line="360" w:lineRule="auto"/>
              <w:textAlignment w:val="auto"/>
            </w:pPr>
            <w:r>
              <w:rPr>
                <w:rFonts w:hint="eastAsia"/>
              </w:rPr>
              <w:t>JTG E20-T 0655</w:t>
            </w:r>
          </w:p>
        </w:tc>
      </w:tr>
      <w:tr w14:paraId="69233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87" w:type="dxa"/>
            <w:vMerge w:val="continue"/>
            <w:noWrap/>
            <w:vAlign w:val="center"/>
          </w:tcPr>
          <w:p w14:paraId="74009F0D">
            <w:pPr>
              <w:pageBreakBefore w:val="0"/>
              <w:kinsoku/>
              <w:wordWrap/>
              <w:overflowPunct/>
              <w:topLinePunct w:val="0"/>
              <w:autoSpaceDE/>
              <w:autoSpaceDN/>
              <w:bidi w:val="0"/>
              <w:snapToGrid/>
              <w:spacing w:line="360" w:lineRule="auto"/>
              <w:ind w:firstLine="480"/>
              <w:textAlignment w:val="auto"/>
            </w:pPr>
          </w:p>
        </w:tc>
        <w:tc>
          <w:tcPr>
            <w:tcW w:w="743" w:type="dxa"/>
            <w:noWrap/>
            <w:vAlign w:val="center"/>
          </w:tcPr>
          <w:p w14:paraId="43430477">
            <w:pPr>
              <w:pageBreakBefore w:val="0"/>
              <w:kinsoku/>
              <w:wordWrap/>
              <w:overflowPunct/>
              <w:topLinePunct w:val="0"/>
              <w:autoSpaceDE/>
              <w:autoSpaceDN/>
              <w:bidi w:val="0"/>
              <w:snapToGrid/>
              <w:spacing w:line="360" w:lineRule="auto"/>
              <w:textAlignment w:val="auto"/>
            </w:pPr>
            <w:r>
              <w:rPr>
                <w:rFonts w:hint="eastAsia"/>
              </w:rPr>
              <w:t>5d</w:t>
            </w:r>
          </w:p>
        </w:tc>
        <w:tc>
          <w:tcPr>
            <w:tcW w:w="851" w:type="dxa"/>
            <w:noWrap/>
            <w:vAlign w:val="center"/>
          </w:tcPr>
          <w:p w14:paraId="2D05BE90">
            <w:pPr>
              <w:pageBreakBefore w:val="0"/>
              <w:kinsoku/>
              <w:wordWrap/>
              <w:overflowPunct/>
              <w:topLinePunct w:val="0"/>
              <w:autoSpaceDE/>
              <w:autoSpaceDN/>
              <w:bidi w:val="0"/>
              <w:snapToGrid/>
              <w:spacing w:line="360" w:lineRule="auto"/>
              <w:jc w:val="center"/>
              <w:textAlignment w:val="auto"/>
            </w:pPr>
            <w:r>
              <w:rPr>
                <w:rFonts w:hint="eastAsia"/>
              </w:rPr>
              <w:t>%</w:t>
            </w:r>
          </w:p>
        </w:tc>
        <w:tc>
          <w:tcPr>
            <w:tcW w:w="2551" w:type="dxa"/>
            <w:noWrap/>
            <w:vAlign w:val="center"/>
          </w:tcPr>
          <w:p w14:paraId="65A2DE3D">
            <w:pPr>
              <w:pageBreakBefore w:val="0"/>
              <w:kinsoku/>
              <w:wordWrap/>
              <w:overflowPunct/>
              <w:topLinePunct w:val="0"/>
              <w:autoSpaceDE/>
              <w:autoSpaceDN/>
              <w:bidi w:val="0"/>
              <w:snapToGrid/>
              <w:spacing w:line="360" w:lineRule="auto"/>
              <w:ind w:firstLine="480"/>
              <w:textAlignment w:val="auto"/>
            </w:pPr>
            <w:r>
              <w:rPr>
                <w:rFonts w:hint="eastAsia"/>
              </w:rPr>
              <w:t>≤3</w:t>
            </w:r>
          </w:p>
        </w:tc>
        <w:tc>
          <w:tcPr>
            <w:tcW w:w="1964" w:type="dxa"/>
            <w:vMerge w:val="continue"/>
            <w:noWrap/>
            <w:vAlign w:val="center"/>
          </w:tcPr>
          <w:p w14:paraId="49E60DE7">
            <w:pPr>
              <w:pageBreakBefore w:val="0"/>
              <w:kinsoku/>
              <w:wordWrap/>
              <w:overflowPunct/>
              <w:topLinePunct w:val="0"/>
              <w:autoSpaceDE/>
              <w:autoSpaceDN/>
              <w:bidi w:val="0"/>
              <w:snapToGrid/>
              <w:spacing w:line="360" w:lineRule="auto"/>
              <w:ind w:firstLine="480"/>
              <w:textAlignment w:val="auto"/>
            </w:pPr>
          </w:p>
        </w:tc>
      </w:tr>
    </w:tbl>
    <w:p w14:paraId="12D7301A">
      <w:pPr>
        <w:pageBreakBefore w:val="0"/>
        <w:kinsoku/>
        <w:wordWrap/>
        <w:overflowPunct/>
        <w:topLinePunct w:val="0"/>
        <w:autoSpaceDE/>
        <w:autoSpaceDN/>
        <w:bidi w:val="0"/>
        <w:adjustRightInd w:val="0"/>
        <w:snapToGrid/>
        <w:spacing w:line="360" w:lineRule="auto"/>
        <w:ind w:firstLine="48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（2）B组份：固体粉料技术要求。固体粉料的质量应符合下表要求。</w:t>
      </w:r>
    </w:p>
    <w:p w14:paraId="2DE1C45D">
      <w:pPr>
        <w:pageBreakBefore w:val="0"/>
        <w:kinsoku/>
        <w:wordWrap/>
        <w:overflowPunct/>
        <w:topLinePunct w:val="0"/>
        <w:autoSpaceDE/>
        <w:autoSpaceDN/>
        <w:bidi w:val="0"/>
        <w:adjustRightInd w:val="0"/>
        <w:snapToGrid/>
        <w:spacing w:line="360" w:lineRule="auto"/>
        <w:ind w:firstLine="480"/>
        <w:jc w:val="center"/>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固体粉料技术要求（表二）</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1"/>
        <w:gridCol w:w="1336"/>
        <w:gridCol w:w="1036"/>
        <w:gridCol w:w="2664"/>
        <w:gridCol w:w="2052"/>
      </w:tblGrid>
      <w:tr w14:paraId="23137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2707" w:type="dxa"/>
            <w:gridSpan w:val="2"/>
            <w:noWrap/>
            <w:vAlign w:val="center"/>
          </w:tcPr>
          <w:p w14:paraId="7EBD7CA8">
            <w:pPr>
              <w:pageBreakBefore w:val="0"/>
              <w:kinsoku/>
              <w:wordWrap/>
              <w:overflowPunct/>
              <w:topLinePunct w:val="0"/>
              <w:autoSpaceDE/>
              <w:autoSpaceDN/>
              <w:bidi w:val="0"/>
              <w:snapToGrid/>
              <w:spacing w:line="360" w:lineRule="auto"/>
              <w:ind w:firstLine="480"/>
              <w:textAlignment w:val="auto"/>
            </w:pPr>
            <w:r>
              <w:rPr>
                <w:rFonts w:hint="eastAsia"/>
              </w:rPr>
              <w:t>项目</w:t>
            </w:r>
          </w:p>
        </w:tc>
        <w:tc>
          <w:tcPr>
            <w:tcW w:w="1036" w:type="dxa"/>
            <w:noWrap/>
            <w:vAlign w:val="center"/>
          </w:tcPr>
          <w:p w14:paraId="77DE71AE">
            <w:pPr>
              <w:pageBreakBefore w:val="0"/>
              <w:kinsoku/>
              <w:wordWrap/>
              <w:overflowPunct/>
              <w:topLinePunct w:val="0"/>
              <w:autoSpaceDE/>
              <w:autoSpaceDN/>
              <w:bidi w:val="0"/>
              <w:snapToGrid/>
              <w:spacing w:line="360" w:lineRule="auto"/>
              <w:textAlignment w:val="auto"/>
            </w:pPr>
            <w:r>
              <w:rPr>
                <w:rFonts w:hint="eastAsia"/>
              </w:rPr>
              <w:t>单位</w:t>
            </w:r>
          </w:p>
        </w:tc>
        <w:tc>
          <w:tcPr>
            <w:tcW w:w="2664" w:type="dxa"/>
            <w:noWrap/>
            <w:vAlign w:val="center"/>
          </w:tcPr>
          <w:p w14:paraId="36B33B15">
            <w:pPr>
              <w:pageBreakBefore w:val="0"/>
              <w:kinsoku/>
              <w:wordWrap/>
              <w:overflowPunct/>
              <w:topLinePunct w:val="0"/>
              <w:autoSpaceDE/>
              <w:autoSpaceDN/>
              <w:bidi w:val="0"/>
              <w:snapToGrid/>
              <w:spacing w:line="360" w:lineRule="auto"/>
              <w:ind w:firstLine="480"/>
              <w:jc w:val="center"/>
              <w:textAlignment w:val="auto"/>
            </w:pPr>
            <w:r>
              <w:rPr>
                <w:rFonts w:hint="eastAsia"/>
              </w:rPr>
              <w:t>技术要求</w:t>
            </w:r>
          </w:p>
        </w:tc>
        <w:tc>
          <w:tcPr>
            <w:tcW w:w="2052" w:type="dxa"/>
            <w:noWrap/>
            <w:vAlign w:val="center"/>
          </w:tcPr>
          <w:p w14:paraId="399394FE">
            <w:pPr>
              <w:pageBreakBefore w:val="0"/>
              <w:kinsoku/>
              <w:wordWrap/>
              <w:overflowPunct/>
              <w:topLinePunct w:val="0"/>
              <w:autoSpaceDE/>
              <w:autoSpaceDN/>
              <w:bidi w:val="0"/>
              <w:snapToGrid/>
              <w:spacing w:line="360" w:lineRule="auto"/>
              <w:ind w:firstLine="480"/>
              <w:jc w:val="center"/>
              <w:textAlignment w:val="auto"/>
            </w:pPr>
            <w:r>
              <w:rPr>
                <w:rFonts w:hint="eastAsia"/>
              </w:rPr>
              <w:t>试验方法</w:t>
            </w:r>
          </w:p>
        </w:tc>
      </w:tr>
      <w:tr w14:paraId="52E23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2707" w:type="dxa"/>
            <w:gridSpan w:val="2"/>
            <w:noWrap/>
            <w:vAlign w:val="center"/>
          </w:tcPr>
          <w:p w14:paraId="0B6DC8D3">
            <w:pPr>
              <w:pageBreakBefore w:val="0"/>
              <w:kinsoku/>
              <w:wordWrap/>
              <w:overflowPunct/>
              <w:topLinePunct w:val="0"/>
              <w:autoSpaceDE/>
              <w:autoSpaceDN/>
              <w:bidi w:val="0"/>
              <w:snapToGrid/>
              <w:spacing w:line="360" w:lineRule="auto"/>
              <w:ind w:firstLine="480"/>
              <w:textAlignment w:val="auto"/>
            </w:pPr>
            <w:r>
              <w:rPr>
                <w:rFonts w:hint="eastAsia"/>
              </w:rPr>
              <w:t>颜色</w:t>
            </w:r>
          </w:p>
        </w:tc>
        <w:tc>
          <w:tcPr>
            <w:tcW w:w="1036" w:type="dxa"/>
            <w:noWrap/>
            <w:vAlign w:val="center"/>
          </w:tcPr>
          <w:p w14:paraId="38D1C482">
            <w:pPr>
              <w:pageBreakBefore w:val="0"/>
              <w:kinsoku/>
              <w:wordWrap/>
              <w:overflowPunct/>
              <w:topLinePunct w:val="0"/>
              <w:autoSpaceDE/>
              <w:autoSpaceDN/>
              <w:bidi w:val="0"/>
              <w:snapToGrid/>
              <w:spacing w:line="360" w:lineRule="auto"/>
              <w:textAlignment w:val="auto"/>
            </w:pPr>
            <w:r>
              <w:rPr>
                <w:rFonts w:hint="eastAsia"/>
              </w:rPr>
              <w:t>/</w:t>
            </w:r>
          </w:p>
        </w:tc>
        <w:tc>
          <w:tcPr>
            <w:tcW w:w="2664" w:type="dxa"/>
            <w:noWrap/>
            <w:vAlign w:val="center"/>
          </w:tcPr>
          <w:p w14:paraId="7E57A0E9">
            <w:pPr>
              <w:pageBreakBefore w:val="0"/>
              <w:kinsoku/>
              <w:wordWrap/>
              <w:overflowPunct/>
              <w:topLinePunct w:val="0"/>
              <w:autoSpaceDE/>
              <w:autoSpaceDN/>
              <w:bidi w:val="0"/>
              <w:snapToGrid/>
              <w:spacing w:line="360" w:lineRule="auto"/>
              <w:ind w:firstLine="480"/>
              <w:textAlignment w:val="auto"/>
            </w:pPr>
            <w:r>
              <w:rPr>
                <w:rFonts w:hint="eastAsia"/>
              </w:rPr>
              <w:t>符合设计</w:t>
            </w:r>
          </w:p>
        </w:tc>
        <w:tc>
          <w:tcPr>
            <w:tcW w:w="2052" w:type="dxa"/>
            <w:noWrap/>
            <w:vAlign w:val="center"/>
          </w:tcPr>
          <w:p w14:paraId="155C3B0A">
            <w:pPr>
              <w:pageBreakBefore w:val="0"/>
              <w:kinsoku/>
              <w:wordWrap/>
              <w:overflowPunct/>
              <w:topLinePunct w:val="0"/>
              <w:autoSpaceDE/>
              <w:autoSpaceDN/>
              <w:bidi w:val="0"/>
              <w:snapToGrid/>
              <w:spacing w:line="360" w:lineRule="auto"/>
              <w:ind w:firstLine="480"/>
              <w:textAlignment w:val="auto"/>
            </w:pPr>
            <w:r>
              <w:rPr>
                <w:rFonts w:hint="eastAsia"/>
              </w:rPr>
              <w:t>目测</w:t>
            </w:r>
          </w:p>
        </w:tc>
      </w:tr>
      <w:tr w14:paraId="41942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2707" w:type="dxa"/>
            <w:gridSpan w:val="2"/>
            <w:noWrap/>
            <w:vAlign w:val="center"/>
          </w:tcPr>
          <w:p w14:paraId="1A97B60A">
            <w:pPr>
              <w:pageBreakBefore w:val="0"/>
              <w:kinsoku/>
              <w:wordWrap/>
              <w:overflowPunct/>
              <w:topLinePunct w:val="0"/>
              <w:autoSpaceDE/>
              <w:autoSpaceDN/>
              <w:bidi w:val="0"/>
              <w:snapToGrid/>
              <w:spacing w:line="360" w:lineRule="auto"/>
              <w:ind w:firstLine="480"/>
              <w:textAlignment w:val="auto"/>
            </w:pPr>
            <w:r>
              <w:rPr>
                <w:rFonts w:hint="eastAsia"/>
              </w:rPr>
              <w:t>堆积密度</w:t>
            </w:r>
          </w:p>
        </w:tc>
        <w:tc>
          <w:tcPr>
            <w:tcW w:w="1036" w:type="dxa"/>
            <w:noWrap/>
            <w:vAlign w:val="center"/>
          </w:tcPr>
          <w:p w14:paraId="120635C2">
            <w:pPr>
              <w:pageBreakBefore w:val="0"/>
              <w:kinsoku/>
              <w:wordWrap/>
              <w:overflowPunct/>
              <w:topLinePunct w:val="0"/>
              <w:autoSpaceDE/>
              <w:autoSpaceDN/>
              <w:bidi w:val="0"/>
              <w:snapToGrid/>
              <w:spacing w:line="360" w:lineRule="auto"/>
              <w:textAlignment w:val="auto"/>
            </w:pPr>
            <w:r>
              <w:rPr>
                <w:rFonts w:hint="eastAsia"/>
              </w:rPr>
              <w:t>kg/m</w:t>
            </w:r>
            <w:r>
              <w:rPr>
                <w:rFonts w:hint="eastAsia"/>
                <w:vertAlign w:val="superscript"/>
              </w:rPr>
              <w:t>3</w:t>
            </w:r>
          </w:p>
        </w:tc>
        <w:tc>
          <w:tcPr>
            <w:tcW w:w="2664" w:type="dxa"/>
            <w:noWrap/>
            <w:vAlign w:val="center"/>
          </w:tcPr>
          <w:p w14:paraId="07BC06DC">
            <w:pPr>
              <w:pageBreakBefore w:val="0"/>
              <w:kinsoku/>
              <w:wordWrap/>
              <w:overflowPunct/>
              <w:topLinePunct w:val="0"/>
              <w:autoSpaceDE/>
              <w:autoSpaceDN/>
              <w:bidi w:val="0"/>
              <w:snapToGrid/>
              <w:spacing w:line="360" w:lineRule="auto"/>
              <w:textAlignment w:val="auto"/>
            </w:pPr>
            <w:r>
              <w:rPr>
                <w:rFonts w:hint="eastAsia"/>
              </w:rPr>
              <w:t>1.45×103~1.65×103</w:t>
            </w:r>
          </w:p>
        </w:tc>
        <w:tc>
          <w:tcPr>
            <w:tcW w:w="2052" w:type="dxa"/>
            <w:noWrap/>
            <w:vAlign w:val="center"/>
          </w:tcPr>
          <w:p w14:paraId="41D2ABD5">
            <w:pPr>
              <w:pageBreakBefore w:val="0"/>
              <w:kinsoku/>
              <w:wordWrap/>
              <w:overflowPunct/>
              <w:topLinePunct w:val="0"/>
              <w:autoSpaceDE/>
              <w:autoSpaceDN/>
              <w:bidi w:val="0"/>
              <w:snapToGrid/>
              <w:spacing w:line="360" w:lineRule="auto"/>
              <w:textAlignment w:val="auto"/>
            </w:pPr>
            <w:r>
              <w:rPr>
                <w:rFonts w:hint="eastAsia"/>
              </w:rPr>
              <w:t>JTG E42-T 0309</w:t>
            </w:r>
          </w:p>
        </w:tc>
      </w:tr>
      <w:tr w14:paraId="0FAD9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71" w:type="dxa"/>
            <w:vMerge w:val="restart"/>
            <w:noWrap/>
            <w:vAlign w:val="center"/>
          </w:tcPr>
          <w:p w14:paraId="2328B13E">
            <w:pPr>
              <w:pageBreakBefore w:val="0"/>
              <w:kinsoku/>
              <w:wordWrap/>
              <w:overflowPunct/>
              <w:topLinePunct w:val="0"/>
              <w:autoSpaceDE/>
              <w:autoSpaceDN/>
              <w:bidi w:val="0"/>
              <w:snapToGrid/>
              <w:spacing w:line="360" w:lineRule="auto"/>
              <w:textAlignment w:val="auto"/>
            </w:pPr>
            <w:r>
              <w:rPr>
                <w:rFonts w:hint="eastAsia"/>
              </w:rPr>
              <w:t>筛分试验（筛分孔尺寸/通过率）</w:t>
            </w:r>
          </w:p>
        </w:tc>
        <w:tc>
          <w:tcPr>
            <w:tcW w:w="1336" w:type="dxa"/>
            <w:noWrap/>
            <w:vAlign w:val="center"/>
          </w:tcPr>
          <w:p w14:paraId="419B37EC">
            <w:pPr>
              <w:pageBreakBefore w:val="0"/>
              <w:kinsoku/>
              <w:wordWrap/>
              <w:overflowPunct/>
              <w:topLinePunct w:val="0"/>
              <w:autoSpaceDE/>
              <w:autoSpaceDN/>
              <w:bidi w:val="0"/>
              <w:snapToGrid/>
              <w:spacing w:line="360" w:lineRule="auto"/>
              <w:textAlignment w:val="auto"/>
            </w:pPr>
            <w:r>
              <w:rPr>
                <w:rFonts w:hint="eastAsia"/>
              </w:rPr>
              <w:t>2.36mm</w:t>
            </w:r>
          </w:p>
        </w:tc>
        <w:tc>
          <w:tcPr>
            <w:tcW w:w="1036" w:type="dxa"/>
            <w:vMerge w:val="restart"/>
            <w:noWrap/>
            <w:vAlign w:val="center"/>
          </w:tcPr>
          <w:p w14:paraId="518294A8">
            <w:pPr>
              <w:pageBreakBefore w:val="0"/>
              <w:kinsoku/>
              <w:wordWrap/>
              <w:overflowPunct/>
              <w:topLinePunct w:val="0"/>
              <w:autoSpaceDE/>
              <w:autoSpaceDN/>
              <w:bidi w:val="0"/>
              <w:snapToGrid/>
              <w:spacing w:line="360" w:lineRule="auto"/>
              <w:textAlignment w:val="auto"/>
            </w:pPr>
            <w:r>
              <w:rPr>
                <w:rFonts w:hint="eastAsia"/>
              </w:rPr>
              <w:t>%</w:t>
            </w:r>
          </w:p>
        </w:tc>
        <w:tc>
          <w:tcPr>
            <w:tcW w:w="2664" w:type="dxa"/>
            <w:noWrap/>
            <w:vAlign w:val="center"/>
          </w:tcPr>
          <w:p w14:paraId="68EF4FA3">
            <w:pPr>
              <w:pageBreakBefore w:val="0"/>
              <w:kinsoku/>
              <w:wordWrap/>
              <w:overflowPunct/>
              <w:topLinePunct w:val="0"/>
              <w:autoSpaceDE/>
              <w:autoSpaceDN/>
              <w:bidi w:val="0"/>
              <w:snapToGrid/>
              <w:spacing w:line="360" w:lineRule="auto"/>
              <w:textAlignment w:val="auto"/>
            </w:pPr>
            <w:r>
              <w:rPr>
                <w:rFonts w:hint="eastAsia"/>
              </w:rPr>
              <w:t>100</w:t>
            </w:r>
          </w:p>
        </w:tc>
        <w:tc>
          <w:tcPr>
            <w:tcW w:w="2052" w:type="dxa"/>
            <w:vMerge w:val="restart"/>
            <w:noWrap/>
            <w:vAlign w:val="center"/>
          </w:tcPr>
          <w:p w14:paraId="1E438BB9">
            <w:pPr>
              <w:pageBreakBefore w:val="0"/>
              <w:kinsoku/>
              <w:wordWrap/>
              <w:overflowPunct/>
              <w:topLinePunct w:val="0"/>
              <w:autoSpaceDE/>
              <w:autoSpaceDN/>
              <w:bidi w:val="0"/>
              <w:snapToGrid/>
              <w:spacing w:line="360" w:lineRule="auto"/>
              <w:textAlignment w:val="auto"/>
            </w:pPr>
            <w:r>
              <w:rPr>
                <w:rFonts w:hint="eastAsia"/>
              </w:rPr>
              <w:t>JTG E42-T 0351</w:t>
            </w:r>
          </w:p>
        </w:tc>
      </w:tr>
      <w:tr w14:paraId="7E141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71" w:type="dxa"/>
            <w:vMerge w:val="continue"/>
            <w:noWrap/>
            <w:vAlign w:val="center"/>
          </w:tcPr>
          <w:p w14:paraId="720DB61D">
            <w:pPr>
              <w:pageBreakBefore w:val="0"/>
              <w:kinsoku/>
              <w:wordWrap/>
              <w:overflowPunct/>
              <w:topLinePunct w:val="0"/>
              <w:autoSpaceDE/>
              <w:autoSpaceDN/>
              <w:bidi w:val="0"/>
              <w:snapToGrid/>
              <w:spacing w:line="360" w:lineRule="auto"/>
              <w:ind w:firstLine="480"/>
              <w:textAlignment w:val="auto"/>
            </w:pPr>
          </w:p>
        </w:tc>
        <w:tc>
          <w:tcPr>
            <w:tcW w:w="1336" w:type="dxa"/>
            <w:noWrap/>
            <w:vAlign w:val="center"/>
          </w:tcPr>
          <w:p w14:paraId="7DC686AD">
            <w:pPr>
              <w:pageBreakBefore w:val="0"/>
              <w:kinsoku/>
              <w:wordWrap/>
              <w:overflowPunct/>
              <w:topLinePunct w:val="0"/>
              <w:autoSpaceDE/>
              <w:autoSpaceDN/>
              <w:bidi w:val="0"/>
              <w:snapToGrid/>
              <w:spacing w:line="360" w:lineRule="auto"/>
              <w:textAlignment w:val="auto"/>
            </w:pPr>
            <w:r>
              <w:rPr>
                <w:rFonts w:hint="eastAsia"/>
              </w:rPr>
              <w:t>1.18mm</w:t>
            </w:r>
          </w:p>
        </w:tc>
        <w:tc>
          <w:tcPr>
            <w:tcW w:w="1036" w:type="dxa"/>
            <w:vMerge w:val="continue"/>
            <w:noWrap/>
            <w:vAlign w:val="center"/>
          </w:tcPr>
          <w:p w14:paraId="2317F01A">
            <w:pPr>
              <w:pageBreakBefore w:val="0"/>
              <w:kinsoku/>
              <w:wordWrap/>
              <w:overflowPunct/>
              <w:topLinePunct w:val="0"/>
              <w:autoSpaceDE/>
              <w:autoSpaceDN/>
              <w:bidi w:val="0"/>
              <w:snapToGrid/>
              <w:spacing w:line="360" w:lineRule="auto"/>
              <w:ind w:firstLine="480"/>
              <w:textAlignment w:val="auto"/>
            </w:pPr>
          </w:p>
        </w:tc>
        <w:tc>
          <w:tcPr>
            <w:tcW w:w="2664" w:type="dxa"/>
            <w:noWrap/>
            <w:vAlign w:val="center"/>
          </w:tcPr>
          <w:p w14:paraId="35D7117A">
            <w:pPr>
              <w:pageBreakBefore w:val="0"/>
              <w:kinsoku/>
              <w:wordWrap/>
              <w:overflowPunct/>
              <w:topLinePunct w:val="0"/>
              <w:autoSpaceDE/>
              <w:autoSpaceDN/>
              <w:bidi w:val="0"/>
              <w:snapToGrid/>
              <w:spacing w:line="360" w:lineRule="auto"/>
              <w:textAlignment w:val="auto"/>
            </w:pPr>
            <w:r>
              <w:rPr>
                <w:rFonts w:hint="eastAsia"/>
              </w:rPr>
              <w:t>95~100</w:t>
            </w:r>
          </w:p>
        </w:tc>
        <w:tc>
          <w:tcPr>
            <w:tcW w:w="2052" w:type="dxa"/>
            <w:vMerge w:val="continue"/>
            <w:noWrap/>
            <w:vAlign w:val="center"/>
          </w:tcPr>
          <w:p w14:paraId="3B591E5B">
            <w:pPr>
              <w:pageBreakBefore w:val="0"/>
              <w:kinsoku/>
              <w:wordWrap/>
              <w:overflowPunct/>
              <w:topLinePunct w:val="0"/>
              <w:autoSpaceDE/>
              <w:autoSpaceDN/>
              <w:bidi w:val="0"/>
              <w:snapToGrid/>
              <w:spacing w:line="360" w:lineRule="auto"/>
              <w:ind w:firstLine="480"/>
              <w:textAlignment w:val="auto"/>
            </w:pPr>
          </w:p>
        </w:tc>
      </w:tr>
      <w:tr w14:paraId="198D7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1371" w:type="dxa"/>
            <w:vMerge w:val="continue"/>
            <w:noWrap/>
            <w:vAlign w:val="center"/>
          </w:tcPr>
          <w:p w14:paraId="79A16D0A">
            <w:pPr>
              <w:pageBreakBefore w:val="0"/>
              <w:kinsoku/>
              <w:wordWrap/>
              <w:overflowPunct/>
              <w:topLinePunct w:val="0"/>
              <w:autoSpaceDE/>
              <w:autoSpaceDN/>
              <w:bidi w:val="0"/>
              <w:snapToGrid/>
              <w:spacing w:line="360" w:lineRule="auto"/>
              <w:ind w:firstLine="480"/>
              <w:textAlignment w:val="auto"/>
            </w:pPr>
          </w:p>
        </w:tc>
        <w:tc>
          <w:tcPr>
            <w:tcW w:w="1336" w:type="dxa"/>
            <w:noWrap/>
            <w:vAlign w:val="center"/>
          </w:tcPr>
          <w:p w14:paraId="7E69E2E1">
            <w:pPr>
              <w:pageBreakBefore w:val="0"/>
              <w:kinsoku/>
              <w:wordWrap/>
              <w:overflowPunct/>
              <w:topLinePunct w:val="0"/>
              <w:autoSpaceDE/>
              <w:autoSpaceDN/>
              <w:bidi w:val="0"/>
              <w:snapToGrid/>
              <w:spacing w:line="360" w:lineRule="auto"/>
              <w:textAlignment w:val="auto"/>
            </w:pPr>
            <w:r>
              <w:rPr>
                <w:rFonts w:hint="eastAsia"/>
              </w:rPr>
              <w:t>0.075mm</w:t>
            </w:r>
          </w:p>
        </w:tc>
        <w:tc>
          <w:tcPr>
            <w:tcW w:w="1036" w:type="dxa"/>
            <w:vMerge w:val="continue"/>
            <w:noWrap/>
            <w:vAlign w:val="center"/>
          </w:tcPr>
          <w:p w14:paraId="644177B7">
            <w:pPr>
              <w:pageBreakBefore w:val="0"/>
              <w:kinsoku/>
              <w:wordWrap/>
              <w:overflowPunct/>
              <w:topLinePunct w:val="0"/>
              <w:autoSpaceDE/>
              <w:autoSpaceDN/>
              <w:bidi w:val="0"/>
              <w:snapToGrid/>
              <w:spacing w:line="360" w:lineRule="auto"/>
              <w:ind w:firstLine="480"/>
              <w:textAlignment w:val="auto"/>
            </w:pPr>
          </w:p>
        </w:tc>
        <w:tc>
          <w:tcPr>
            <w:tcW w:w="2664" w:type="dxa"/>
            <w:noWrap/>
            <w:vAlign w:val="center"/>
          </w:tcPr>
          <w:p w14:paraId="234BEF37">
            <w:pPr>
              <w:pageBreakBefore w:val="0"/>
              <w:kinsoku/>
              <w:wordWrap/>
              <w:overflowPunct/>
              <w:topLinePunct w:val="0"/>
              <w:autoSpaceDE/>
              <w:autoSpaceDN/>
              <w:bidi w:val="0"/>
              <w:snapToGrid/>
              <w:spacing w:line="360" w:lineRule="auto"/>
              <w:textAlignment w:val="auto"/>
            </w:pPr>
            <w:r>
              <w:rPr>
                <w:rFonts w:hint="eastAsia"/>
              </w:rPr>
              <w:t>35~45</w:t>
            </w:r>
          </w:p>
        </w:tc>
        <w:tc>
          <w:tcPr>
            <w:tcW w:w="2052" w:type="dxa"/>
            <w:vMerge w:val="continue"/>
            <w:noWrap/>
            <w:vAlign w:val="center"/>
          </w:tcPr>
          <w:p w14:paraId="71213B4F">
            <w:pPr>
              <w:pageBreakBefore w:val="0"/>
              <w:kinsoku/>
              <w:wordWrap/>
              <w:overflowPunct/>
              <w:topLinePunct w:val="0"/>
              <w:autoSpaceDE/>
              <w:autoSpaceDN/>
              <w:bidi w:val="0"/>
              <w:snapToGrid/>
              <w:spacing w:line="360" w:lineRule="auto"/>
              <w:ind w:firstLine="480"/>
              <w:textAlignment w:val="auto"/>
            </w:pPr>
          </w:p>
        </w:tc>
      </w:tr>
      <w:tr w14:paraId="0C5B2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2707" w:type="dxa"/>
            <w:gridSpan w:val="2"/>
            <w:noWrap/>
            <w:vAlign w:val="center"/>
          </w:tcPr>
          <w:p w14:paraId="4B463D9E">
            <w:pPr>
              <w:pageBreakBefore w:val="0"/>
              <w:kinsoku/>
              <w:wordWrap/>
              <w:overflowPunct/>
              <w:topLinePunct w:val="0"/>
              <w:autoSpaceDE/>
              <w:autoSpaceDN/>
              <w:bidi w:val="0"/>
              <w:snapToGrid/>
              <w:spacing w:line="360" w:lineRule="auto"/>
              <w:ind w:firstLine="480"/>
              <w:textAlignment w:val="auto"/>
            </w:pPr>
            <w:r>
              <w:rPr>
                <w:rFonts w:hint="eastAsia"/>
              </w:rPr>
              <w:t>含水率</w:t>
            </w:r>
          </w:p>
        </w:tc>
        <w:tc>
          <w:tcPr>
            <w:tcW w:w="1036" w:type="dxa"/>
            <w:noWrap/>
            <w:vAlign w:val="center"/>
          </w:tcPr>
          <w:p w14:paraId="0E93C1CB">
            <w:pPr>
              <w:pageBreakBefore w:val="0"/>
              <w:kinsoku/>
              <w:wordWrap/>
              <w:overflowPunct/>
              <w:topLinePunct w:val="0"/>
              <w:autoSpaceDE/>
              <w:autoSpaceDN/>
              <w:bidi w:val="0"/>
              <w:snapToGrid/>
              <w:spacing w:line="360" w:lineRule="auto"/>
              <w:textAlignment w:val="auto"/>
            </w:pPr>
            <w:r>
              <w:rPr>
                <w:rFonts w:hint="eastAsia"/>
              </w:rPr>
              <w:t>%</w:t>
            </w:r>
          </w:p>
        </w:tc>
        <w:tc>
          <w:tcPr>
            <w:tcW w:w="2664" w:type="dxa"/>
            <w:noWrap/>
            <w:vAlign w:val="center"/>
          </w:tcPr>
          <w:p w14:paraId="0D504001">
            <w:pPr>
              <w:pageBreakBefore w:val="0"/>
              <w:kinsoku/>
              <w:wordWrap/>
              <w:overflowPunct/>
              <w:topLinePunct w:val="0"/>
              <w:autoSpaceDE/>
              <w:autoSpaceDN/>
              <w:bidi w:val="0"/>
              <w:snapToGrid/>
              <w:spacing w:line="360" w:lineRule="auto"/>
              <w:textAlignment w:val="auto"/>
            </w:pPr>
            <w:r>
              <w:rPr>
                <w:rFonts w:hint="eastAsia"/>
              </w:rPr>
              <w:t>≤1</w:t>
            </w:r>
          </w:p>
        </w:tc>
        <w:tc>
          <w:tcPr>
            <w:tcW w:w="2052" w:type="dxa"/>
            <w:noWrap/>
            <w:vAlign w:val="center"/>
          </w:tcPr>
          <w:p w14:paraId="14BF429B">
            <w:pPr>
              <w:pageBreakBefore w:val="0"/>
              <w:kinsoku/>
              <w:wordWrap/>
              <w:overflowPunct/>
              <w:topLinePunct w:val="0"/>
              <w:autoSpaceDE/>
              <w:autoSpaceDN/>
              <w:bidi w:val="0"/>
              <w:snapToGrid/>
              <w:spacing w:line="360" w:lineRule="auto"/>
              <w:textAlignment w:val="auto"/>
            </w:pPr>
            <w:r>
              <w:rPr>
                <w:rFonts w:hint="eastAsia"/>
              </w:rPr>
              <w:t>JTG E40- T 0103</w:t>
            </w:r>
          </w:p>
        </w:tc>
      </w:tr>
    </w:tbl>
    <w:p w14:paraId="289AB688">
      <w:pPr>
        <w:pageBreakBefore w:val="0"/>
        <w:kinsoku/>
        <w:wordWrap/>
        <w:overflowPunct/>
        <w:topLinePunct w:val="0"/>
        <w:autoSpaceDE/>
        <w:autoSpaceDN/>
        <w:bidi w:val="0"/>
        <w:adjustRightInd w:val="0"/>
        <w:snapToGrid/>
        <w:spacing w:line="360" w:lineRule="auto"/>
        <w:ind w:firstLine="48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（3）彩浆混合料：A、B组份根据设计配合比拌和均匀后的混合料质量应符合下表技术要求，A组份：B组份：水=1:5:0.2~0.6</w:t>
      </w:r>
    </w:p>
    <w:p w14:paraId="1B11B935">
      <w:pPr>
        <w:pageBreakBefore w:val="0"/>
        <w:kinsoku/>
        <w:wordWrap/>
        <w:overflowPunct/>
        <w:topLinePunct w:val="0"/>
        <w:autoSpaceDE/>
        <w:autoSpaceDN/>
        <w:bidi w:val="0"/>
        <w:adjustRightInd w:val="0"/>
        <w:snapToGrid/>
        <w:spacing w:line="360" w:lineRule="auto"/>
        <w:ind w:firstLine="480"/>
        <w:jc w:val="center"/>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彩浆封层混合料技术要求（表三）</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1809"/>
        <w:gridCol w:w="1083"/>
        <w:gridCol w:w="1282"/>
        <w:gridCol w:w="2940"/>
      </w:tblGrid>
      <w:tr w14:paraId="1591F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7E8EBF9F">
            <w:pPr>
              <w:pageBreakBefore w:val="0"/>
              <w:kinsoku/>
              <w:wordWrap/>
              <w:overflowPunct/>
              <w:topLinePunct w:val="0"/>
              <w:autoSpaceDE/>
              <w:autoSpaceDN/>
              <w:bidi w:val="0"/>
              <w:snapToGrid/>
              <w:spacing w:line="360" w:lineRule="auto"/>
              <w:ind w:firstLine="480"/>
              <w:jc w:val="center"/>
              <w:textAlignment w:val="auto"/>
            </w:pPr>
            <w:r>
              <w:rPr>
                <w:rFonts w:hint="eastAsia"/>
              </w:rPr>
              <w:t>项目</w:t>
            </w:r>
          </w:p>
        </w:tc>
        <w:tc>
          <w:tcPr>
            <w:tcW w:w="1037" w:type="dxa"/>
            <w:noWrap/>
            <w:vAlign w:val="center"/>
          </w:tcPr>
          <w:p w14:paraId="78CCFDE0">
            <w:pPr>
              <w:pageBreakBefore w:val="0"/>
              <w:kinsoku/>
              <w:wordWrap/>
              <w:overflowPunct/>
              <w:topLinePunct w:val="0"/>
              <w:autoSpaceDE/>
              <w:autoSpaceDN/>
              <w:bidi w:val="0"/>
              <w:snapToGrid/>
              <w:spacing w:line="360" w:lineRule="auto"/>
              <w:textAlignment w:val="auto"/>
            </w:pPr>
            <w:r>
              <w:rPr>
                <w:rFonts w:hint="eastAsia"/>
              </w:rPr>
              <w:t>单位</w:t>
            </w:r>
          </w:p>
        </w:tc>
        <w:tc>
          <w:tcPr>
            <w:tcW w:w="1227" w:type="dxa"/>
            <w:noWrap/>
            <w:vAlign w:val="center"/>
          </w:tcPr>
          <w:p w14:paraId="6B0B1B80">
            <w:pPr>
              <w:pageBreakBefore w:val="0"/>
              <w:kinsoku/>
              <w:wordWrap/>
              <w:overflowPunct/>
              <w:topLinePunct w:val="0"/>
              <w:autoSpaceDE/>
              <w:autoSpaceDN/>
              <w:bidi w:val="0"/>
              <w:snapToGrid/>
              <w:spacing w:line="360" w:lineRule="auto"/>
              <w:textAlignment w:val="auto"/>
            </w:pPr>
            <w:r>
              <w:rPr>
                <w:rFonts w:hint="eastAsia"/>
              </w:rPr>
              <w:t>技术要求</w:t>
            </w:r>
          </w:p>
        </w:tc>
        <w:tc>
          <w:tcPr>
            <w:tcW w:w="2814" w:type="dxa"/>
            <w:noWrap/>
            <w:vAlign w:val="center"/>
          </w:tcPr>
          <w:p w14:paraId="4B42E584">
            <w:pPr>
              <w:pageBreakBefore w:val="0"/>
              <w:kinsoku/>
              <w:wordWrap/>
              <w:overflowPunct/>
              <w:topLinePunct w:val="0"/>
              <w:autoSpaceDE/>
              <w:autoSpaceDN/>
              <w:bidi w:val="0"/>
              <w:snapToGrid/>
              <w:spacing w:line="360" w:lineRule="auto"/>
              <w:ind w:firstLine="480"/>
              <w:jc w:val="center"/>
              <w:textAlignment w:val="auto"/>
            </w:pPr>
            <w:r>
              <w:rPr>
                <w:rFonts w:hint="eastAsia"/>
              </w:rPr>
              <w:t>试验方法</w:t>
            </w:r>
          </w:p>
        </w:tc>
      </w:tr>
      <w:tr w14:paraId="4C1CA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7B6D9EA9">
            <w:pPr>
              <w:pageBreakBefore w:val="0"/>
              <w:kinsoku/>
              <w:wordWrap/>
              <w:overflowPunct/>
              <w:topLinePunct w:val="0"/>
              <w:autoSpaceDE/>
              <w:autoSpaceDN/>
              <w:bidi w:val="0"/>
              <w:snapToGrid/>
              <w:spacing w:line="360" w:lineRule="auto"/>
              <w:ind w:firstLine="480"/>
              <w:textAlignment w:val="auto"/>
            </w:pPr>
            <w:r>
              <w:rPr>
                <w:rFonts w:hint="eastAsia"/>
              </w:rPr>
              <w:t>可拌和时间</w:t>
            </w:r>
          </w:p>
        </w:tc>
        <w:tc>
          <w:tcPr>
            <w:tcW w:w="1037" w:type="dxa"/>
            <w:noWrap/>
            <w:vAlign w:val="center"/>
          </w:tcPr>
          <w:p w14:paraId="50773732">
            <w:pPr>
              <w:pageBreakBefore w:val="0"/>
              <w:kinsoku/>
              <w:wordWrap/>
              <w:overflowPunct/>
              <w:topLinePunct w:val="0"/>
              <w:autoSpaceDE/>
              <w:autoSpaceDN/>
              <w:bidi w:val="0"/>
              <w:snapToGrid/>
              <w:spacing w:line="360" w:lineRule="auto"/>
              <w:textAlignment w:val="auto"/>
            </w:pPr>
            <w:r>
              <w:rPr>
                <w:rFonts w:hint="eastAsia"/>
              </w:rPr>
              <w:t>Min</w:t>
            </w:r>
          </w:p>
        </w:tc>
        <w:tc>
          <w:tcPr>
            <w:tcW w:w="1227" w:type="dxa"/>
            <w:noWrap/>
            <w:vAlign w:val="center"/>
          </w:tcPr>
          <w:p w14:paraId="497AC95E">
            <w:pPr>
              <w:pageBreakBefore w:val="0"/>
              <w:kinsoku/>
              <w:wordWrap/>
              <w:overflowPunct/>
              <w:topLinePunct w:val="0"/>
              <w:autoSpaceDE/>
              <w:autoSpaceDN/>
              <w:bidi w:val="0"/>
              <w:snapToGrid/>
              <w:spacing w:line="360" w:lineRule="auto"/>
              <w:ind w:firstLine="480"/>
              <w:textAlignment w:val="auto"/>
            </w:pPr>
            <w:r>
              <w:rPr>
                <w:rFonts w:hint="eastAsia"/>
              </w:rPr>
              <w:t>≥15</w:t>
            </w:r>
          </w:p>
        </w:tc>
        <w:tc>
          <w:tcPr>
            <w:tcW w:w="2814" w:type="dxa"/>
            <w:noWrap/>
            <w:vAlign w:val="center"/>
          </w:tcPr>
          <w:p w14:paraId="4877BC05">
            <w:pPr>
              <w:pageBreakBefore w:val="0"/>
              <w:kinsoku/>
              <w:wordWrap/>
              <w:overflowPunct/>
              <w:topLinePunct w:val="0"/>
              <w:autoSpaceDE/>
              <w:autoSpaceDN/>
              <w:bidi w:val="0"/>
              <w:snapToGrid/>
              <w:spacing w:line="360" w:lineRule="auto"/>
              <w:ind w:firstLine="480"/>
              <w:textAlignment w:val="auto"/>
            </w:pPr>
            <w:r>
              <w:rPr>
                <w:rFonts w:hint="eastAsia"/>
              </w:rPr>
              <w:t>JTG E20-T 0757</w:t>
            </w:r>
          </w:p>
        </w:tc>
      </w:tr>
      <w:tr w14:paraId="09FD0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0DFC5354">
            <w:pPr>
              <w:pageBreakBefore w:val="0"/>
              <w:kinsoku/>
              <w:wordWrap/>
              <w:overflowPunct/>
              <w:topLinePunct w:val="0"/>
              <w:autoSpaceDE/>
              <w:autoSpaceDN/>
              <w:bidi w:val="0"/>
              <w:snapToGrid/>
              <w:spacing w:line="360" w:lineRule="auto"/>
              <w:ind w:firstLine="480"/>
              <w:textAlignment w:val="auto"/>
            </w:pPr>
            <w:r>
              <w:rPr>
                <w:rFonts w:hint="eastAsia"/>
              </w:rPr>
              <w:t>3d龄期抗压强度</w:t>
            </w:r>
          </w:p>
        </w:tc>
        <w:tc>
          <w:tcPr>
            <w:tcW w:w="1037" w:type="dxa"/>
            <w:noWrap/>
            <w:vAlign w:val="center"/>
          </w:tcPr>
          <w:p w14:paraId="130B71D5">
            <w:pPr>
              <w:pageBreakBefore w:val="0"/>
              <w:kinsoku/>
              <w:wordWrap/>
              <w:overflowPunct/>
              <w:topLinePunct w:val="0"/>
              <w:autoSpaceDE/>
              <w:autoSpaceDN/>
              <w:bidi w:val="0"/>
              <w:snapToGrid/>
              <w:spacing w:line="360" w:lineRule="auto"/>
              <w:textAlignment w:val="auto"/>
            </w:pPr>
            <w:r>
              <w:rPr>
                <w:rFonts w:hint="eastAsia"/>
              </w:rPr>
              <w:t>MPa</w:t>
            </w:r>
          </w:p>
        </w:tc>
        <w:tc>
          <w:tcPr>
            <w:tcW w:w="1227" w:type="dxa"/>
            <w:noWrap/>
            <w:vAlign w:val="center"/>
          </w:tcPr>
          <w:p w14:paraId="1135FA60">
            <w:pPr>
              <w:pageBreakBefore w:val="0"/>
              <w:kinsoku/>
              <w:wordWrap/>
              <w:overflowPunct/>
              <w:topLinePunct w:val="0"/>
              <w:autoSpaceDE/>
              <w:autoSpaceDN/>
              <w:bidi w:val="0"/>
              <w:snapToGrid/>
              <w:spacing w:line="360" w:lineRule="auto"/>
              <w:ind w:firstLine="480"/>
              <w:textAlignment w:val="auto"/>
            </w:pPr>
            <w:r>
              <w:rPr>
                <w:rFonts w:hint="eastAsia"/>
              </w:rPr>
              <w:t>≥12</w:t>
            </w:r>
          </w:p>
        </w:tc>
        <w:tc>
          <w:tcPr>
            <w:tcW w:w="2814" w:type="dxa"/>
            <w:noWrap/>
            <w:vAlign w:val="center"/>
          </w:tcPr>
          <w:p w14:paraId="2CB036EE">
            <w:pPr>
              <w:pageBreakBefore w:val="0"/>
              <w:kinsoku/>
              <w:wordWrap/>
              <w:overflowPunct/>
              <w:topLinePunct w:val="0"/>
              <w:autoSpaceDE/>
              <w:autoSpaceDN/>
              <w:bidi w:val="0"/>
              <w:snapToGrid/>
              <w:spacing w:line="360" w:lineRule="auto"/>
              <w:ind w:firstLine="480"/>
              <w:textAlignment w:val="auto"/>
            </w:pPr>
            <w:r>
              <w:rPr>
                <w:rFonts w:hint="eastAsia"/>
              </w:rPr>
              <w:t>GB/T 17671</w:t>
            </w:r>
          </w:p>
        </w:tc>
      </w:tr>
      <w:tr w14:paraId="3CC25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235C6657">
            <w:pPr>
              <w:pageBreakBefore w:val="0"/>
              <w:kinsoku/>
              <w:wordWrap/>
              <w:overflowPunct/>
              <w:topLinePunct w:val="0"/>
              <w:autoSpaceDE/>
              <w:autoSpaceDN/>
              <w:bidi w:val="0"/>
              <w:snapToGrid/>
              <w:spacing w:line="360" w:lineRule="auto"/>
              <w:ind w:firstLine="480"/>
              <w:textAlignment w:val="auto"/>
            </w:pPr>
            <w:r>
              <w:rPr>
                <w:rFonts w:hint="eastAsia"/>
              </w:rPr>
              <w:t>3d龄期抗折强度</w:t>
            </w:r>
          </w:p>
        </w:tc>
        <w:tc>
          <w:tcPr>
            <w:tcW w:w="1037" w:type="dxa"/>
            <w:noWrap/>
            <w:vAlign w:val="center"/>
          </w:tcPr>
          <w:p w14:paraId="1C19223F">
            <w:pPr>
              <w:pageBreakBefore w:val="0"/>
              <w:kinsoku/>
              <w:wordWrap/>
              <w:overflowPunct/>
              <w:topLinePunct w:val="0"/>
              <w:autoSpaceDE/>
              <w:autoSpaceDN/>
              <w:bidi w:val="0"/>
              <w:snapToGrid/>
              <w:spacing w:line="360" w:lineRule="auto"/>
              <w:textAlignment w:val="auto"/>
            </w:pPr>
            <w:r>
              <w:rPr>
                <w:rFonts w:hint="eastAsia"/>
              </w:rPr>
              <w:t>MPa</w:t>
            </w:r>
          </w:p>
        </w:tc>
        <w:tc>
          <w:tcPr>
            <w:tcW w:w="1227" w:type="dxa"/>
            <w:noWrap/>
            <w:vAlign w:val="center"/>
          </w:tcPr>
          <w:p w14:paraId="28E8D0F2">
            <w:pPr>
              <w:pageBreakBefore w:val="0"/>
              <w:kinsoku/>
              <w:wordWrap/>
              <w:overflowPunct/>
              <w:topLinePunct w:val="0"/>
              <w:autoSpaceDE/>
              <w:autoSpaceDN/>
              <w:bidi w:val="0"/>
              <w:snapToGrid/>
              <w:spacing w:line="360" w:lineRule="auto"/>
              <w:ind w:firstLine="480"/>
              <w:textAlignment w:val="auto"/>
            </w:pPr>
            <w:r>
              <w:rPr>
                <w:rFonts w:hint="eastAsia"/>
              </w:rPr>
              <w:t>≥4</w:t>
            </w:r>
          </w:p>
        </w:tc>
        <w:tc>
          <w:tcPr>
            <w:tcW w:w="2814" w:type="dxa"/>
            <w:noWrap/>
            <w:vAlign w:val="center"/>
          </w:tcPr>
          <w:p w14:paraId="2FF3D7FF">
            <w:pPr>
              <w:pageBreakBefore w:val="0"/>
              <w:kinsoku/>
              <w:wordWrap/>
              <w:overflowPunct/>
              <w:topLinePunct w:val="0"/>
              <w:autoSpaceDE/>
              <w:autoSpaceDN/>
              <w:bidi w:val="0"/>
              <w:snapToGrid/>
              <w:spacing w:line="360" w:lineRule="auto"/>
              <w:ind w:firstLine="480"/>
              <w:textAlignment w:val="auto"/>
            </w:pPr>
            <w:r>
              <w:rPr>
                <w:rFonts w:hint="eastAsia"/>
              </w:rPr>
              <w:t>GB/T 17671</w:t>
            </w:r>
          </w:p>
        </w:tc>
      </w:tr>
      <w:tr w14:paraId="6B296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restart"/>
            <w:noWrap/>
            <w:vAlign w:val="center"/>
          </w:tcPr>
          <w:p w14:paraId="5169D439">
            <w:pPr>
              <w:pageBreakBefore w:val="0"/>
              <w:kinsoku/>
              <w:wordWrap/>
              <w:overflowPunct/>
              <w:topLinePunct w:val="0"/>
              <w:autoSpaceDE/>
              <w:autoSpaceDN/>
              <w:bidi w:val="0"/>
              <w:snapToGrid/>
              <w:spacing w:line="360" w:lineRule="auto"/>
              <w:textAlignment w:val="auto"/>
            </w:pPr>
            <w:r>
              <w:rPr>
                <w:rFonts w:hint="eastAsia"/>
              </w:rPr>
              <w:t>负荷轮碾压试验</w:t>
            </w:r>
          </w:p>
        </w:tc>
        <w:tc>
          <w:tcPr>
            <w:tcW w:w="1732" w:type="dxa"/>
            <w:noWrap/>
            <w:vAlign w:val="center"/>
          </w:tcPr>
          <w:p w14:paraId="1F9BE712">
            <w:pPr>
              <w:pageBreakBefore w:val="0"/>
              <w:kinsoku/>
              <w:wordWrap/>
              <w:overflowPunct/>
              <w:topLinePunct w:val="0"/>
              <w:autoSpaceDE/>
              <w:autoSpaceDN/>
              <w:bidi w:val="0"/>
              <w:snapToGrid/>
              <w:spacing w:line="360" w:lineRule="auto"/>
              <w:ind w:firstLine="480"/>
              <w:textAlignment w:val="auto"/>
            </w:pPr>
            <w:r>
              <w:rPr>
                <w:rFonts w:hint="eastAsia"/>
              </w:rPr>
              <w:t>粘附砂量</w:t>
            </w:r>
          </w:p>
        </w:tc>
        <w:tc>
          <w:tcPr>
            <w:tcW w:w="1037" w:type="dxa"/>
            <w:noWrap/>
            <w:vAlign w:val="center"/>
          </w:tcPr>
          <w:p w14:paraId="4B68EA0F">
            <w:pPr>
              <w:pageBreakBefore w:val="0"/>
              <w:kinsoku/>
              <w:wordWrap/>
              <w:overflowPunct/>
              <w:topLinePunct w:val="0"/>
              <w:autoSpaceDE/>
              <w:autoSpaceDN/>
              <w:bidi w:val="0"/>
              <w:snapToGrid/>
              <w:spacing w:line="360" w:lineRule="auto"/>
              <w:textAlignment w:val="auto"/>
            </w:pPr>
            <w:r>
              <w:rPr>
                <w:rFonts w:hint="eastAsia"/>
              </w:rPr>
              <w:t>g/m</w:t>
            </w:r>
            <w:r>
              <w:rPr>
                <w:rFonts w:hint="eastAsia"/>
                <w:vertAlign w:val="superscript"/>
              </w:rPr>
              <w:t>2</w:t>
            </w:r>
          </w:p>
        </w:tc>
        <w:tc>
          <w:tcPr>
            <w:tcW w:w="1227" w:type="dxa"/>
            <w:noWrap/>
            <w:vAlign w:val="center"/>
          </w:tcPr>
          <w:p w14:paraId="43F70FE5">
            <w:pPr>
              <w:pageBreakBefore w:val="0"/>
              <w:kinsoku/>
              <w:wordWrap/>
              <w:overflowPunct/>
              <w:topLinePunct w:val="0"/>
              <w:autoSpaceDE/>
              <w:autoSpaceDN/>
              <w:bidi w:val="0"/>
              <w:snapToGrid/>
              <w:spacing w:line="360" w:lineRule="auto"/>
              <w:ind w:firstLine="480"/>
              <w:textAlignment w:val="auto"/>
            </w:pPr>
            <w:r>
              <w:rPr>
                <w:rFonts w:hint="eastAsia"/>
              </w:rPr>
              <w:t>≤450</w:t>
            </w:r>
          </w:p>
        </w:tc>
        <w:tc>
          <w:tcPr>
            <w:tcW w:w="2814" w:type="dxa"/>
            <w:vMerge w:val="restart"/>
            <w:noWrap/>
            <w:vAlign w:val="center"/>
          </w:tcPr>
          <w:p w14:paraId="71F43771">
            <w:pPr>
              <w:pageBreakBefore w:val="0"/>
              <w:kinsoku/>
              <w:wordWrap/>
              <w:overflowPunct/>
              <w:topLinePunct w:val="0"/>
              <w:autoSpaceDE/>
              <w:autoSpaceDN/>
              <w:bidi w:val="0"/>
              <w:snapToGrid/>
              <w:spacing w:line="360" w:lineRule="auto"/>
              <w:ind w:firstLine="480"/>
              <w:textAlignment w:val="auto"/>
            </w:pPr>
            <w:r>
              <w:rPr>
                <w:rFonts w:hint="eastAsia"/>
              </w:rPr>
              <w:t>JTG E20-T 0755</w:t>
            </w:r>
          </w:p>
        </w:tc>
      </w:tr>
      <w:tr w14:paraId="30426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continue"/>
            <w:noWrap/>
            <w:vAlign w:val="center"/>
          </w:tcPr>
          <w:p w14:paraId="6395DFD5">
            <w:pPr>
              <w:pageBreakBefore w:val="0"/>
              <w:kinsoku/>
              <w:wordWrap/>
              <w:overflowPunct/>
              <w:topLinePunct w:val="0"/>
              <w:autoSpaceDE/>
              <w:autoSpaceDN/>
              <w:bidi w:val="0"/>
              <w:snapToGrid/>
              <w:spacing w:line="360" w:lineRule="auto"/>
              <w:ind w:firstLine="480"/>
              <w:textAlignment w:val="auto"/>
            </w:pPr>
          </w:p>
        </w:tc>
        <w:tc>
          <w:tcPr>
            <w:tcW w:w="1732" w:type="dxa"/>
            <w:noWrap/>
            <w:vAlign w:val="center"/>
          </w:tcPr>
          <w:p w14:paraId="0AFFFE96">
            <w:pPr>
              <w:pageBreakBefore w:val="0"/>
              <w:kinsoku/>
              <w:wordWrap/>
              <w:overflowPunct/>
              <w:topLinePunct w:val="0"/>
              <w:autoSpaceDE/>
              <w:autoSpaceDN/>
              <w:bidi w:val="0"/>
              <w:snapToGrid/>
              <w:spacing w:line="360" w:lineRule="auto"/>
              <w:ind w:firstLine="480"/>
              <w:textAlignment w:val="auto"/>
            </w:pPr>
            <w:r>
              <w:rPr>
                <w:rFonts w:hint="eastAsia"/>
              </w:rPr>
              <w:t>轮迹宽度变化率</w:t>
            </w:r>
          </w:p>
        </w:tc>
        <w:tc>
          <w:tcPr>
            <w:tcW w:w="1037" w:type="dxa"/>
            <w:noWrap/>
            <w:vAlign w:val="center"/>
          </w:tcPr>
          <w:p w14:paraId="55574DB3">
            <w:pPr>
              <w:pageBreakBefore w:val="0"/>
              <w:kinsoku/>
              <w:wordWrap/>
              <w:overflowPunct/>
              <w:topLinePunct w:val="0"/>
              <w:autoSpaceDE/>
              <w:autoSpaceDN/>
              <w:bidi w:val="0"/>
              <w:snapToGrid/>
              <w:spacing w:line="360" w:lineRule="auto"/>
              <w:textAlignment w:val="auto"/>
            </w:pPr>
            <w:r>
              <w:rPr>
                <w:rFonts w:hint="eastAsia"/>
              </w:rPr>
              <w:t>%</w:t>
            </w:r>
          </w:p>
        </w:tc>
        <w:tc>
          <w:tcPr>
            <w:tcW w:w="1227" w:type="dxa"/>
            <w:noWrap/>
            <w:vAlign w:val="center"/>
          </w:tcPr>
          <w:p w14:paraId="4A9DB805">
            <w:pPr>
              <w:pageBreakBefore w:val="0"/>
              <w:kinsoku/>
              <w:wordWrap/>
              <w:overflowPunct/>
              <w:topLinePunct w:val="0"/>
              <w:autoSpaceDE/>
              <w:autoSpaceDN/>
              <w:bidi w:val="0"/>
              <w:snapToGrid/>
              <w:spacing w:line="360" w:lineRule="auto"/>
              <w:ind w:firstLine="480"/>
              <w:textAlignment w:val="auto"/>
            </w:pPr>
            <w:r>
              <w:rPr>
                <w:rFonts w:hint="eastAsia"/>
              </w:rPr>
              <w:t>≤5</w:t>
            </w:r>
          </w:p>
        </w:tc>
        <w:tc>
          <w:tcPr>
            <w:tcW w:w="2814" w:type="dxa"/>
            <w:vMerge w:val="continue"/>
            <w:noWrap/>
            <w:vAlign w:val="center"/>
          </w:tcPr>
          <w:p w14:paraId="55566629">
            <w:pPr>
              <w:pageBreakBefore w:val="0"/>
              <w:kinsoku/>
              <w:wordWrap/>
              <w:overflowPunct/>
              <w:topLinePunct w:val="0"/>
              <w:autoSpaceDE/>
              <w:autoSpaceDN/>
              <w:bidi w:val="0"/>
              <w:snapToGrid/>
              <w:spacing w:line="360" w:lineRule="auto"/>
              <w:ind w:firstLine="480"/>
              <w:textAlignment w:val="auto"/>
            </w:pPr>
          </w:p>
        </w:tc>
      </w:tr>
      <w:tr w14:paraId="5A332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restart"/>
            <w:noWrap/>
            <w:vAlign w:val="center"/>
          </w:tcPr>
          <w:p w14:paraId="6BE54282">
            <w:pPr>
              <w:pageBreakBefore w:val="0"/>
              <w:kinsoku/>
              <w:wordWrap/>
              <w:overflowPunct/>
              <w:topLinePunct w:val="0"/>
              <w:autoSpaceDE/>
              <w:autoSpaceDN/>
              <w:bidi w:val="0"/>
              <w:snapToGrid/>
              <w:spacing w:line="360" w:lineRule="auto"/>
              <w:textAlignment w:val="auto"/>
            </w:pPr>
            <w:r>
              <w:rPr>
                <w:rFonts w:hint="eastAsia"/>
              </w:rPr>
              <w:t>湿轮磨耗试验磨耗值</w:t>
            </w:r>
          </w:p>
        </w:tc>
        <w:tc>
          <w:tcPr>
            <w:tcW w:w="1732" w:type="dxa"/>
            <w:noWrap/>
            <w:vAlign w:val="center"/>
          </w:tcPr>
          <w:p w14:paraId="0016E88E">
            <w:pPr>
              <w:pageBreakBefore w:val="0"/>
              <w:kinsoku/>
              <w:wordWrap/>
              <w:overflowPunct/>
              <w:topLinePunct w:val="0"/>
              <w:autoSpaceDE/>
              <w:autoSpaceDN/>
              <w:bidi w:val="0"/>
              <w:snapToGrid/>
              <w:spacing w:line="360" w:lineRule="auto"/>
              <w:ind w:firstLine="480"/>
              <w:textAlignment w:val="auto"/>
            </w:pPr>
            <w:r>
              <w:rPr>
                <w:rFonts w:hint="eastAsia"/>
              </w:rPr>
              <w:t>浸水1h</w:t>
            </w:r>
          </w:p>
        </w:tc>
        <w:tc>
          <w:tcPr>
            <w:tcW w:w="1037" w:type="dxa"/>
            <w:vMerge w:val="restart"/>
            <w:noWrap/>
            <w:vAlign w:val="center"/>
          </w:tcPr>
          <w:p w14:paraId="0A23D2B7">
            <w:pPr>
              <w:pageBreakBefore w:val="0"/>
              <w:kinsoku/>
              <w:wordWrap/>
              <w:overflowPunct/>
              <w:topLinePunct w:val="0"/>
              <w:autoSpaceDE/>
              <w:autoSpaceDN/>
              <w:bidi w:val="0"/>
              <w:snapToGrid/>
              <w:spacing w:line="360" w:lineRule="auto"/>
              <w:textAlignment w:val="auto"/>
            </w:pPr>
            <w:r>
              <w:rPr>
                <w:rFonts w:hint="eastAsia"/>
              </w:rPr>
              <w:t>g/m</w:t>
            </w:r>
            <w:r>
              <w:rPr>
                <w:rFonts w:hint="eastAsia"/>
                <w:vertAlign w:val="superscript"/>
              </w:rPr>
              <w:t>2</w:t>
            </w:r>
          </w:p>
        </w:tc>
        <w:tc>
          <w:tcPr>
            <w:tcW w:w="1227" w:type="dxa"/>
            <w:noWrap/>
            <w:vAlign w:val="center"/>
          </w:tcPr>
          <w:p w14:paraId="324C55A6">
            <w:pPr>
              <w:pageBreakBefore w:val="0"/>
              <w:kinsoku/>
              <w:wordWrap/>
              <w:overflowPunct/>
              <w:topLinePunct w:val="0"/>
              <w:autoSpaceDE/>
              <w:autoSpaceDN/>
              <w:bidi w:val="0"/>
              <w:snapToGrid/>
              <w:spacing w:line="360" w:lineRule="auto"/>
              <w:ind w:firstLine="480"/>
              <w:textAlignment w:val="auto"/>
            </w:pPr>
            <w:r>
              <w:rPr>
                <w:rFonts w:hint="eastAsia"/>
              </w:rPr>
              <w:t>≤540</w:t>
            </w:r>
          </w:p>
        </w:tc>
        <w:tc>
          <w:tcPr>
            <w:tcW w:w="2814" w:type="dxa"/>
            <w:vMerge w:val="restart"/>
            <w:noWrap/>
            <w:vAlign w:val="center"/>
          </w:tcPr>
          <w:p w14:paraId="6819FB76">
            <w:pPr>
              <w:pageBreakBefore w:val="0"/>
              <w:kinsoku/>
              <w:wordWrap/>
              <w:overflowPunct/>
              <w:topLinePunct w:val="0"/>
              <w:autoSpaceDE/>
              <w:autoSpaceDN/>
              <w:bidi w:val="0"/>
              <w:snapToGrid/>
              <w:spacing w:line="360" w:lineRule="auto"/>
              <w:ind w:firstLine="480"/>
              <w:textAlignment w:val="auto"/>
            </w:pPr>
            <w:r>
              <w:rPr>
                <w:rFonts w:hint="eastAsia"/>
              </w:rPr>
              <w:t>JTG E20- T0752</w:t>
            </w:r>
          </w:p>
        </w:tc>
      </w:tr>
      <w:tr w14:paraId="1ED23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continue"/>
            <w:noWrap/>
            <w:vAlign w:val="center"/>
          </w:tcPr>
          <w:p w14:paraId="39428D29">
            <w:pPr>
              <w:pageBreakBefore w:val="0"/>
              <w:kinsoku/>
              <w:wordWrap/>
              <w:overflowPunct/>
              <w:topLinePunct w:val="0"/>
              <w:autoSpaceDE/>
              <w:autoSpaceDN/>
              <w:bidi w:val="0"/>
              <w:snapToGrid/>
              <w:spacing w:line="360" w:lineRule="auto"/>
              <w:ind w:firstLine="480"/>
              <w:textAlignment w:val="auto"/>
            </w:pPr>
          </w:p>
        </w:tc>
        <w:tc>
          <w:tcPr>
            <w:tcW w:w="1732" w:type="dxa"/>
            <w:noWrap/>
            <w:vAlign w:val="center"/>
          </w:tcPr>
          <w:p w14:paraId="069540AC">
            <w:pPr>
              <w:pageBreakBefore w:val="0"/>
              <w:kinsoku/>
              <w:wordWrap/>
              <w:overflowPunct/>
              <w:topLinePunct w:val="0"/>
              <w:autoSpaceDE/>
              <w:autoSpaceDN/>
              <w:bidi w:val="0"/>
              <w:snapToGrid/>
              <w:spacing w:line="360" w:lineRule="auto"/>
              <w:ind w:firstLine="480"/>
              <w:textAlignment w:val="auto"/>
            </w:pPr>
            <w:r>
              <w:rPr>
                <w:rFonts w:hint="eastAsia"/>
              </w:rPr>
              <w:t>浸水6h</w:t>
            </w:r>
          </w:p>
        </w:tc>
        <w:tc>
          <w:tcPr>
            <w:tcW w:w="1037" w:type="dxa"/>
            <w:vMerge w:val="continue"/>
            <w:noWrap/>
            <w:vAlign w:val="center"/>
          </w:tcPr>
          <w:p w14:paraId="001D8A16">
            <w:pPr>
              <w:pageBreakBefore w:val="0"/>
              <w:kinsoku/>
              <w:wordWrap/>
              <w:overflowPunct/>
              <w:topLinePunct w:val="0"/>
              <w:autoSpaceDE/>
              <w:autoSpaceDN/>
              <w:bidi w:val="0"/>
              <w:snapToGrid/>
              <w:spacing w:line="360" w:lineRule="auto"/>
              <w:ind w:firstLine="480"/>
              <w:textAlignment w:val="auto"/>
            </w:pPr>
          </w:p>
        </w:tc>
        <w:tc>
          <w:tcPr>
            <w:tcW w:w="1227" w:type="dxa"/>
            <w:noWrap/>
            <w:vAlign w:val="center"/>
          </w:tcPr>
          <w:p w14:paraId="659C936C">
            <w:pPr>
              <w:pageBreakBefore w:val="0"/>
              <w:kinsoku/>
              <w:wordWrap/>
              <w:overflowPunct/>
              <w:topLinePunct w:val="0"/>
              <w:autoSpaceDE/>
              <w:autoSpaceDN/>
              <w:bidi w:val="0"/>
              <w:snapToGrid/>
              <w:spacing w:line="360" w:lineRule="auto"/>
              <w:ind w:firstLine="480"/>
              <w:textAlignment w:val="auto"/>
            </w:pPr>
            <w:r>
              <w:rPr>
                <w:rFonts w:hint="eastAsia"/>
              </w:rPr>
              <w:t>≤800</w:t>
            </w:r>
          </w:p>
        </w:tc>
        <w:tc>
          <w:tcPr>
            <w:tcW w:w="2814" w:type="dxa"/>
            <w:vMerge w:val="continue"/>
            <w:noWrap/>
            <w:vAlign w:val="center"/>
          </w:tcPr>
          <w:p w14:paraId="615B43DF">
            <w:pPr>
              <w:pageBreakBefore w:val="0"/>
              <w:kinsoku/>
              <w:wordWrap/>
              <w:overflowPunct/>
              <w:topLinePunct w:val="0"/>
              <w:autoSpaceDE/>
              <w:autoSpaceDN/>
              <w:bidi w:val="0"/>
              <w:snapToGrid/>
              <w:spacing w:line="360" w:lineRule="auto"/>
              <w:ind w:firstLine="480"/>
              <w:textAlignment w:val="auto"/>
            </w:pPr>
          </w:p>
        </w:tc>
      </w:tr>
      <w:tr w14:paraId="33CD8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7A9C83C5">
            <w:pPr>
              <w:pageBreakBefore w:val="0"/>
              <w:kinsoku/>
              <w:wordWrap/>
              <w:overflowPunct/>
              <w:topLinePunct w:val="0"/>
              <w:autoSpaceDE/>
              <w:autoSpaceDN/>
              <w:bidi w:val="0"/>
              <w:snapToGrid/>
              <w:spacing w:line="360" w:lineRule="auto"/>
              <w:textAlignment w:val="auto"/>
            </w:pPr>
            <w:r>
              <w:rPr>
                <w:rFonts w:hint="eastAsia"/>
              </w:rPr>
              <w:t>3d龄期肯塔堡飞散试验质量损失（Φ101.6mm×30mm）</w:t>
            </w:r>
          </w:p>
        </w:tc>
        <w:tc>
          <w:tcPr>
            <w:tcW w:w="1037" w:type="dxa"/>
            <w:noWrap/>
            <w:vAlign w:val="center"/>
          </w:tcPr>
          <w:p w14:paraId="517EBCE5">
            <w:pPr>
              <w:pageBreakBefore w:val="0"/>
              <w:kinsoku/>
              <w:wordWrap/>
              <w:overflowPunct/>
              <w:topLinePunct w:val="0"/>
              <w:autoSpaceDE/>
              <w:autoSpaceDN/>
              <w:bidi w:val="0"/>
              <w:snapToGrid/>
              <w:spacing w:line="360" w:lineRule="auto"/>
              <w:textAlignment w:val="auto"/>
            </w:pPr>
            <w:r>
              <w:rPr>
                <w:rFonts w:hint="eastAsia"/>
              </w:rPr>
              <w:t>%</w:t>
            </w:r>
          </w:p>
        </w:tc>
        <w:tc>
          <w:tcPr>
            <w:tcW w:w="1227" w:type="dxa"/>
            <w:noWrap/>
            <w:vAlign w:val="center"/>
          </w:tcPr>
          <w:p w14:paraId="2A88EC1C">
            <w:pPr>
              <w:pageBreakBefore w:val="0"/>
              <w:kinsoku/>
              <w:wordWrap/>
              <w:overflowPunct/>
              <w:topLinePunct w:val="0"/>
              <w:autoSpaceDE/>
              <w:autoSpaceDN/>
              <w:bidi w:val="0"/>
              <w:snapToGrid/>
              <w:spacing w:line="360" w:lineRule="auto"/>
              <w:ind w:firstLine="480"/>
              <w:textAlignment w:val="auto"/>
            </w:pPr>
            <w:r>
              <w:rPr>
                <w:rFonts w:hint="eastAsia"/>
              </w:rPr>
              <w:t>≤12</w:t>
            </w:r>
          </w:p>
        </w:tc>
        <w:tc>
          <w:tcPr>
            <w:tcW w:w="2814" w:type="dxa"/>
            <w:noWrap/>
            <w:vAlign w:val="center"/>
          </w:tcPr>
          <w:p w14:paraId="3273DAAB">
            <w:pPr>
              <w:pageBreakBefore w:val="0"/>
              <w:kinsoku/>
              <w:wordWrap/>
              <w:overflowPunct/>
              <w:topLinePunct w:val="0"/>
              <w:autoSpaceDE/>
              <w:autoSpaceDN/>
              <w:bidi w:val="0"/>
              <w:snapToGrid/>
              <w:spacing w:line="360" w:lineRule="auto"/>
              <w:ind w:firstLine="480"/>
              <w:textAlignment w:val="auto"/>
            </w:pPr>
            <w:r>
              <w:rPr>
                <w:rFonts w:hint="eastAsia"/>
              </w:rPr>
              <w:t>JTG E20- T0752</w:t>
            </w:r>
          </w:p>
        </w:tc>
      </w:tr>
      <w:tr w14:paraId="41408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27C23C65">
            <w:pPr>
              <w:pageBreakBefore w:val="0"/>
              <w:kinsoku/>
              <w:wordWrap/>
              <w:overflowPunct/>
              <w:topLinePunct w:val="0"/>
              <w:autoSpaceDE/>
              <w:autoSpaceDN/>
              <w:bidi w:val="0"/>
              <w:snapToGrid/>
              <w:spacing w:line="360" w:lineRule="auto"/>
              <w:ind w:firstLine="480"/>
              <w:textAlignment w:val="auto"/>
            </w:pPr>
            <w:r>
              <w:rPr>
                <w:rFonts w:hint="eastAsia"/>
              </w:rPr>
              <w:t>45º常温斜剪切强度</w:t>
            </w:r>
          </w:p>
        </w:tc>
        <w:tc>
          <w:tcPr>
            <w:tcW w:w="1037" w:type="dxa"/>
            <w:noWrap/>
            <w:vAlign w:val="center"/>
          </w:tcPr>
          <w:p w14:paraId="22220996">
            <w:pPr>
              <w:pageBreakBefore w:val="0"/>
              <w:kinsoku/>
              <w:wordWrap/>
              <w:overflowPunct/>
              <w:topLinePunct w:val="0"/>
              <w:autoSpaceDE/>
              <w:autoSpaceDN/>
              <w:bidi w:val="0"/>
              <w:snapToGrid/>
              <w:spacing w:line="360" w:lineRule="auto"/>
              <w:textAlignment w:val="auto"/>
            </w:pPr>
            <w:r>
              <w:rPr>
                <w:rFonts w:hint="eastAsia"/>
              </w:rPr>
              <w:t>MPa</w:t>
            </w:r>
          </w:p>
        </w:tc>
        <w:tc>
          <w:tcPr>
            <w:tcW w:w="1227" w:type="dxa"/>
            <w:noWrap/>
            <w:vAlign w:val="center"/>
          </w:tcPr>
          <w:p w14:paraId="12F4E9B0">
            <w:pPr>
              <w:pageBreakBefore w:val="0"/>
              <w:kinsoku/>
              <w:wordWrap/>
              <w:overflowPunct/>
              <w:topLinePunct w:val="0"/>
              <w:autoSpaceDE/>
              <w:autoSpaceDN/>
              <w:bidi w:val="0"/>
              <w:snapToGrid/>
              <w:spacing w:line="360" w:lineRule="auto"/>
              <w:ind w:firstLine="480"/>
              <w:textAlignment w:val="auto"/>
            </w:pPr>
            <w:r>
              <w:rPr>
                <w:rFonts w:hint="eastAsia"/>
              </w:rPr>
              <w:t>≥0.5</w:t>
            </w:r>
          </w:p>
        </w:tc>
        <w:tc>
          <w:tcPr>
            <w:tcW w:w="2814" w:type="dxa"/>
            <w:noWrap/>
            <w:vAlign w:val="center"/>
          </w:tcPr>
          <w:p w14:paraId="21715D67">
            <w:pPr>
              <w:pageBreakBefore w:val="0"/>
              <w:kinsoku/>
              <w:wordWrap/>
              <w:overflowPunct/>
              <w:topLinePunct w:val="0"/>
              <w:autoSpaceDE/>
              <w:autoSpaceDN/>
              <w:bidi w:val="0"/>
              <w:snapToGrid/>
              <w:spacing w:line="360" w:lineRule="auto"/>
              <w:ind w:firstLine="480"/>
              <w:textAlignment w:val="auto"/>
            </w:pPr>
            <w:r>
              <w:rPr>
                <w:rFonts w:hint="eastAsia"/>
              </w:rPr>
              <w:t>见DG/TJ 08-2223附录B</w:t>
            </w:r>
          </w:p>
        </w:tc>
      </w:tr>
    </w:tbl>
    <w:p w14:paraId="382A967F">
      <w:pPr>
        <w:pageBreakBefore w:val="0"/>
        <w:widowControl w:val="0"/>
        <w:kinsoku/>
        <w:wordWrap/>
        <w:overflowPunct/>
        <w:topLinePunct w:val="0"/>
        <w:autoSpaceDE/>
        <w:autoSpaceDN/>
        <w:bidi w:val="0"/>
        <w:adjustRightInd w:val="0"/>
        <w:snapToGrid/>
        <w:spacing w:line="360" w:lineRule="auto"/>
        <w:ind w:firstLine="482"/>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（4）保艳增强剂</w:t>
      </w:r>
    </w:p>
    <w:p w14:paraId="45CF2E98">
      <w:pPr>
        <w:pageBreakBefore w:val="0"/>
        <w:widowControl w:val="0"/>
        <w:kinsoku/>
        <w:wordWrap/>
        <w:overflowPunct/>
        <w:topLinePunct w:val="0"/>
        <w:autoSpaceDE/>
        <w:autoSpaceDN/>
        <w:bidi w:val="0"/>
        <w:adjustRightInd w:val="0"/>
        <w:snapToGrid/>
        <w:spacing w:line="360" w:lineRule="auto"/>
        <w:ind w:firstLine="482"/>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彩浆罩面养生完成后，即可在面层上滚涂保艳增强剂，以有效抵抗紫外线老化和雨雪的侵蚀作用，提高彩色路面的整体强度、耐久性，同时，应具有良好的渗透性与封闭性。</w:t>
      </w:r>
    </w:p>
    <w:p w14:paraId="2ECAE261">
      <w:pPr>
        <w:keepNext/>
        <w:keepLines/>
        <w:pageBreakBefore w:val="0"/>
        <w:widowControl w:val="0"/>
        <w:kinsoku/>
        <w:wordWrap/>
        <w:overflowPunct/>
        <w:topLinePunct w:val="0"/>
        <w:autoSpaceDE/>
        <w:autoSpaceDN/>
        <w:bidi w:val="0"/>
        <w:snapToGrid/>
        <w:spacing w:before="260" w:after="260" w:line="360" w:lineRule="auto"/>
        <w:ind w:firstLine="482"/>
        <w:textAlignment w:val="auto"/>
        <w:outlineLvl w:val="2"/>
        <w:rPr>
          <w:rFonts w:hint="eastAsia" w:cs="宋体" w:asciiTheme="majorEastAsia" w:hAnsiTheme="majorEastAsia" w:eastAsiaTheme="majorEastAsia"/>
          <w:bCs/>
          <w:sz w:val="24"/>
        </w:rPr>
      </w:pPr>
      <w:bookmarkStart w:id="7" w:name="_Toc126914404"/>
      <w:r>
        <w:rPr>
          <w:rFonts w:hint="eastAsia" w:cs="宋体" w:asciiTheme="majorEastAsia" w:hAnsiTheme="majorEastAsia" w:eastAsiaTheme="majorEastAsia"/>
          <w:bCs/>
          <w:sz w:val="24"/>
        </w:rPr>
        <w:t>1.2竣工后路面技术要求</w:t>
      </w:r>
      <w:bookmarkEnd w:id="7"/>
    </w:p>
    <w:p w14:paraId="6374DE2B">
      <w:pPr>
        <w:keepNext/>
        <w:keepLines/>
        <w:pageBreakBefore w:val="0"/>
        <w:widowControl w:val="0"/>
        <w:kinsoku/>
        <w:wordWrap/>
        <w:overflowPunct/>
        <w:topLinePunct w:val="0"/>
        <w:autoSpaceDE/>
        <w:autoSpaceDN/>
        <w:bidi w:val="0"/>
        <w:snapToGrid/>
        <w:spacing w:before="260" w:after="260" w:line="360" w:lineRule="auto"/>
        <w:ind w:firstLine="482"/>
        <w:textAlignment w:val="auto"/>
        <w:outlineLvl w:val="2"/>
        <w:rPr>
          <w:rFonts w:hint="eastAsia" w:cs="宋体" w:asciiTheme="majorEastAsia" w:hAnsiTheme="majorEastAsia" w:eastAsiaTheme="majorEastAsia"/>
          <w:bCs/>
          <w:sz w:val="24"/>
          <w:lang w:eastAsia="zh-CN"/>
        </w:rPr>
      </w:pPr>
      <w:r>
        <w:rPr>
          <w:rFonts w:hint="eastAsia" w:cs="宋体" w:asciiTheme="majorEastAsia" w:hAnsiTheme="majorEastAsia" w:eastAsiaTheme="majorEastAsia"/>
          <w:bCs/>
          <w:sz w:val="24"/>
        </w:rPr>
        <w:t>彩浆防滑封层为表面功能层，施工质量验收指标应符合下表要求</w:t>
      </w:r>
      <w:r>
        <w:rPr>
          <w:rFonts w:hint="eastAsia" w:cs="宋体" w:asciiTheme="majorEastAsia" w:hAnsiTheme="majorEastAsia" w:eastAsiaTheme="majorEastAsia"/>
          <w:bCs/>
          <w:sz w:val="24"/>
          <w:lang w:eastAsia="zh-CN"/>
        </w:rPr>
        <w:t>：</w:t>
      </w:r>
    </w:p>
    <w:p w14:paraId="71F5E7B0">
      <w:pPr>
        <w:pageBreakBefore w:val="0"/>
        <w:widowControl w:val="0"/>
        <w:kinsoku/>
        <w:wordWrap/>
        <w:overflowPunct/>
        <w:topLinePunct w:val="0"/>
        <w:autoSpaceDE/>
        <w:autoSpaceDN/>
        <w:bidi w:val="0"/>
        <w:snapToGrid/>
        <w:spacing w:line="360" w:lineRule="auto"/>
        <w:ind w:firstLine="482"/>
        <w:jc w:val="center"/>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彩浆防滑封层路面质量验收标准</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0"/>
        <w:gridCol w:w="1804"/>
        <w:gridCol w:w="4253"/>
      </w:tblGrid>
      <w:tr w14:paraId="6F997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blHeader/>
          <w:jc w:val="center"/>
        </w:trPr>
        <w:tc>
          <w:tcPr>
            <w:tcW w:w="2840" w:type="dxa"/>
            <w:noWrap/>
            <w:vAlign w:val="center"/>
          </w:tcPr>
          <w:p w14:paraId="5F719EA3">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项目</w:t>
            </w:r>
          </w:p>
        </w:tc>
        <w:tc>
          <w:tcPr>
            <w:tcW w:w="1804" w:type="dxa"/>
            <w:noWrap/>
            <w:vAlign w:val="center"/>
          </w:tcPr>
          <w:p w14:paraId="2D2FC79A">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单位</w:t>
            </w:r>
          </w:p>
        </w:tc>
        <w:tc>
          <w:tcPr>
            <w:tcW w:w="4253" w:type="dxa"/>
            <w:noWrap/>
            <w:vAlign w:val="center"/>
          </w:tcPr>
          <w:p w14:paraId="672D2C35">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技术要求</w:t>
            </w:r>
          </w:p>
        </w:tc>
      </w:tr>
      <w:tr w14:paraId="1BC01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noWrap/>
            <w:vAlign w:val="center"/>
          </w:tcPr>
          <w:p w14:paraId="48DDC14F">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摆值</w:t>
            </w:r>
          </w:p>
        </w:tc>
        <w:tc>
          <w:tcPr>
            <w:tcW w:w="1804" w:type="dxa"/>
            <w:noWrap/>
            <w:vAlign w:val="center"/>
          </w:tcPr>
          <w:p w14:paraId="68BEC909">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BPN</w:t>
            </w:r>
          </w:p>
        </w:tc>
        <w:tc>
          <w:tcPr>
            <w:tcW w:w="4253" w:type="dxa"/>
            <w:noWrap/>
            <w:vAlign w:val="center"/>
          </w:tcPr>
          <w:p w14:paraId="48DEE23C">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不小于50（一般路面）</w:t>
            </w:r>
          </w:p>
          <w:p w14:paraId="07132C80">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不小于60（防滑路面）</w:t>
            </w:r>
          </w:p>
        </w:tc>
      </w:tr>
      <w:tr w14:paraId="1A4E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noWrap/>
            <w:vAlign w:val="center"/>
          </w:tcPr>
          <w:p w14:paraId="1F2D3E6A">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渗水系数</w:t>
            </w:r>
          </w:p>
        </w:tc>
        <w:tc>
          <w:tcPr>
            <w:tcW w:w="1804" w:type="dxa"/>
            <w:noWrap/>
            <w:vAlign w:val="center"/>
          </w:tcPr>
          <w:p w14:paraId="1327F667">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ml/min</w:t>
            </w:r>
          </w:p>
        </w:tc>
        <w:tc>
          <w:tcPr>
            <w:tcW w:w="4253" w:type="dxa"/>
            <w:noWrap/>
            <w:vAlign w:val="center"/>
          </w:tcPr>
          <w:p w14:paraId="7D1A978D">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不大于10</w:t>
            </w:r>
          </w:p>
        </w:tc>
      </w:tr>
      <w:tr w14:paraId="2BF6D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noWrap/>
            <w:vAlign w:val="center"/>
          </w:tcPr>
          <w:p w14:paraId="5F2B056C">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厚度</w:t>
            </w:r>
          </w:p>
        </w:tc>
        <w:tc>
          <w:tcPr>
            <w:tcW w:w="1804" w:type="dxa"/>
            <w:noWrap/>
            <w:vAlign w:val="center"/>
          </w:tcPr>
          <w:p w14:paraId="1141D460">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mm</w:t>
            </w:r>
          </w:p>
        </w:tc>
        <w:tc>
          <w:tcPr>
            <w:tcW w:w="4253" w:type="dxa"/>
            <w:noWrap/>
            <w:vAlign w:val="center"/>
          </w:tcPr>
          <w:p w14:paraId="79493A55">
            <w:pPr>
              <w:pageBreakBefore w:val="0"/>
              <w:kinsoku/>
              <w:wordWrap/>
              <w:overflowPunct/>
              <w:topLinePunct w:val="0"/>
              <w:autoSpaceDE/>
              <w:autoSpaceDN/>
              <w:bidi w:val="0"/>
              <w:snapToGrid/>
              <w:spacing w:line="360" w:lineRule="auto"/>
              <w:ind w:firstLine="480"/>
              <w:jc w:val="center"/>
              <w:textAlignment w:val="auto"/>
              <w:rPr>
                <w:rFonts w:cs="宋体" w:asciiTheme="majorEastAsia" w:hAnsiTheme="majorEastAsia" w:eastAsiaTheme="majorEastAsia"/>
                <w:bCs/>
                <w:szCs w:val="21"/>
              </w:rPr>
            </w:pPr>
            <w:r>
              <w:rPr>
                <w:rFonts w:hint="eastAsia" w:cs="宋体" w:asciiTheme="majorEastAsia" w:hAnsiTheme="majorEastAsia" w:eastAsiaTheme="majorEastAsia"/>
                <w:bCs/>
                <w:szCs w:val="21"/>
              </w:rPr>
              <w:t>设计值-15%，均值不小于设计要求。</w:t>
            </w:r>
          </w:p>
        </w:tc>
      </w:tr>
    </w:tbl>
    <w:p w14:paraId="3376BB4E">
      <w:pPr>
        <w:keepNext/>
        <w:keepLines/>
        <w:pageBreakBefore w:val="0"/>
        <w:widowControl w:val="0"/>
        <w:kinsoku/>
        <w:wordWrap/>
        <w:overflowPunct/>
        <w:topLinePunct w:val="0"/>
        <w:autoSpaceDE/>
        <w:autoSpaceDN/>
        <w:bidi w:val="0"/>
        <w:snapToGrid/>
        <w:spacing w:before="260" w:after="260" w:line="360" w:lineRule="auto"/>
        <w:ind w:firstLine="480"/>
        <w:textAlignment w:val="auto"/>
        <w:outlineLvl w:val="2"/>
        <w:rPr>
          <w:rFonts w:cs="宋体" w:asciiTheme="majorEastAsia" w:hAnsiTheme="majorEastAsia" w:eastAsiaTheme="majorEastAsia"/>
          <w:bCs/>
          <w:sz w:val="24"/>
        </w:rPr>
      </w:pPr>
      <w:bookmarkStart w:id="8" w:name="_Toc126914407"/>
      <w:r>
        <w:rPr>
          <w:rFonts w:hint="eastAsia" w:cs="宋体" w:asciiTheme="majorEastAsia" w:hAnsiTheme="majorEastAsia" w:eastAsiaTheme="majorEastAsia"/>
          <w:bCs/>
          <w:sz w:val="24"/>
        </w:rPr>
        <w:t>1.3彩浆封层路面施工工艺</w:t>
      </w:r>
      <w:bookmarkEnd w:id="8"/>
    </w:p>
    <w:p w14:paraId="74EA79FC">
      <w:pPr>
        <w:pageBreakBefore w:val="0"/>
        <w:widowControl w:val="0"/>
        <w:numPr>
          <w:ilvl w:val="0"/>
          <w:numId w:val="3"/>
        </w:numPr>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sz w:val="24"/>
        </w:rPr>
      </w:pPr>
      <w:r>
        <w:rPr>
          <w:rFonts w:hint="eastAsia" w:cs="宋体" w:asciiTheme="majorEastAsia" w:hAnsiTheme="majorEastAsia" w:eastAsiaTheme="majorEastAsia"/>
          <w:bCs/>
          <w:sz w:val="24"/>
        </w:rPr>
        <w:t>对于有损坏的沥青路面应先进行维修处理，损坏维修或新建沥青路面宜在修补完成14天后施工彩浆封层罩面。沥青路面修复</w:t>
      </w:r>
      <w:r>
        <w:rPr>
          <w:rFonts w:hint="eastAsia" w:cs="宋体" w:asciiTheme="majorEastAsia" w:hAnsiTheme="majorEastAsia" w:eastAsiaTheme="majorEastAsia"/>
          <w:sz w:val="24"/>
        </w:rPr>
        <w:t>采用的主要标准、规范、规程：</w:t>
      </w:r>
    </w:p>
    <w:p w14:paraId="20556ADA">
      <w:pPr>
        <w:pageBreakBefore w:val="0"/>
        <w:widowControl w:val="0"/>
        <w:kinsoku/>
        <w:wordWrap/>
        <w:overflowPunct/>
        <w:topLinePunct w:val="0"/>
        <w:autoSpaceDE/>
        <w:autoSpaceDN/>
        <w:bidi w:val="0"/>
        <w:snapToGrid/>
        <w:spacing w:line="360" w:lineRule="auto"/>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a.《公路沥青路面养护技术规范》JTJ073.2-2009</w:t>
      </w:r>
    </w:p>
    <w:p w14:paraId="32BC1A15">
      <w:pPr>
        <w:pageBreakBefore w:val="0"/>
        <w:widowControl w:val="0"/>
        <w:kinsoku/>
        <w:wordWrap/>
        <w:overflowPunct/>
        <w:topLinePunct w:val="0"/>
        <w:autoSpaceDE/>
        <w:autoSpaceDN/>
        <w:bidi w:val="0"/>
        <w:snapToGrid/>
        <w:spacing w:line="360" w:lineRule="auto"/>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b.《公路养护安全作业规程》JTG H30-2015</w:t>
      </w:r>
    </w:p>
    <w:p w14:paraId="1D57D516">
      <w:pPr>
        <w:pageBreakBefore w:val="0"/>
        <w:widowControl w:val="0"/>
        <w:kinsoku/>
        <w:wordWrap/>
        <w:overflowPunct/>
        <w:topLinePunct w:val="0"/>
        <w:autoSpaceDE/>
        <w:autoSpaceDN/>
        <w:bidi w:val="0"/>
        <w:snapToGrid/>
        <w:spacing w:line="360" w:lineRule="auto"/>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c.《公路养护技术规范》JTG H10-2018</w:t>
      </w:r>
    </w:p>
    <w:p w14:paraId="013208AE">
      <w:pPr>
        <w:pageBreakBefore w:val="0"/>
        <w:widowControl w:val="0"/>
        <w:kinsoku/>
        <w:wordWrap/>
        <w:overflowPunct/>
        <w:topLinePunct w:val="0"/>
        <w:autoSpaceDE/>
        <w:autoSpaceDN/>
        <w:bidi w:val="0"/>
        <w:snapToGrid/>
        <w:spacing w:line="360" w:lineRule="auto"/>
        <w:ind w:firstLine="480" w:firstLineChars="200"/>
        <w:jc w:val="left"/>
        <w:textAlignment w:val="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d.《公路养护工程质量检验评定标准》JTG 5220-2020</w:t>
      </w:r>
    </w:p>
    <w:p w14:paraId="2888FAD3">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（2）采用纸质胶带粘贴地面设定施工区域边界，并保护周边构造物。</w:t>
      </w:r>
    </w:p>
    <w:p w14:paraId="7008C606">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（3）按配比先将称量好的水和高聚合共混树脂乳液（A组份）混合，搅拌均匀。</w:t>
      </w:r>
    </w:p>
    <w:p w14:paraId="765DB9BD">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（4）将固化粉料（B组份）倒入稀释后的共混树脂乳液内，同时采用搅拌机匀速搅拌，使A和B组份搅拌均匀。</w:t>
      </w:r>
    </w:p>
    <w:p w14:paraId="13E9E880">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（5）将拌和好的混合料均匀倒在施工区域，并均匀刮涂在道路表面，并采用专用工具进行刷涂和拉毛处理。</w:t>
      </w:r>
    </w:p>
    <w:p w14:paraId="401674CF">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（6）待材料初始固化后，强度尚未完全形成前，揭除胶带，尽量减少胶带上黏附料对路面的污染。</w:t>
      </w:r>
    </w:p>
    <w:p w14:paraId="368F9050">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（7）完工后的路面需养生3~7小时，待路表干燥并具有一定的强度，可开放交通（也可等保色增强剂施工完成后开放交通）。</w:t>
      </w:r>
    </w:p>
    <w:p w14:paraId="25950426">
      <w:pPr>
        <w:pageBreakBefore w:val="0"/>
        <w:widowControl w:val="0"/>
        <w:kinsoku/>
        <w:wordWrap/>
        <w:overflowPunct/>
        <w:topLinePunct w:val="0"/>
        <w:autoSpaceDE/>
        <w:autoSpaceDN/>
        <w:bidi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（8）彩浆铺筑层完全固化后，在表面喷洒保艳增强剂，待其表面干燥后方可开放交通。应保证彩浆封层施工后12小时后，无降雨。</w:t>
      </w:r>
    </w:p>
    <w:p w14:paraId="6D408341">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（9）施工期间应避免雨淋，施工气温不低于10℃。</w:t>
      </w:r>
    </w:p>
    <w:p w14:paraId="54170553">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注：应用范围是坡道、匝道、引桥及有特殊防滑要求路面时，在完成彩浆封层刮涂步骤（施工工艺第7步）后，应采取进一步的技术措施确保防滑性能。</w:t>
      </w:r>
    </w:p>
    <w:p w14:paraId="505D854C">
      <w:pPr>
        <w:keepNext/>
        <w:keepLines/>
        <w:pageBreakBefore w:val="0"/>
        <w:widowControl w:val="0"/>
        <w:kinsoku/>
        <w:wordWrap/>
        <w:overflowPunct/>
        <w:topLinePunct w:val="0"/>
        <w:autoSpaceDE/>
        <w:autoSpaceDN/>
        <w:bidi w:val="0"/>
        <w:snapToGrid/>
        <w:spacing w:before="260" w:after="260" w:line="360" w:lineRule="auto"/>
        <w:ind w:firstLine="482"/>
        <w:textAlignment w:val="auto"/>
        <w:outlineLvl w:val="1"/>
        <w:rPr>
          <w:rFonts w:cs="宋体" w:asciiTheme="majorEastAsia" w:hAnsiTheme="majorEastAsia" w:eastAsiaTheme="majorEastAsia"/>
          <w:b/>
          <w:sz w:val="24"/>
        </w:rPr>
      </w:pPr>
      <w:bookmarkStart w:id="9" w:name="_Toc126914408"/>
      <w:r>
        <w:rPr>
          <w:rFonts w:hint="eastAsia" w:cs="宋体" w:asciiTheme="majorEastAsia" w:hAnsiTheme="majorEastAsia" w:eastAsiaTheme="majorEastAsia"/>
          <w:b/>
          <w:sz w:val="24"/>
        </w:rPr>
        <w:t>2.应用于水泥砼路桥面的彩浆封层路面技术要求</w:t>
      </w:r>
      <w:bookmarkEnd w:id="9"/>
    </w:p>
    <w:p w14:paraId="5C5A242C">
      <w:pPr>
        <w:keepNext/>
        <w:keepLines/>
        <w:pageBreakBefore w:val="0"/>
        <w:widowControl w:val="0"/>
        <w:kinsoku/>
        <w:wordWrap/>
        <w:overflowPunct/>
        <w:topLinePunct w:val="0"/>
        <w:autoSpaceDE/>
        <w:autoSpaceDN/>
        <w:bidi w:val="0"/>
        <w:snapToGrid/>
        <w:spacing w:before="260" w:after="260" w:line="360" w:lineRule="auto"/>
        <w:ind w:firstLine="480"/>
        <w:textAlignment w:val="auto"/>
        <w:outlineLvl w:val="2"/>
        <w:rPr>
          <w:rFonts w:cs="宋体" w:asciiTheme="majorEastAsia" w:hAnsiTheme="majorEastAsia" w:eastAsiaTheme="majorEastAsia"/>
          <w:bCs/>
          <w:sz w:val="24"/>
        </w:rPr>
      </w:pPr>
      <w:bookmarkStart w:id="10" w:name="_Toc126914409"/>
      <w:r>
        <w:rPr>
          <w:rFonts w:hint="eastAsia" w:cs="宋体" w:asciiTheme="majorEastAsia" w:hAnsiTheme="majorEastAsia" w:eastAsiaTheme="majorEastAsia"/>
          <w:bCs/>
          <w:sz w:val="24"/>
        </w:rPr>
        <w:t>2.1彩浆封层材料技术要求</w:t>
      </w:r>
      <w:bookmarkEnd w:id="10"/>
    </w:p>
    <w:p w14:paraId="22CE43A6">
      <w:pPr>
        <w:pageBreakBefore w:val="0"/>
        <w:widowControl w:val="0"/>
        <w:tabs>
          <w:tab w:val="left" w:pos="426"/>
        </w:tabs>
        <w:kinsoku/>
        <w:wordWrap/>
        <w:overflowPunct/>
        <w:topLinePunct w:val="0"/>
        <w:autoSpaceDE/>
        <w:autoSpaceDN/>
        <w:bidi w:val="0"/>
        <w:adjustRightInd w:val="0"/>
        <w:snapToGrid/>
        <w:spacing w:line="360" w:lineRule="auto"/>
        <w:ind w:firstLine="48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1、彩浆封层原材料</w:t>
      </w:r>
    </w:p>
    <w:p w14:paraId="5B8F9EEB">
      <w:pPr>
        <w:pageBreakBefore w:val="0"/>
        <w:widowControl w:val="0"/>
        <w:tabs>
          <w:tab w:val="left" w:pos="426"/>
        </w:tabs>
        <w:kinsoku/>
        <w:wordWrap/>
        <w:overflowPunct/>
        <w:topLinePunct w:val="0"/>
        <w:autoSpaceDE/>
        <w:autoSpaceDN/>
        <w:bidi w:val="0"/>
        <w:adjustRightInd w:val="0"/>
        <w:snapToGrid/>
        <w:spacing w:line="360" w:lineRule="auto"/>
        <w:ind w:firstLine="480"/>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 xml:space="preserve">（1）A组份：树脂高聚复合乳液  </w:t>
      </w:r>
    </w:p>
    <w:p w14:paraId="5391850A">
      <w:pPr>
        <w:pageBreakBefore w:val="0"/>
        <w:tabs>
          <w:tab w:val="left" w:pos="426"/>
        </w:tabs>
        <w:kinsoku/>
        <w:wordWrap/>
        <w:overflowPunct/>
        <w:topLinePunct w:val="0"/>
        <w:autoSpaceDE/>
        <w:autoSpaceDN/>
        <w:bidi w:val="0"/>
        <w:adjustRightInd w:val="0"/>
        <w:snapToGrid/>
        <w:spacing w:line="360" w:lineRule="auto"/>
        <w:ind w:firstLine="480"/>
        <w:textAlignment w:val="auto"/>
        <w:rPr>
          <w:rFonts w:hint="eastAsia" w:cs="宋体" w:asciiTheme="majorEastAsia" w:hAnsiTheme="majorEastAsia" w:eastAsiaTheme="majorEastAsia"/>
          <w:bCs/>
          <w:sz w:val="24"/>
          <w:lang w:eastAsia="zh-CN"/>
        </w:rPr>
      </w:pPr>
      <w:r>
        <w:rPr>
          <w:rFonts w:hint="eastAsia" w:cs="宋体" w:asciiTheme="majorEastAsia" w:hAnsiTheme="majorEastAsia" w:eastAsiaTheme="majorEastAsia"/>
          <w:bCs/>
          <w:sz w:val="24"/>
        </w:rPr>
        <w:t>树脂高聚复合乳液的质量应符合下表要求</w:t>
      </w:r>
      <w:r>
        <w:rPr>
          <w:rFonts w:hint="eastAsia" w:cs="宋体" w:asciiTheme="majorEastAsia" w:hAnsiTheme="majorEastAsia" w:eastAsiaTheme="majorEastAsia"/>
          <w:bCs/>
          <w:sz w:val="24"/>
          <w:lang w:eastAsia="zh-CN"/>
        </w:rPr>
        <w:t>：</w:t>
      </w:r>
    </w:p>
    <w:p w14:paraId="5AEC243C">
      <w:pPr>
        <w:pageBreakBefore w:val="0"/>
        <w:kinsoku/>
        <w:wordWrap/>
        <w:overflowPunct/>
        <w:topLinePunct w:val="0"/>
        <w:autoSpaceDE/>
        <w:autoSpaceDN/>
        <w:bidi w:val="0"/>
        <w:adjustRightInd w:val="0"/>
        <w:snapToGrid/>
        <w:spacing w:line="360" w:lineRule="auto"/>
        <w:ind w:firstLine="480"/>
        <w:jc w:val="center"/>
        <w:textAlignment w:val="auto"/>
        <w:rPr>
          <w:rFonts w:cs="宋体" w:asciiTheme="majorEastAsia" w:hAnsiTheme="majorEastAsia" w:eastAsiaTheme="majorEastAsia"/>
          <w:bCs/>
          <w:sz w:val="24"/>
        </w:rPr>
      </w:pPr>
      <w:r>
        <w:rPr>
          <w:rFonts w:hint="eastAsia" w:cs="宋体" w:asciiTheme="majorEastAsia" w:hAnsiTheme="majorEastAsia" w:eastAsiaTheme="majorEastAsia"/>
          <w:bCs/>
          <w:sz w:val="24"/>
        </w:rPr>
        <w:t>树脂高聚复合乳液技术要求（表一）</w:t>
      </w:r>
    </w:p>
    <w:tbl>
      <w:tblPr>
        <w:tblStyle w:val="25"/>
        <w:tblW w:w="488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799"/>
        <w:gridCol w:w="914"/>
        <w:gridCol w:w="2741"/>
        <w:gridCol w:w="2110"/>
      </w:tblGrid>
      <w:tr w14:paraId="27828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blHeader/>
          <w:jc w:val="center"/>
        </w:trPr>
        <w:tc>
          <w:tcPr>
            <w:tcW w:w="2934" w:type="dxa"/>
            <w:gridSpan w:val="2"/>
            <w:noWrap/>
            <w:vAlign w:val="center"/>
          </w:tcPr>
          <w:p w14:paraId="103F3663">
            <w:pPr>
              <w:spacing w:line="400" w:lineRule="exact"/>
              <w:ind w:firstLine="480"/>
              <w:jc w:val="center"/>
            </w:pPr>
            <w:r>
              <w:rPr>
                <w:rFonts w:hint="eastAsia"/>
              </w:rPr>
              <w:t>项目</w:t>
            </w:r>
          </w:p>
        </w:tc>
        <w:tc>
          <w:tcPr>
            <w:tcW w:w="914" w:type="dxa"/>
            <w:noWrap/>
            <w:vAlign w:val="center"/>
          </w:tcPr>
          <w:p w14:paraId="1016A947">
            <w:pPr>
              <w:spacing w:line="400" w:lineRule="exact"/>
            </w:pPr>
            <w:r>
              <w:rPr>
                <w:rFonts w:hint="eastAsia"/>
              </w:rPr>
              <w:t>单位</w:t>
            </w:r>
          </w:p>
        </w:tc>
        <w:tc>
          <w:tcPr>
            <w:tcW w:w="2741" w:type="dxa"/>
            <w:noWrap/>
            <w:vAlign w:val="center"/>
          </w:tcPr>
          <w:p w14:paraId="3681D964">
            <w:pPr>
              <w:spacing w:line="400" w:lineRule="exact"/>
              <w:ind w:firstLine="480"/>
              <w:jc w:val="center"/>
            </w:pPr>
            <w:r>
              <w:rPr>
                <w:rFonts w:hint="eastAsia"/>
              </w:rPr>
              <w:t>技术要求</w:t>
            </w:r>
          </w:p>
        </w:tc>
        <w:tc>
          <w:tcPr>
            <w:tcW w:w="2110" w:type="dxa"/>
            <w:noWrap/>
            <w:vAlign w:val="center"/>
          </w:tcPr>
          <w:p w14:paraId="5B17C4BD">
            <w:pPr>
              <w:spacing w:line="400" w:lineRule="exact"/>
              <w:ind w:firstLine="480"/>
              <w:jc w:val="center"/>
            </w:pPr>
            <w:r>
              <w:rPr>
                <w:rFonts w:hint="eastAsia"/>
              </w:rPr>
              <w:t>试验方法</w:t>
            </w:r>
          </w:p>
        </w:tc>
      </w:tr>
      <w:tr w14:paraId="7CE1B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34" w:type="dxa"/>
            <w:gridSpan w:val="2"/>
            <w:noWrap/>
            <w:vAlign w:val="center"/>
          </w:tcPr>
          <w:p w14:paraId="5F8186D9">
            <w:pPr>
              <w:spacing w:line="400" w:lineRule="exact"/>
              <w:ind w:firstLine="480"/>
            </w:pPr>
            <w:r>
              <w:rPr>
                <w:rFonts w:hint="eastAsia"/>
              </w:rPr>
              <w:t>破乳速度</w:t>
            </w:r>
          </w:p>
        </w:tc>
        <w:tc>
          <w:tcPr>
            <w:tcW w:w="914" w:type="dxa"/>
            <w:noWrap/>
            <w:vAlign w:val="center"/>
          </w:tcPr>
          <w:p w14:paraId="47F79176">
            <w:pPr>
              <w:spacing w:line="400" w:lineRule="exact"/>
            </w:pPr>
            <w:r>
              <w:rPr>
                <w:rFonts w:hint="eastAsia"/>
              </w:rPr>
              <w:t>/</w:t>
            </w:r>
          </w:p>
        </w:tc>
        <w:tc>
          <w:tcPr>
            <w:tcW w:w="2741" w:type="dxa"/>
            <w:noWrap/>
            <w:vAlign w:val="center"/>
          </w:tcPr>
          <w:p w14:paraId="64BFBBC0">
            <w:pPr>
              <w:spacing w:line="400" w:lineRule="exact"/>
              <w:ind w:firstLine="480"/>
            </w:pPr>
            <w:r>
              <w:rPr>
                <w:rFonts w:hint="eastAsia"/>
              </w:rPr>
              <w:t>慢裂或中裂</w:t>
            </w:r>
          </w:p>
        </w:tc>
        <w:tc>
          <w:tcPr>
            <w:tcW w:w="2110" w:type="dxa"/>
            <w:noWrap/>
            <w:vAlign w:val="center"/>
          </w:tcPr>
          <w:p w14:paraId="036E6895">
            <w:pPr>
              <w:spacing w:line="400" w:lineRule="exact"/>
            </w:pPr>
            <w:r>
              <w:rPr>
                <w:rFonts w:hint="eastAsia"/>
              </w:rPr>
              <w:t>JTG E20-T 0658</w:t>
            </w:r>
          </w:p>
        </w:tc>
      </w:tr>
      <w:tr w14:paraId="40146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934" w:type="dxa"/>
            <w:gridSpan w:val="2"/>
            <w:noWrap/>
            <w:vAlign w:val="center"/>
          </w:tcPr>
          <w:p w14:paraId="65EB0A55">
            <w:pPr>
              <w:spacing w:line="400" w:lineRule="exact"/>
              <w:ind w:firstLine="480"/>
            </w:pPr>
            <w:r>
              <w:rPr>
                <w:rFonts w:hint="eastAsia"/>
              </w:rPr>
              <w:t>粒子电荷</w:t>
            </w:r>
          </w:p>
        </w:tc>
        <w:tc>
          <w:tcPr>
            <w:tcW w:w="914" w:type="dxa"/>
            <w:noWrap/>
            <w:vAlign w:val="center"/>
          </w:tcPr>
          <w:p w14:paraId="7EB0D225">
            <w:pPr>
              <w:spacing w:line="400" w:lineRule="exact"/>
            </w:pPr>
            <w:r>
              <w:rPr>
                <w:rFonts w:hint="eastAsia"/>
              </w:rPr>
              <w:t>/</w:t>
            </w:r>
          </w:p>
        </w:tc>
        <w:tc>
          <w:tcPr>
            <w:tcW w:w="2741" w:type="dxa"/>
            <w:noWrap/>
            <w:vAlign w:val="center"/>
          </w:tcPr>
          <w:p w14:paraId="78444F96">
            <w:pPr>
              <w:spacing w:line="400" w:lineRule="exact"/>
              <w:ind w:firstLine="480"/>
            </w:pPr>
            <w:r>
              <w:rPr>
                <w:rFonts w:hint="eastAsia"/>
              </w:rPr>
              <w:t>阴离子、阳离子或非离子</w:t>
            </w:r>
          </w:p>
        </w:tc>
        <w:tc>
          <w:tcPr>
            <w:tcW w:w="2110" w:type="dxa"/>
            <w:noWrap/>
            <w:vAlign w:val="center"/>
          </w:tcPr>
          <w:p w14:paraId="07745E07">
            <w:pPr>
              <w:spacing w:line="400" w:lineRule="exact"/>
            </w:pPr>
            <w:r>
              <w:rPr>
                <w:rFonts w:hint="eastAsia"/>
              </w:rPr>
              <w:t>JTG E20-T 0653</w:t>
            </w:r>
          </w:p>
        </w:tc>
      </w:tr>
      <w:tr w14:paraId="0E837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34" w:type="dxa"/>
            <w:gridSpan w:val="2"/>
            <w:noWrap/>
            <w:vAlign w:val="center"/>
          </w:tcPr>
          <w:p w14:paraId="34F22F1F">
            <w:pPr>
              <w:spacing w:line="400" w:lineRule="exact"/>
            </w:pPr>
            <w:r>
              <w:rPr>
                <w:rFonts w:hint="eastAsia"/>
              </w:rPr>
              <w:t>筛上残留物（1.18mm筛）</w:t>
            </w:r>
          </w:p>
        </w:tc>
        <w:tc>
          <w:tcPr>
            <w:tcW w:w="914" w:type="dxa"/>
            <w:noWrap/>
            <w:vAlign w:val="center"/>
          </w:tcPr>
          <w:p w14:paraId="16839445">
            <w:pPr>
              <w:spacing w:line="400" w:lineRule="exact"/>
            </w:pPr>
            <w:r>
              <w:rPr>
                <w:rFonts w:hint="eastAsia"/>
              </w:rPr>
              <w:t>%</w:t>
            </w:r>
          </w:p>
        </w:tc>
        <w:tc>
          <w:tcPr>
            <w:tcW w:w="2741" w:type="dxa"/>
            <w:noWrap/>
            <w:vAlign w:val="center"/>
          </w:tcPr>
          <w:p w14:paraId="79FF6B36">
            <w:pPr>
              <w:spacing w:line="400" w:lineRule="exact"/>
              <w:ind w:firstLine="480"/>
            </w:pPr>
            <w:r>
              <w:rPr>
                <w:rFonts w:hint="eastAsia"/>
              </w:rPr>
              <w:t>≤0.1</w:t>
            </w:r>
          </w:p>
        </w:tc>
        <w:tc>
          <w:tcPr>
            <w:tcW w:w="2110" w:type="dxa"/>
            <w:noWrap/>
            <w:vAlign w:val="center"/>
          </w:tcPr>
          <w:p w14:paraId="0F542BB9">
            <w:pPr>
              <w:spacing w:line="400" w:lineRule="exact"/>
            </w:pPr>
            <w:r>
              <w:rPr>
                <w:rFonts w:hint="eastAsia"/>
              </w:rPr>
              <w:t>JTG E20-T 0652</w:t>
            </w:r>
          </w:p>
        </w:tc>
      </w:tr>
      <w:tr w14:paraId="5BEDA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34" w:type="dxa"/>
            <w:gridSpan w:val="2"/>
            <w:noWrap/>
            <w:vAlign w:val="center"/>
          </w:tcPr>
          <w:p w14:paraId="7A0EA05E">
            <w:pPr>
              <w:spacing w:line="400" w:lineRule="exact"/>
              <w:ind w:firstLine="480"/>
            </w:pPr>
            <w:r>
              <w:rPr>
                <w:rFonts w:hint="eastAsia"/>
              </w:rPr>
              <w:t>颜色</w:t>
            </w:r>
          </w:p>
        </w:tc>
        <w:tc>
          <w:tcPr>
            <w:tcW w:w="914" w:type="dxa"/>
            <w:noWrap/>
            <w:vAlign w:val="center"/>
          </w:tcPr>
          <w:p w14:paraId="33B45380">
            <w:pPr>
              <w:spacing w:line="400" w:lineRule="exact"/>
            </w:pPr>
            <w:r>
              <w:rPr>
                <w:rFonts w:hint="eastAsia"/>
              </w:rPr>
              <w:t>/</w:t>
            </w:r>
          </w:p>
        </w:tc>
        <w:tc>
          <w:tcPr>
            <w:tcW w:w="2741" w:type="dxa"/>
            <w:noWrap/>
            <w:vAlign w:val="center"/>
          </w:tcPr>
          <w:p w14:paraId="0C6F1482">
            <w:pPr>
              <w:spacing w:line="400" w:lineRule="exact"/>
              <w:ind w:firstLine="480"/>
            </w:pPr>
            <w:r>
              <w:rPr>
                <w:rFonts w:hint="eastAsia"/>
              </w:rPr>
              <w:t>乳白、淡黄、灰色</w:t>
            </w:r>
          </w:p>
        </w:tc>
        <w:tc>
          <w:tcPr>
            <w:tcW w:w="2110" w:type="dxa"/>
            <w:noWrap/>
            <w:vAlign w:val="center"/>
          </w:tcPr>
          <w:p w14:paraId="7BC7DADB">
            <w:pPr>
              <w:spacing w:line="400" w:lineRule="exact"/>
            </w:pPr>
            <w:r>
              <w:rPr>
                <w:rFonts w:hint="eastAsia"/>
              </w:rPr>
              <w:t>GB/T 11175.1</w:t>
            </w:r>
          </w:p>
        </w:tc>
      </w:tr>
      <w:tr w14:paraId="06BB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34" w:type="dxa"/>
            <w:gridSpan w:val="2"/>
            <w:noWrap/>
            <w:vAlign w:val="center"/>
          </w:tcPr>
          <w:p w14:paraId="58733805">
            <w:pPr>
              <w:spacing w:line="400" w:lineRule="exact"/>
              <w:ind w:firstLine="480"/>
            </w:pPr>
            <w:r>
              <w:rPr>
                <w:rFonts w:hint="eastAsia"/>
              </w:rPr>
              <w:t>密度</w:t>
            </w:r>
          </w:p>
        </w:tc>
        <w:tc>
          <w:tcPr>
            <w:tcW w:w="914" w:type="dxa"/>
            <w:noWrap/>
            <w:vAlign w:val="center"/>
          </w:tcPr>
          <w:p w14:paraId="477C5026">
            <w:pPr>
              <w:spacing w:line="400" w:lineRule="exact"/>
            </w:pPr>
            <w:r>
              <w:rPr>
                <w:rFonts w:hint="eastAsia"/>
              </w:rPr>
              <w:t>Kg/m</w:t>
            </w:r>
            <w:r>
              <w:rPr>
                <w:rFonts w:hint="eastAsia"/>
                <w:vertAlign w:val="superscript"/>
              </w:rPr>
              <w:t>3</w:t>
            </w:r>
          </w:p>
        </w:tc>
        <w:tc>
          <w:tcPr>
            <w:tcW w:w="2741" w:type="dxa"/>
            <w:noWrap/>
            <w:vAlign w:val="center"/>
          </w:tcPr>
          <w:p w14:paraId="081C32A2">
            <w:pPr>
              <w:spacing w:line="400" w:lineRule="exact"/>
              <w:ind w:firstLine="480"/>
            </w:pPr>
            <w:r>
              <w:rPr>
                <w:rFonts w:hint="eastAsia"/>
              </w:rPr>
              <w:t>0.98×103~1.08×103</w:t>
            </w:r>
          </w:p>
        </w:tc>
        <w:tc>
          <w:tcPr>
            <w:tcW w:w="2110" w:type="dxa"/>
            <w:noWrap/>
            <w:vAlign w:val="center"/>
          </w:tcPr>
          <w:p w14:paraId="1301D26B">
            <w:pPr>
              <w:spacing w:line="400" w:lineRule="exact"/>
            </w:pPr>
            <w:r>
              <w:rPr>
                <w:rFonts w:hint="eastAsia"/>
              </w:rPr>
              <w:t>JTG E20- T0603</w:t>
            </w:r>
          </w:p>
        </w:tc>
      </w:tr>
      <w:tr w14:paraId="3B687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34" w:type="dxa"/>
            <w:gridSpan w:val="2"/>
            <w:noWrap/>
            <w:vAlign w:val="center"/>
          </w:tcPr>
          <w:p w14:paraId="399849D9">
            <w:pPr>
              <w:spacing w:line="400" w:lineRule="exact"/>
              <w:ind w:firstLine="480"/>
            </w:pPr>
            <w:r>
              <w:rPr>
                <w:rFonts w:hint="eastAsia"/>
              </w:rPr>
              <w:t>布氏粘度（20℃）</w:t>
            </w:r>
          </w:p>
        </w:tc>
        <w:tc>
          <w:tcPr>
            <w:tcW w:w="914" w:type="dxa"/>
            <w:noWrap/>
            <w:vAlign w:val="center"/>
          </w:tcPr>
          <w:p w14:paraId="2B205CCD">
            <w:pPr>
              <w:spacing w:line="400" w:lineRule="exact"/>
            </w:pPr>
            <w:r>
              <w:rPr>
                <w:rFonts w:hint="eastAsia"/>
              </w:rPr>
              <w:t>mPa.s</w:t>
            </w:r>
          </w:p>
        </w:tc>
        <w:tc>
          <w:tcPr>
            <w:tcW w:w="2741" w:type="dxa"/>
            <w:noWrap/>
            <w:vAlign w:val="center"/>
          </w:tcPr>
          <w:p w14:paraId="14FA9154">
            <w:pPr>
              <w:spacing w:line="400" w:lineRule="exact"/>
              <w:ind w:firstLine="480"/>
            </w:pPr>
            <w:r>
              <w:rPr>
                <w:rFonts w:hint="eastAsia"/>
              </w:rPr>
              <w:t>≤250</w:t>
            </w:r>
          </w:p>
        </w:tc>
        <w:tc>
          <w:tcPr>
            <w:tcW w:w="2110" w:type="dxa"/>
            <w:noWrap/>
            <w:vAlign w:val="center"/>
          </w:tcPr>
          <w:p w14:paraId="7237FA87">
            <w:pPr>
              <w:spacing w:line="400" w:lineRule="exact"/>
            </w:pPr>
            <w:r>
              <w:rPr>
                <w:rFonts w:hint="eastAsia"/>
              </w:rPr>
              <w:t>JTG E20-T 0625</w:t>
            </w:r>
          </w:p>
        </w:tc>
      </w:tr>
      <w:tr w14:paraId="79B40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934" w:type="dxa"/>
            <w:gridSpan w:val="2"/>
            <w:noWrap/>
            <w:vAlign w:val="center"/>
          </w:tcPr>
          <w:p w14:paraId="73A72205">
            <w:pPr>
              <w:spacing w:line="400" w:lineRule="exact"/>
              <w:ind w:firstLine="480"/>
            </w:pPr>
            <w:r>
              <w:rPr>
                <w:rFonts w:hint="eastAsia"/>
              </w:rPr>
              <w:t>残留分含量</w:t>
            </w:r>
          </w:p>
        </w:tc>
        <w:tc>
          <w:tcPr>
            <w:tcW w:w="914" w:type="dxa"/>
            <w:noWrap/>
            <w:vAlign w:val="center"/>
          </w:tcPr>
          <w:p w14:paraId="47517E5A">
            <w:pPr>
              <w:spacing w:line="400" w:lineRule="exact"/>
            </w:pPr>
            <w:r>
              <w:rPr>
                <w:rFonts w:hint="eastAsia"/>
              </w:rPr>
              <w:t>%</w:t>
            </w:r>
          </w:p>
        </w:tc>
        <w:tc>
          <w:tcPr>
            <w:tcW w:w="2741" w:type="dxa"/>
            <w:noWrap/>
            <w:vAlign w:val="center"/>
          </w:tcPr>
          <w:p w14:paraId="60B471F4">
            <w:pPr>
              <w:spacing w:line="400" w:lineRule="exact"/>
              <w:ind w:firstLine="480"/>
            </w:pPr>
            <w:r>
              <w:rPr>
                <w:rFonts w:hint="eastAsia"/>
              </w:rPr>
              <w:t>≥46</w:t>
            </w:r>
          </w:p>
        </w:tc>
        <w:tc>
          <w:tcPr>
            <w:tcW w:w="2110" w:type="dxa"/>
            <w:noWrap/>
            <w:vAlign w:val="center"/>
          </w:tcPr>
          <w:p w14:paraId="61C2F18D">
            <w:pPr>
              <w:spacing w:line="400" w:lineRule="exact"/>
            </w:pPr>
            <w:r>
              <w:rPr>
                <w:rFonts w:hint="eastAsia"/>
              </w:rPr>
              <w:t>JTG E20-T 0651</w:t>
            </w:r>
          </w:p>
        </w:tc>
      </w:tr>
      <w:tr w14:paraId="4B437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34" w:type="dxa"/>
            <w:gridSpan w:val="2"/>
            <w:noWrap/>
            <w:vAlign w:val="center"/>
          </w:tcPr>
          <w:p w14:paraId="1B02B931">
            <w:pPr>
              <w:spacing w:line="400" w:lineRule="exact"/>
              <w:ind w:firstLine="480"/>
            </w:pPr>
            <w:r>
              <w:rPr>
                <w:rFonts w:hint="eastAsia"/>
              </w:rPr>
              <w:t>与固体粉料的拌和试验</w:t>
            </w:r>
          </w:p>
        </w:tc>
        <w:tc>
          <w:tcPr>
            <w:tcW w:w="914" w:type="dxa"/>
            <w:noWrap/>
            <w:vAlign w:val="center"/>
          </w:tcPr>
          <w:p w14:paraId="38B3E9B0">
            <w:pPr>
              <w:spacing w:line="400" w:lineRule="exact"/>
            </w:pPr>
            <w:r>
              <w:rPr>
                <w:rFonts w:hint="eastAsia"/>
              </w:rPr>
              <w:t>/</w:t>
            </w:r>
          </w:p>
        </w:tc>
        <w:tc>
          <w:tcPr>
            <w:tcW w:w="2741" w:type="dxa"/>
            <w:noWrap/>
            <w:vAlign w:val="center"/>
          </w:tcPr>
          <w:p w14:paraId="2A16C12D">
            <w:pPr>
              <w:spacing w:line="400" w:lineRule="exact"/>
              <w:ind w:firstLine="480"/>
            </w:pPr>
            <w:r>
              <w:rPr>
                <w:rFonts w:hint="eastAsia"/>
              </w:rPr>
              <w:t>均匀</w:t>
            </w:r>
          </w:p>
        </w:tc>
        <w:tc>
          <w:tcPr>
            <w:tcW w:w="2110" w:type="dxa"/>
            <w:noWrap/>
            <w:vAlign w:val="center"/>
          </w:tcPr>
          <w:p w14:paraId="23EE715E">
            <w:pPr>
              <w:spacing w:line="400" w:lineRule="exact"/>
            </w:pPr>
            <w:r>
              <w:rPr>
                <w:rFonts w:hint="eastAsia"/>
              </w:rPr>
              <w:t>JTG E20-T 0659</w:t>
            </w:r>
          </w:p>
        </w:tc>
      </w:tr>
      <w:tr w14:paraId="13563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135" w:type="dxa"/>
            <w:vMerge w:val="restart"/>
            <w:noWrap/>
            <w:vAlign w:val="center"/>
          </w:tcPr>
          <w:p w14:paraId="58DDD49D">
            <w:pPr>
              <w:spacing w:line="400" w:lineRule="exact"/>
            </w:pPr>
            <w:r>
              <w:rPr>
                <w:rFonts w:hint="eastAsia"/>
              </w:rPr>
              <w:t>常温贮存稳定性</w:t>
            </w:r>
          </w:p>
        </w:tc>
        <w:tc>
          <w:tcPr>
            <w:tcW w:w="799" w:type="dxa"/>
            <w:noWrap/>
            <w:vAlign w:val="center"/>
          </w:tcPr>
          <w:p w14:paraId="1AFED950">
            <w:pPr>
              <w:spacing w:line="400" w:lineRule="exact"/>
            </w:pPr>
            <w:r>
              <w:rPr>
                <w:rFonts w:hint="eastAsia"/>
              </w:rPr>
              <w:t>1d</w:t>
            </w:r>
          </w:p>
        </w:tc>
        <w:tc>
          <w:tcPr>
            <w:tcW w:w="914" w:type="dxa"/>
            <w:noWrap/>
            <w:vAlign w:val="center"/>
          </w:tcPr>
          <w:p w14:paraId="44B42FA4">
            <w:pPr>
              <w:spacing w:line="400" w:lineRule="exact"/>
            </w:pPr>
            <w:r>
              <w:rPr>
                <w:rFonts w:hint="eastAsia"/>
              </w:rPr>
              <w:t>%</w:t>
            </w:r>
          </w:p>
        </w:tc>
        <w:tc>
          <w:tcPr>
            <w:tcW w:w="2741" w:type="dxa"/>
            <w:noWrap/>
            <w:vAlign w:val="center"/>
          </w:tcPr>
          <w:p w14:paraId="16C2EF73">
            <w:pPr>
              <w:spacing w:line="400" w:lineRule="exact"/>
              <w:ind w:firstLine="480"/>
            </w:pPr>
            <w:r>
              <w:rPr>
                <w:rFonts w:hint="eastAsia"/>
              </w:rPr>
              <w:t>≤1</w:t>
            </w:r>
          </w:p>
        </w:tc>
        <w:tc>
          <w:tcPr>
            <w:tcW w:w="2110" w:type="dxa"/>
            <w:vMerge w:val="restart"/>
            <w:noWrap/>
            <w:vAlign w:val="center"/>
          </w:tcPr>
          <w:p w14:paraId="5D0A8C88">
            <w:pPr>
              <w:spacing w:line="400" w:lineRule="exact"/>
            </w:pPr>
            <w:r>
              <w:rPr>
                <w:rFonts w:hint="eastAsia"/>
              </w:rPr>
              <w:t>JTG E20-T 0655</w:t>
            </w:r>
          </w:p>
        </w:tc>
      </w:tr>
      <w:tr w14:paraId="26C53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2135" w:type="dxa"/>
            <w:vMerge w:val="continue"/>
            <w:noWrap/>
            <w:vAlign w:val="center"/>
          </w:tcPr>
          <w:p w14:paraId="0FB04AFA">
            <w:pPr>
              <w:spacing w:line="400" w:lineRule="exact"/>
              <w:ind w:firstLine="480"/>
            </w:pPr>
          </w:p>
        </w:tc>
        <w:tc>
          <w:tcPr>
            <w:tcW w:w="799" w:type="dxa"/>
            <w:noWrap/>
            <w:vAlign w:val="center"/>
          </w:tcPr>
          <w:p w14:paraId="57D9A84D">
            <w:pPr>
              <w:spacing w:line="400" w:lineRule="exact"/>
            </w:pPr>
            <w:r>
              <w:rPr>
                <w:rFonts w:hint="eastAsia"/>
              </w:rPr>
              <w:t>5d</w:t>
            </w:r>
          </w:p>
        </w:tc>
        <w:tc>
          <w:tcPr>
            <w:tcW w:w="914" w:type="dxa"/>
            <w:noWrap/>
            <w:vAlign w:val="center"/>
          </w:tcPr>
          <w:p w14:paraId="6C3D7CAA">
            <w:pPr>
              <w:spacing w:line="400" w:lineRule="exact"/>
            </w:pPr>
            <w:r>
              <w:rPr>
                <w:rFonts w:hint="eastAsia"/>
              </w:rPr>
              <w:t>%</w:t>
            </w:r>
          </w:p>
        </w:tc>
        <w:tc>
          <w:tcPr>
            <w:tcW w:w="2741" w:type="dxa"/>
            <w:noWrap/>
            <w:vAlign w:val="center"/>
          </w:tcPr>
          <w:p w14:paraId="37AD8FD3">
            <w:pPr>
              <w:spacing w:line="400" w:lineRule="exact"/>
              <w:ind w:firstLine="480"/>
            </w:pPr>
            <w:r>
              <w:rPr>
                <w:rFonts w:hint="eastAsia"/>
              </w:rPr>
              <w:t>≤3</w:t>
            </w:r>
          </w:p>
        </w:tc>
        <w:tc>
          <w:tcPr>
            <w:tcW w:w="2110" w:type="dxa"/>
            <w:vMerge w:val="continue"/>
            <w:noWrap/>
            <w:vAlign w:val="center"/>
          </w:tcPr>
          <w:p w14:paraId="5D0952D1">
            <w:pPr>
              <w:spacing w:line="400" w:lineRule="exact"/>
              <w:ind w:firstLine="480"/>
            </w:pPr>
          </w:p>
        </w:tc>
      </w:tr>
    </w:tbl>
    <w:p w14:paraId="0BE85F32">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（2）B组份：固体粉料技术要求</w:t>
      </w:r>
    </w:p>
    <w:p w14:paraId="0D840769">
      <w:pPr>
        <w:spacing w:line="360" w:lineRule="auto"/>
        <w:ind w:firstLine="480"/>
        <w:jc w:val="left"/>
        <w:rPr>
          <w:rFonts w:hint="eastAsia" w:cs="宋体" w:asciiTheme="majorEastAsia" w:hAnsiTheme="majorEastAsia" w:eastAsiaTheme="majorEastAsia"/>
          <w:bCs/>
          <w:sz w:val="24"/>
          <w:lang w:eastAsia="zh-CN"/>
        </w:rPr>
      </w:pPr>
      <w:r>
        <w:rPr>
          <w:rFonts w:hint="eastAsia" w:cs="宋体" w:asciiTheme="majorEastAsia" w:hAnsiTheme="majorEastAsia" w:eastAsiaTheme="majorEastAsia"/>
          <w:bCs/>
          <w:sz w:val="24"/>
        </w:rPr>
        <w:t>固体粉料的质量应符合下表要求</w:t>
      </w:r>
      <w:r>
        <w:rPr>
          <w:rFonts w:hint="eastAsia" w:cs="宋体" w:asciiTheme="majorEastAsia" w:hAnsiTheme="majorEastAsia" w:eastAsiaTheme="majorEastAsia"/>
          <w:bCs/>
          <w:sz w:val="24"/>
          <w:lang w:eastAsia="zh-CN"/>
        </w:rPr>
        <w:t>：</w:t>
      </w:r>
    </w:p>
    <w:p w14:paraId="2A187707">
      <w:pPr>
        <w:spacing w:line="360" w:lineRule="auto"/>
        <w:ind w:firstLine="480" w:firstLineChars="200"/>
        <w:jc w:val="center"/>
        <w:rPr>
          <w:rFonts w:cs="宋体" w:asciiTheme="majorEastAsia" w:hAnsiTheme="majorEastAsia" w:eastAsiaTheme="majorEastAsia"/>
          <w:bCs/>
          <w:sz w:val="24"/>
        </w:rPr>
      </w:pPr>
      <w:r>
        <w:rPr>
          <w:rFonts w:hint="eastAsia" w:cs="宋体" w:asciiTheme="majorEastAsia" w:hAnsiTheme="majorEastAsia" w:eastAsiaTheme="majorEastAsia"/>
          <w:bCs/>
          <w:sz w:val="24"/>
        </w:rPr>
        <w:t>固体粉料技术要求（表二）</w:t>
      </w:r>
    </w:p>
    <w:tbl>
      <w:tblPr>
        <w:tblStyle w:val="25"/>
        <w:tblpPr w:leftFromText="180" w:rightFromText="180" w:vertAnchor="text" w:horzAnchor="page" w:tblpXSpec="center" w:tblpY="384"/>
        <w:tblOverlap w:val="never"/>
        <w:tblW w:w="474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33"/>
        <w:gridCol w:w="1036"/>
        <w:gridCol w:w="2664"/>
        <w:gridCol w:w="2051"/>
      </w:tblGrid>
      <w:tr w14:paraId="4D853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589" w:type="dxa"/>
            <w:gridSpan w:val="2"/>
            <w:noWrap/>
            <w:vAlign w:val="center"/>
          </w:tcPr>
          <w:p w14:paraId="62C65712">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项目</w:t>
            </w:r>
          </w:p>
        </w:tc>
        <w:tc>
          <w:tcPr>
            <w:tcW w:w="992" w:type="dxa"/>
            <w:noWrap/>
            <w:vAlign w:val="center"/>
          </w:tcPr>
          <w:p w14:paraId="0D116723">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单位</w:t>
            </w:r>
          </w:p>
        </w:tc>
        <w:tc>
          <w:tcPr>
            <w:tcW w:w="2551" w:type="dxa"/>
            <w:noWrap/>
            <w:vAlign w:val="center"/>
          </w:tcPr>
          <w:p w14:paraId="11B43391">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技术要求</w:t>
            </w:r>
          </w:p>
        </w:tc>
        <w:tc>
          <w:tcPr>
            <w:tcW w:w="1964" w:type="dxa"/>
            <w:noWrap/>
            <w:vAlign w:val="center"/>
          </w:tcPr>
          <w:p w14:paraId="5970FBE2">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试验方法</w:t>
            </w:r>
          </w:p>
        </w:tc>
      </w:tr>
      <w:tr w14:paraId="5DE9D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589" w:type="dxa"/>
            <w:gridSpan w:val="2"/>
            <w:noWrap/>
            <w:vAlign w:val="center"/>
          </w:tcPr>
          <w:p w14:paraId="00B4357D">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颜色</w:t>
            </w:r>
          </w:p>
        </w:tc>
        <w:tc>
          <w:tcPr>
            <w:tcW w:w="992" w:type="dxa"/>
            <w:noWrap/>
            <w:vAlign w:val="center"/>
          </w:tcPr>
          <w:p w14:paraId="65F6E1DA">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w:t>
            </w:r>
          </w:p>
        </w:tc>
        <w:tc>
          <w:tcPr>
            <w:tcW w:w="2551" w:type="dxa"/>
            <w:noWrap/>
            <w:vAlign w:val="center"/>
          </w:tcPr>
          <w:p w14:paraId="34F526C8">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符合设计</w:t>
            </w:r>
          </w:p>
        </w:tc>
        <w:tc>
          <w:tcPr>
            <w:tcW w:w="1964" w:type="dxa"/>
            <w:noWrap/>
            <w:vAlign w:val="center"/>
          </w:tcPr>
          <w:p w14:paraId="1B44BC82">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目测</w:t>
            </w:r>
          </w:p>
        </w:tc>
      </w:tr>
      <w:tr w14:paraId="5263F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589" w:type="dxa"/>
            <w:gridSpan w:val="2"/>
            <w:noWrap/>
            <w:vAlign w:val="center"/>
          </w:tcPr>
          <w:p w14:paraId="64CF7694">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堆积密度</w:t>
            </w:r>
          </w:p>
        </w:tc>
        <w:tc>
          <w:tcPr>
            <w:tcW w:w="992" w:type="dxa"/>
            <w:noWrap/>
            <w:vAlign w:val="center"/>
          </w:tcPr>
          <w:p w14:paraId="5C3F91C1">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Kg/m</w:t>
            </w:r>
            <w:r>
              <w:rPr>
                <w:rFonts w:hint="eastAsia" w:cs="宋体" w:asciiTheme="majorEastAsia" w:hAnsiTheme="majorEastAsia" w:eastAsiaTheme="majorEastAsia"/>
                <w:bCs/>
                <w:sz w:val="18"/>
                <w:szCs w:val="18"/>
                <w:vertAlign w:val="superscript"/>
              </w:rPr>
              <w:t>3</w:t>
            </w:r>
          </w:p>
        </w:tc>
        <w:tc>
          <w:tcPr>
            <w:tcW w:w="2551" w:type="dxa"/>
            <w:noWrap/>
            <w:vAlign w:val="center"/>
          </w:tcPr>
          <w:p w14:paraId="680EB318">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1.45×10</w:t>
            </w:r>
            <w:r>
              <w:rPr>
                <w:rFonts w:hint="eastAsia" w:cs="宋体" w:asciiTheme="majorEastAsia" w:hAnsiTheme="majorEastAsia" w:eastAsiaTheme="majorEastAsia"/>
                <w:bCs/>
                <w:sz w:val="18"/>
                <w:szCs w:val="18"/>
                <w:vertAlign w:val="superscript"/>
              </w:rPr>
              <w:t>3</w:t>
            </w:r>
            <w:r>
              <w:rPr>
                <w:rFonts w:hint="eastAsia" w:cs="宋体" w:asciiTheme="majorEastAsia" w:hAnsiTheme="majorEastAsia" w:eastAsiaTheme="majorEastAsia"/>
                <w:bCs/>
                <w:sz w:val="18"/>
                <w:szCs w:val="18"/>
              </w:rPr>
              <w:t>~1.65×10</w:t>
            </w:r>
            <w:r>
              <w:rPr>
                <w:rFonts w:hint="eastAsia" w:cs="宋体" w:asciiTheme="majorEastAsia" w:hAnsiTheme="majorEastAsia" w:eastAsiaTheme="majorEastAsia"/>
                <w:bCs/>
                <w:sz w:val="18"/>
                <w:szCs w:val="18"/>
                <w:vertAlign w:val="superscript"/>
              </w:rPr>
              <w:t>3</w:t>
            </w:r>
          </w:p>
        </w:tc>
        <w:tc>
          <w:tcPr>
            <w:tcW w:w="1964" w:type="dxa"/>
            <w:noWrap/>
            <w:vAlign w:val="center"/>
          </w:tcPr>
          <w:p w14:paraId="3B5706B8">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JTG E42-T 0309</w:t>
            </w:r>
          </w:p>
        </w:tc>
      </w:tr>
      <w:tr w14:paraId="3D2D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13" w:type="dxa"/>
            <w:vMerge w:val="restart"/>
            <w:noWrap/>
            <w:vAlign w:val="center"/>
          </w:tcPr>
          <w:p w14:paraId="7A66E34D">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筛分试验（筛分孔尺寸/通过率）</w:t>
            </w:r>
          </w:p>
        </w:tc>
        <w:tc>
          <w:tcPr>
            <w:tcW w:w="1276" w:type="dxa"/>
            <w:noWrap/>
            <w:vAlign w:val="center"/>
          </w:tcPr>
          <w:p w14:paraId="32775F92">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2.36mm</w:t>
            </w:r>
          </w:p>
        </w:tc>
        <w:tc>
          <w:tcPr>
            <w:tcW w:w="992" w:type="dxa"/>
            <w:vMerge w:val="restart"/>
            <w:noWrap/>
            <w:vAlign w:val="center"/>
          </w:tcPr>
          <w:p w14:paraId="1A6B9480">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w:t>
            </w:r>
          </w:p>
        </w:tc>
        <w:tc>
          <w:tcPr>
            <w:tcW w:w="2551" w:type="dxa"/>
            <w:noWrap/>
            <w:vAlign w:val="center"/>
          </w:tcPr>
          <w:p w14:paraId="6EB0A653">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100</w:t>
            </w:r>
          </w:p>
        </w:tc>
        <w:tc>
          <w:tcPr>
            <w:tcW w:w="1964" w:type="dxa"/>
            <w:vMerge w:val="restart"/>
            <w:noWrap/>
            <w:vAlign w:val="center"/>
          </w:tcPr>
          <w:p w14:paraId="1EBB6D57">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JTG E42-T 0351</w:t>
            </w:r>
          </w:p>
        </w:tc>
      </w:tr>
      <w:tr w14:paraId="5616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13" w:type="dxa"/>
            <w:vMerge w:val="continue"/>
            <w:noWrap/>
            <w:vAlign w:val="center"/>
          </w:tcPr>
          <w:p w14:paraId="0581CDFA">
            <w:pPr>
              <w:tabs>
                <w:tab w:val="left" w:pos="426"/>
              </w:tabs>
              <w:adjustRightInd w:val="0"/>
              <w:ind w:firstLine="360"/>
              <w:jc w:val="center"/>
              <w:rPr>
                <w:rFonts w:cs="宋体" w:asciiTheme="majorEastAsia" w:hAnsiTheme="majorEastAsia" w:eastAsiaTheme="majorEastAsia"/>
                <w:bCs/>
                <w:sz w:val="18"/>
                <w:szCs w:val="18"/>
              </w:rPr>
            </w:pPr>
          </w:p>
        </w:tc>
        <w:tc>
          <w:tcPr>
            <w:tcW w:w="1276" w:type="dxa"/>
            <w:noWrap/>
            <w:vAlign w:val="center"/>
          </w:tcPr>
          <w:p w14:paraId="2CC26A80">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1.18mm</w:t>
            </w:r>
          </w:p>
        </w:tc>
        <w:tc>
          <w:tcPr>
            <w:tcW w:w="992" w:type="dxa"/>
            <w:vMerge w:val="continue"/>
            <w:noWrap/>
            <w:vAlign w:val="center"/>
          </w:tcPr>
          <w:p w14:paraId="1906C6D5">
            <w:pPr>
              <w:tabs>
                <w:tab w:val="left" w:pos="426"/>
              </w:tabs>
              <w:adjustRightInd w:val="0"/>
              <w:ind w:firstLine="360"/>
              <w:jc w:val="center"/>
              <w:rPr>
                <w:rFonts w:cs="宋体" w:asciiTheme="majorEastAsia" w:hAnsiTheme="majorEastAsia" w:eastAsiaTheme="majorEastAsia"/>
                <w:bCs/>
                <w:sz w:val="18"/>
                <w:szCs w:val="18"/>
              </w:rPr>
            </w:pPr>
          </w:p>
        </w:tc>
        <w:tc>
          <w:tcPr>
            <w:tcW w:w="2551" w:type="dxa"/>
            <w:noWrap/>
            <w:vAlign w:val="center"/>
          </w:tcPr>
          <w:p w14:paraId="5E0CDDCE">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95~100</w:t>
            </w:r>
          </w:p>
        </w:tc>
        <w:tc>
          <w:tcPr>
            <w:tcW w:w="1964" w:type="dxa"/>
            <w:vMerge w:val="continue"/>
            <w:noWrap/>
            <w:vAlign w:val="center"/>
          </w:tcPr>
          <w:p w14:paraId="194E0FEA">
            <w:pPr>
              <w:tabs>
                <w:tab w:val="left" w:pos="426"/>
              </w:tabs>
              <w:adjustRightInd w:val="0"/>
              <w:ind w:firstLine="360"/>
              <w:jc w:val="center"/>
              <w:rPr>
                <w:rFonts w:cs="宋体" w:asciiTheme="majorEastAsia" w:hAnsiTheme="majorEastAsia" w:eastAsiaTheme="majorEastAsia"/>
                <w:bCs/>
                <w:sz w:val="18"/>
                <w:szCs w:val="18"/>
              </w:rPr>
            </w:pPr>
          </w:p>
        </w:tc>
      </w:tr>
      <w:tr w14:paraId="33921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13" w:type="dxa"/>
            <w:vMerge w:val="continue"/>
            <w:noWrap/>
            <w:vAlign w:val="center"/>
          </w:tcPr>
          <w:p w14:paraId="58C72B68">
            <w:pPr>
              <w:tabs>
                <w:tab w:val="left" w:pos="426"/>
              </w:tabs>
              <w:adjustRightInd w:val="0"/>
              <w:ind w:firstLine="360"/>
              <w:jc w:val="center"/>
              <w:rPr>
                <w:rFonts w:cs="宋体" w:asciiTheme="majorEastAsia" w:hAnsiTheme="majorEastAsia" w:eastAsiaTheme="majorEastAsia"/>
                <w:bCs/>
                <w:sz w:val="18"/>
                <w:szCs w:val="18"/>
              </w:rPr>
            </w:pPr>
          </w:p>
        </w:tc>
        <w:tc>
          <w:tcPr>
            <w:tcW w:w="1276" w:type="dxa"/>
            <w:noWrap/>
            <w:vAlign w:val="center"/>
          </w:tcPr>
          <w:p w14:paraId="6E60E01F">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0.075mm</w:t>
            </w:r>
          </w:p>
        </w:tc>
        <w:tc>
          <w:tcPr>
            <w:tcW w:w="992" w:type="dxa"/>
            <w:vMerge w:val="continue"/>
            <w:noWrap/>
            <w:vAlign w:val="center"/>
          </w:tcPr>
          <w:p w14:paraId="0F6F7BCF">
            <w:pPr>
              <w:tabs>
                <w:tab w:val="left" w:pos="426"/>
              </w:tabs>
              <w:adjustRightInd w:val="0"/>
              <w:ind w:firstLine="360"/>
              <w:jc w:val="center"/>
              <w:rPr>
                <w:rFonts w:cs="宋体" w:asciiTheme="majorEastAsia" w:hAnsiTheme="majorEastAsia" w:eastAsiaTheme="majorEastAsia"/>
                <w:bCs/>
                <w:sz w:val="18"/>
                <w:szCs w:val="18"/>
              </w:rPr>
            </w:pPr>
          </w:p>
        </w:tc>
        <w:tc>
          <w:tcPr>
            <w:tcW w:w="2551" w:type="dxa"/>
            <w:noWrap/>
            <w:vAlign w:val="center"/>
          </w:tcPr>
          <w:p w14:paraId="5C470905">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35~45</w:t>
            </w:r>
          </w:p>
        </w:tc>
        <w:tc>
          <w:tcPr>
            <w:tcW w:w="1964" w:type="dxa"/>
            <w:vMerge w:val="continue"/>
            <w:noWrap/>
            <w:vAlign w:val="center"/>
          </w:tcPr>
          <w:p w14:paraId="05AB7111">
            <w:pPr>
              <w:tabs>
                <w:tab w:val="left" w:pos="426"/>
              </w:tabs>
              <w:adjustRightInd w:val="0"/>
              <w:ind w:firstLine="360"/>
              <w:jc w:val="center"/>
              <w:rPr>
                <w:rFonts w:cs="宋体" w:asciiTheme="majorEastAsia" w:hAnsiTheme="majorEastAsia" w:eastAsiaTheme="majorEastAsia"/>
                <w:bCs/>
                <w:sz w:val="18"/>
                <w:szCs w:val="18"/>
              </w:rPr>
            </w:pPr>
          </w:p>
        </w:tc>
      </w:tr>
      <w:tr w14:paraId="6472B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589" w:type="dxa"/>
            <w:gridSpan w:val="2"/>
            <w:noWrap/>
            <w:vAlign w:val="center"/>
          </w:tcPr>
          <w:p w14:paraId="5A7197C1">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含水率</w:t>
            </w:r>
          </w:p>
        </w:tc>
        <w:tc>
          <w:tcPr>
            <w:tcW w:w="992" w:type="dxa"/>
            <w:noWrap/>
            <w:vAlign w:val="center"/>
          </w:tcPr>
          <w:p w14:paraId="48810016">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w:t>
            </w:r>
          </w:p>
        </w:tc>
        <w:tc>
          <w:tcPr>
            <w:tcW w:w="2551" w:type="dxa"/>
            <w:noWrap/>
            <w:vAlign w:val="center"/>
          </w:tcPr>
          <w:p w14:paraId="273070C8">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≤1</w:t>
            </w:r>
          </w:p>
        </w:tc>
        <w:tc>
          <w:tcPr>
            <w:tcW w:w="1964" w:type="dxa"/>
            <w:noWrap/>
            <w:vAlign w:val="center"/>
          </w:tcPr>
          <w:p w14:paraId="4ABA043B">
            <w:pPr>
              <w:tabs>
                <w:tab w:val="left" w:pos="426"/>
              </w:tabs>
              <w:adjustRightInd w:val="0"/>
              <w:ind w:firstLine="360"/>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JTG E40- T 0103</w:t>
            </w:r>
          </w:p>
        </w:tc>
      </w:tr>
    </w:tbl>
    <w:p w14:paraId="2D49C027">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（3）彩浆混合料：A、B组份根据设计配合比拌和均匀后的混合料质量应符合下表技术要求，A组份：B组份：水=1:5:0.2~0.6。</w:t>
      </w:r>
    </w:p>
    <w:p w14:paraId="22E93221">
      <w:pPr>
        <w:spacing w:line="360" w:lineRule="auto"/>
        <w:ind w:firstLine="480" w:firstLineChars="200"/>
        <w:jc w:val="center"/>
        <w:rPr>
          <w:rFonts w:cs="宋体" w:asciiTheme="majorEastAsia" w:hAnsiTheme="majorEastAsia" w:eastAsiaTheme="majorEastAsia"/>
          <w:bCs/>
          <w:sz w:val="24"/>
        </w:rPr>
      </w:pPr>
      <w:r>
        <w:rPr>
          <w:rFonts w:hint="eastAsia" w:cs="宋体" w:asciiTheme="majorEastAsia" w:hAnsiTheme="majorEastAsia" w:eastAsiaTheme="majorEastAsia"/>
          <w:bCs/>
          <w:sz w:val="24"/>
        </w:rPr>
        <w:t>彩浆封层混合料技术要求（表三）</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1809"/>
        <w:gridCol w:w="1083"/>
        <w:gridCol w:w="1282"/>
        <w:gridCol w:w="2940"/>
      </w:tblGrid>
      <w:tr w14:paraId="1CAEE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018" w:type="dxa"/>
            <w:gridSpan w:val="2"/>
            <w:noWrap/>
            <w:vAlign w:val="center"/>
          </w:tcPr>
          <w:p w14:paraId="422B45CE">
            <w:pPr>
              <w:spacing w:line="440" w:lineRule="exact"/>
              <w:ind w:firstLine="480"/>
              <w:jc w:val="center"/>
            </w:pPr>
            <w:r>
              <w:rPr>
                <w:rFonts w:hint="eastAsia"/>
              </w:rPr>
              <w:t>项目</w:t>
            </w:r>
          </w:p>
        </w:tc>
        <w:tc>
          <w:tcPr>
            <w:tcW w:w="1037" w:type="dxa"/>
            <w:noWrap/>
            <w:vAlign w:val="center"/>
          </w:tcPr>
          <w:p w14:paraId="48A2CE34">
            <w:pPr>
              <w:spacing w:line="440" w:lineRule="exact"/>
            </w:pPr>
            <w:r>
              <w:rPr>
                <w:rFonts w:hint="eastAsia"/>
              </w:rPr>
              <w:t>单位</w:t>
            </w:r>
          </w:p>
        </w:tc>
        <w:tc>
          <w:tcPr>
            <w:tcW w:w="1227" w:type="dxa"/>
            <w:noWrap/>
            <w:vAlign w:val="center"/>
          </w:tcPr>
          <w:p w14:paraId="394F895D">
            <w:pPr>
              <w:spacing w:line="440" w:lineRule="exact"/>
              <w:ind w:firstLine="480"/>
              <w:jc w:val="center"/>
            </w:pPr>
            <w:r>
              <w:rPr>
                <w:rFonts w:hint="eastAsia"/>
              </w:rPr>
              <w:t>技术要求</w:t>
            </w:r>
          </w:p>
        </w:tc>
        <w:tc>
          <w:tcPr>
            <w:tcW w:w="2814" w:type="dxa"/>
            <w:noWrap/>
            <w:vAlign w:val="center"/>
          </w:tcPr>
          <w:p w14:paraId="757D8502">
            <w:pPr>
              <w:spacing w:line="440" w:lineRule="exact"/>
              <w:ind w:firstLine="480"/>
              <w:jc w:val="center"/>
            </w:pPr>
            <w:r>
              <w:rPr>
                <w:rFonts w:hint="eastAsia"/>
              </w:rPr>
              <w:t>试验方法</w:t>
            </w:r>
          </w:p>
        </w:tc>
      </w:tr>
      <w:tr w14:paraId="0807C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5693B367">
            <w:pPr>
              <w:spacing w:line="440" w:lineRule="exact"/>
              <w:ind w:firstLine="480"/>
            </w:pPr>
            <w:r>
              <w:rPr>
                <w:rFonts w:hint="eastAsia"/>
              </w:rPr>
              <w:t>可拌和时间</w:t>
            </w:r>
          </w:p>
        </w:tc>
        <w:tc>
          <w:tcPr>
            <w:tcW w:w="1037" w:type="dxa"/>
            <w:noWrap/>
            <w:vAlign w:val="center"/>
          </w:tcPr>
          <w:p w14:paraId="4D299B8D">
            <w:pPr>
              <w:spacing w:line="440" w:lineRule="exact"/>
            </w:pPr>
            <w:r>
              <w:rPr>
                <w:rFonts w:hint="eastAsia"/>
              </w:rPr>
              <w:t>Min</w:t>
            </w:r>
          </w:p>
        </w:tc>
        <w:tc>
          <w:tcPr>
            <w:tcW w:w="1227" w:type="dxa"/>
            <w:noWrap/>
            <w:vAlign w:val="center"/>
          </w:tcPr>
          <w:p w14:paraId="544565D6">
            <w:pPr>
              <w:spacing w:line="440" w:lineRule="exact"/>
              <w:ind w:firstLine="480"/>
            </w:pPr>
            <w:r>
              <w:rPr>
                <w:rFonts w:hint="eastAsia"/>
              </w:rPr>
              <w:t>≥15</w:t>
            </w:r>
          </w:p>
        </w:tc>
        <w:tc>
          <w:tcPr>
            <w:tcW w:w="2814" w:type="dxa"/>
            <w:noWrap/>
            <w:vAlign w:val="center"/>
          </w:tcPr>
          <w:p w14:paraId="01B3E134">
            <w:pPr>
              <w:spacing w:line="440" w:lineRule="exact"/>
              <w:ind w:firstLine="480"/>
            </w:pPr>
            <w:r>
              <w:rPr>
                <w:rFonts w:hint="eastAsia"/>
              </w:rPr>
              <w:t>JTG E20-T 0757</w:t>
            </w:r>
          </w:p>
        </w:tc>
      </w:tr>
      <w:tr w14:paraId="6F90A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41166F00">
            <w:pPr>
              <w:spacing w:line="440" w:lineRule="exact"/>
              <w:ind w:firstLine="480"/>
            </w:pPr>
            <w:r>
              <w:rPr>
                <w:rFonts w:hint="eastAsia"/>
              </w:rPr>
              <w:t>3d龄期抗压强度</w:t>
            </w:r>
          </w:p>
        </w:tc>
        <w:tc>
          <w:tcPr>
            <w:tcW w:w="1037" w:type="dxa"/>
            <w:noWrap/>
            <w:vAlign w:val="center"/>
          </w:tcPr>
          <w:p w14:paraId="0FEB22AB">
            <w:pPr>
              <w:spacing w:line="440" w:lineRule="exact"/>
            </w:pPr>
            <w:r>
              <w:rPr>
                <w:rFonts w:hint="eastAsia"/>
              </w:rPr>
              <w:t>MPa</w:t>
            </w:r>
          </w:p>
        </w:tc>
        <w:tc>
          <w:tcPr>
            <w:tcW w:w="1227" w:type="dxa"/>
            <w:noWrap/>
            <w:vAlign w:val="center"/>
          </w:tcPr>
          <w:p w14:paraId="1ABAAB53">
            <w:pPr>
              <w:spacing w:line="440" w:lineRule="exact"/>
              <w:ind w:firstLine="480"/>
            </w:pPr>
            <w:r>
              <w:rPr>
                <w:rFonts w:hint="eastAsia"/>
              </w:rPr>
              <w:t>≥12</w:t>
            </w:r>
          </w:p>
        </w:tc>
        <w:tc>
          <w:tcPr>
            <w:tcW w:w="2814" w:type="dxa"/>
            <w:noWrap/>
            <w:vAlign w:val="center"/>
          </w:tcPr>
          <w:p w14:paraId="7BD217B8">
            <w:pPr>
              <w:spacing w:line="440" w:lineRule="exact"/>
              <w:ind w:firstLine="480"/>
            </w:pPr>
            <w:r>
              <w:rPr>
                <w:rFonts w:hint="eastAsia"/>
              </w:rPr>
              <w:t>GB/T 17671</w:t>
            </w:r>
          </w:p>
        </w:tc>
      </w:tr>
      <w:tr w14:paraId="4E3C7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04B7F09E">
            <w:pPr>
              <w:spacing w:line="440" w:lineRule="exact"/>
              <w:ind w:firstLine="480"/>
            </w:pPr>
            <w:r>
              <w:rPr>
                <w:rFonts w:hint="eastAsia"/>
              </w:rPr>
              <w:t>3d龄期抗折强度</w:t>
            </w:r>
          </w:p>
        </w:tc>
        <w:tc>
          <w:tcPr>
            <w:tcW w:w="1037" w:type="dxa"/>
            <w:noWrap/>
            <w:vAlign w:val="center"/>
          </w:tcPr>
          <w:p w14:paraId="6FDD0B84">
            <w:pPr>
              <w:spacing w:line="440" w:lineRule="exact"/>
            </w:pPr>
            <w:r>
              <w:rPr>
                <w:rFonts w:hint="eastAsia"/>
              </w:rPr>
              <w:t>MPa</w:t>
            </w:r>
          </w:p>
        </w:tc>
        <w:tc>
          <w:tcPr>
            <w:tcW w:w="1227" w:type="dxa"/>
            <w:noWrap/>
            <w:vAlign w:val="center"/>
          </w:tcPr>
          <w:p w14:paraId="5DC225F0">
            <w:pPr>
              <w:spacing w:line="440" w:lineRule="exact"/>
              <w:ind w:firstLine="480"/>
            </w:pPr>
            <w:r>
              <w:rPr>
                <w:rFonts w:hint="eastAsia"/>
              </w:rPr>
              <w:t>≥4</w:t>
            </w:r>
          </w:p>
        </w:tc>
        <w:tc>
          <w:tcPr>
            <w:tcW w:w="2814" w:type="dxa"/>
            <w:noWrap/>
            <w:vAlign w:val="center"/>
          </w:tcPr>
          <w:p w14:paraId="26B18A72">
            <w:pPr>
              <w:spacing w:line="440" w:lineRule="exact"/>
              <w:ind w:firstLine="480"/>
            </w:pPr>
            <w:r>
              <w:rPr>
                <w:rFonts w:hint="eastAsia"/>
              </w:rPr>
              <w:t>GB/T 17671</w:t>
            </w:r>
          </w:p>
        </w:tc>
      </w:tr>
      <w:tr w14:paraId="1C3FC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restart"/>
            <w:noWrap/>
            <w:vAlign w:val="center"/>
          </w:tcPr>
          <w:p w14:paraId="22C24177">
            <w:pPr>
              <w:spacing w:line="440" w:lineRule="exact"/>
            </w:pPr>
            <w:r>
              <w:rPr>
                <w:rFonts w:hint="eastAsia"/>
              </w:rPr>
              <w:t>负荷轮碾压试验</w:t>
            </w:r>
          </w:p>
        </w:tc>
        <w:tc>
          <w:tcPr>
            <w:tcW w:w="1732" w:type="dxa"/>
            <w:noWrap/>
            <w:vAlign w:val="center"/>
          </w:tcPr>
          <w:p w14:paraId="7B6E671A">
            <w:pPr>
              <w:spacing w:line="440" w:lineRule="exact"/>
            </w:pPr>
            <w:r>
              <w:rPr>
                <w:rFonts w:hint="eastAsia"/>
              </w:rPr>
              <w:t>粘附砂量</w:t>
            </w:r>
          </w:p>
        </w:tc>
        <w:tc>
          <w:tcPr>
            <w:tcW w:w="1037" w:type="dxa"/>
            <w:noWrap/>
            <w:vAlign w:val="center"/>
          </w:tcPr>
          <w:p w14:paraId="0482254C">
            <w:pPr>
              <w:spacing w:line="440" w:lineRule="exact"/>
            </w:pPr>
            <w:r>
              <w:rPr>
                <w:rFonts w:hint="eastAsia"/>
              </w:rPr>
              <w:t>g/m</w:t>
            </w:r>
            <w:r>
              <w:rPr>
                <w:rFonts w:hint="eastAsia"/>
                <w:vertAlign w:val="superscript"/>
              </w:rPr>
              <w:t>2</w:t>
            </w:r>
          </w:p>
        </w:tc>
        <w:tc>
          <w:tcPr>
            <w:tcW w:w="1227" w:type="dxa"/>
            <w:noWrap/>
            <w:vAlign w:val="center"/>
          </w:tcPr>
          <w:p w14:paraId="3C19ED0C">
            <w:pPr>
              <w:spacing w:line="440" w:lineRule="exact"/>
              <w:ind w:firstLine="480"/>
            </w:pPr>
            <w:r>
              <w:rPr>
                <w:rFonts w:hint="eastAsia"/>
              </w:rPr>
              <w:t>≤450</w:t>
            </w:r>
          </w:p>
        </w:tc>
        <w:tc>
          <w:tcPr>
            <w:tcW w:w="2814" w:type="dxa"/>
            <w:vMerge w:val="restart"/>
            <w:noWrap/>
            <w:vAlign w:val="center"/>
          </w:tcPr>
          <w:p w14:paraId="3BF4AD5B">
            <w:pPr>
              <w:spacing w:line="440" w:lineRule="exact"/>
              <w:ind w:firstLine="480"/>
            </w:pPr>
            <w:r>
              <w:rPr>
                <w:rFonts w:hint="eastAsia"/>
              </w:rPr>
              <w:t>JTG E20-T 0755</w:t>
            </w:r>
          </w:p>
        </w:tc>
      </w:tr>
      <w:tr w14:paraId="49D90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continue"/>
            <w:noWrap/>
            <w:vAlign w:val="center"/>
          </w:tcPr>
          <w:p w14:paraId="51A7C06C">
            <w:pPr>
              <w:spacing w:line="440" w:lineRule="exact"/>
              <w:ind w:firstLine="480"/>
            </w:pPr>
          </w:p>
        </w:tc>
        <w:tc>
          <w:tcPr>
            <w:tcW w:w="1732" w:type="dxa"/>
            <w:noWrap/>
            <w:vAlign w:val="center"/>
          </w:tcPr>
          <w:p w14:paraId="6C6A0BB6">
            <w:pPr>
              <w:spacing w:line="440" w:lineRule="exact"/>
            </w:pPr>
            <w:r>
              <w:rPr>
                <w:rFonts w:hint="eastAsia"/>
              </w:rPr>
              <w:t>轮迹宽度变化率</w:t>
            </w:r>
          </w:p>
        </w:tc>
        <w:tc>
          <w:tcPr>
            <w:tcW w:w="1037" w:type="dxa"/>
            <w:noWrap/>
            <w:vAlign w:val="center"/>
          </w:tcPr>
          <w:p w14:paraId="661310BF">
            <w:pPr>
              <w:spacing w:line="440" w:lineRule="exact"/>
            </w:pPr>
            <w:r>
              <w:rPr>
                <w:rFonts w:hint="eastAsia"/>
              </w:rPr>
              <w:t>%</w:t>
            </w:r>
          </w:p>
        </w:tc>
        <w:tc>
          <w:tcPr>
            <w:tcW w:w="1227" w:type="dxa"/>
            <w:noWrap/>
            <w:vAlign w:val="center"/>
          </w:tcPr>
          <w:p w14:paraId="15C87544">
            <w:pPr>
              <w:spacing w:line="440" w:lineRule="exact"/>
              <w:ind w:firstLine="480"/>
            </w:pPr>
            <w:r>
              <w:rPr>
                <w:rFonts w:hint="eastAsia"/>
              </w:rPr>
              <w:t>≤5</w:t>
            </w:r>
          </w:p>
        </w:tc>
        <w:tc>
          <w:tcPr>
            <w:tcW w:w="2814" w:type="dxa"/>
            <w:vMerge w:val="continue"/>
            <w:noWrap/>
            <w:vAlign w:val="center"/>
          </w:tcPr>
          <w:p w14:paraId="44CE1859">
            <w:pPr>
              <w:spacing w:line="440" w:lineRule="exact"/>
              <w:ind w:firstLine="480"/>
            </w:pPr>
          </w:p>
        </w:tc>
      </w:tr>
      <w:tr w14:paraId="3E0DD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restart"/>
            <w:noWrap/>
            <w:vAlign w:val="center"/>
          </w:tcPr>
          <w:p w14:paraId="77EDDD89">
            <w:pPr>
              <w:spacing w:line="440" w:lineRule="exact"/>
            </w:pPr>
            <w:r>
              <w:rPr>
                <w:rFonts w:hint="eastAsia"/>
              </w:rPr>
              <w:t>湿轮磨耗试验磨耗值</w:t>
            </w:r>
          </w:p>
        </w:tc>
        <w:tc>
          <w:tcPr>
            <w:tcW w:w="1732" w:type="dxa"/>
            <w:noWrap/>
            <w:vAlign w:val="center"/>
          </w:tcPr>
          <w:p w14:paraId="00E86641">
            <w:pPr>
              <w:spacing w:line="440" w:lineRule="exact"/>
            </w:pPr>
            <w:r>
              <w:rPr>
                <w:rFonts w:hint="eastAsia"/>
              </w:rPr>
              <w:t>浸水1h</w:t>
            </w:r>
          </w:p>
        </w:tc>
        <w:tc>
          <w:tcPr>
            <w:tcW w:w="1037" w:type="dxa"/>
            <w:vMerge w:val="restart"/>
            <w:noWrap/>
            <w:vAlign w:val="center"/>
          </w:tcPr>
          <w:p w14:paraId="74C3B47D">
            <w:pPr>
              <w:spacing w:line="440" w:lineRule="exact"/>
            </w:pPr>
            <w:r>
              <w:rPr>
                <w:rFonts w:hint="eastAsia"/>
              </w:rPr>
              <w:t>g/m</w:t>
            </w:r>
            <w:r>
              <w:rPr>
                <w:rFonts w:hint="eastAsia"/>
                <w:vertAlign w:val="superscript"/>
              </w:rPr>
              <w:t>2</w:t>
            </w:r>
          </w:p>
        </w:tc>
        <w:tc>
          <w:tcPr>
            <w:tcW w:w="1227" w:type="dxa"/>
            <w:noWrap/>
            <w:vAlign w:val="center"/>
          </w:tcPr>
          <w:p w14:paraId="06FA2D2B">
            <w:pPr>
              <w:spacing w:line="440" w:lineRule="exact"/>
              <w:ind w:firstLine="480"/>
            </w:pPr>
            <w:r>
              <w:rPr>
                <w:rFonts w:hint="eastAsia"/>
              </w:rPr>
              <w:t>≤540</w:t>
            </w:r>
          </w:p>
        </w:tc>
        <w:tc>
          <w:tcPr>
            <w:tcW w:w="2814" w:type="dxa"/>
            <w:vMerge w:val="restart"/>
            <w:noWrap/>
            <w:vAlign w:val="center"/>
          </w:tcPr>
          <w:p w14:paraId="08982517">
            <w:pPr>
              <w:spacing w:line="440" w:lineRule="exact"/>
              <w:ind w:firstLine="480"/>
            </w:pPr>
            <w:r>
              <w:rPr>
                <w:rFonts w:hint="eastAsia"/>
              </w:rPr>
              <w:t>JTG E20- T0752</w:t>
            </w:r>
          </w:p>
        </w:tc>
      </w:tr>
      <w:tr w14:paraId="68D91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continue"/>
            <w:noWrap/>
            <w:vAlign w:val="center"/>
          </w:tcPr>
          <w:p w14:paraId="065401C6">
            <w:pPr>
              <w:spacing w:line="440" w:lineRule="exact"/>
              <w:ind w:firstLine="480"/>
            </w:pPr>
          </w:p>
        </w:tc>
        <w:tc>
          <w:tcPr>
            <w:tcW w:w="1732" w:type="dxa"/>
            <w:noWrap/>
            <w:vAlign w:val="center"/>
          </w:tcPr>
          <w:p w14:paraId="59259AC3">
            <w:pPr>
              <w:spacing w:line="440" w:lineRule="exact"/>
            </w:pPr>
            <w:r>
              <w:rPr>
                <w:rFonts w:hint="eastAsia"/>
              </w:rPr>
              <w:t>浸水6h</w:t>
            </w:r>
          </w:p>
        </w:tc>
        <w:tc>
          <w:tcPr>
            <w:tcW w:w="1037" w:type="dxa"/>
            <w:vMerge w:val="continue"/>
            <w:noWrap/>
            <w:vAlign w:val="center"/>
          </w:tcPr>
          <w:p w14:paraId="0B9E2153">
            <w:pPr>
              <w:spacing w:line="440" w:lineRule="exact"/>
              <w:ind w:firstLine="480"/>
            </w:pPr>
          </w:p>
        </w:tc>
        <w:tc>
          <w:tcPr>
            <w:tcW w:w="1227" w:type="dxa"/>
            <w:noWrap/>
            <w:vAlign w:val="center"/>
          </w:tcPr>
          <w:p w14:paraId="7DAF89B4">
            <w:pPr>
              <w:spacing w:line="440" w:lineRule="exact"/>
              <w:ind w:firstLine="480"/>
            </w:pPr>
            <w:r>
              <w:rPr>
                <w:rFonts w:hint="eastAsia"/>
              </w:rPr>
              <w:t>≤800</w:t>
            </w:r>
          </w:p>
        </w:tc>
        <w:tc>
          <w:tcPr>
            <w:tcW w:w="2814" w:type="dxa"/>
            <w:vMerge w:val="continue"/>
            <w:noWrap/>
            <w:vAlign w:val="center"/>
          </w:tcPr>
          <w:p w14:paraId="4507A24B">
            <w:pPr>
              <w:spacing w:line="440" w:lineRule="exact"/>
              <w:ind w:firstLine="480"/>
            </w:pPr>
          </w:p>
        </w:tc>
      </w:tr>
      <w:tr w14:paraId="46C0C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753290E2">
            <w:pPr>
              <w:spacing w:line="440" w:lineRule="exact"/>
            </w:pPr>
            <w:r>
              <w:rPr>
                <w:rFonts w:hint="eastAsia"/>
              </w:rPr>
              <w:t>3d龄期肯塔堡飞散试验质量损失（Φ101.6mm×30mm）</w:t>
            </w:r>
          </w:p>
        </w:tc>
        <w:tc>
          <w:tcPr>
            <w:tcW w:w="1037" w:type="dxa"/>
            <w:noWrap/>
            <w:vAlign w:val="center"/>
          </w:tcPr>
          <w:p w14:paraId="46FB5903">
            <w:pPr>
              <w:spacing w:line="440" w:lineRule="exact"/>
            </w:pPr>
            <w:r>
              <w:rPr>
                <w:rFonts w:hint="eastAsia"/>
              </w:rPr>
              <w:t>%</w:t>
            </w:r>
          </w:p>
        </w:tc>
        <w:tc>
          <w:tcPr>
            <w:tcW w:w="1227" w:type="dxa"/>
            <w:noWrap/>
            <w:vAlign w:val="center"/>
          </w:tcPr>
          <w:p w14:paraId="77251FFB">
            <w:pPr>
              <w:spacing w:line="440" w:lineRule="exact"/>
              <w:ind w:firstLine="480"/>
            </w:pPr>
            <w:r>
              <w:rPr>
                <w:rFonts w:hint="eastAsia"/>
              </w:rPr>
              <w:t>≤12</w:t>
            </w:r>
          </w:p>
        </w:tc>
        <w:tc>
          <w:tcPr>
            <w:tcW w:w="2814" w:type="dxa"/>
            <w:noWrap/>
            <w:vAlign w:val="center"/>
          </w:tcPr>
          <w:p w14:paraId="7CE4BC7B">
            <w:pPr>
              <w:spacing w:line="440" w:lineRule="exact"/>
              <w:ind w:firstLine="480"/>
            </w:pPr>
            <w:r>
              <w:rPr>
                <w:rFonts w:hint="eastAsia"/>
              </w:rPr>
              <w:t>JTG E20- T0752</w:t>
            </w:r>
          </w:p>
        </w:tc>
      </w:tr>
      <w:tr w14:paraId="1EA2F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noWrap/>
            <w:vAlign w:val="center"/>
          </w:tcPr>
          <w:p w14:paraId="718609AE">
            <w:pPr>
              <w:spacing w:line="440" w:lineRule="exact"/>
              <w:ind w:firstLine="480"/>
            </w:pPr>
            <w:r>
              <w:rPr>
                <w:rFonts w:hint="eastAsia"/>
              </w:rPr>
              <w:t>45º常温斜剪切强度</w:t>
            </w:r>
          </w:p>
        </w:tc>
        <w:tc>
          <w:tcPr>
            <w:tcW w:w="1037" w:type="dxa"/>
            <w:noWrap/>
            <w:vAlign w:val="center"/>
          </w:tcPr>
          <w:p w14:paraId="034A5821">
            <w:pPr>
              <w:spacing w:line="440" w:lineRule="exact"/>
            </w:pPr>
            <w:r>
              <w:rPr>
                <w:rFonts w:hint="eastAsia"/>
              </w:rPr>
              <w:t>MPa</w:t>
            </w:r>
          </w:p>
        </w:tc>
        <w:tc>
          <w:tcPr>
            <w:tcW w:w="1227" w:type="dxa"/>
            <w:noWrap/>
            <w:vAlign w:val="center"/>
          </w:tcPr>
          <w:p w14:paraId="3D9A853A">
            <w:pPr>
              <w:spacing w:line="440" w:lineRule="exact"/>
              <w:ind w:firstLine="480"/>
            </w:pPr>
            <w:r>
              <w:rPr>
                <w:rFonts w:hint="eastAsia"/>
              </w:rPr>
              <w:t>≥0.5</w:t>
            </w:r>
          </w:p>
        </w:tc>
        <w:tc>
          <w:tcPr>
            <w:tcW w:w="2814" w:type="dxa"/>
            <w:noWrap/>
            <w:vAlign w:val="center"/>
          </w:tcPr>
          <w:p w14:paraId="5F5DAFD2">
            <w:pPr>
              <w:spacing w:line="440" w:lineRule="exact"/>
              <w:ind w:firstLine="480"/>
            </w:pPr>
            <w:r>
              <w:rPr>
                <w:rFonts w:hint="eastAsia"/>
              </w:rPr>
              <w:t>见DG/TJ 08-2223附录B</w:t>
            </w:r>
          </w:p>
        </w:tc>
      </w:tr>
    </w:tbl>
    <w:p w14:paraId="16B4DC6F">
      <w:pPr>
        <w:adjustRightInd w:val="0"/>
        <w:spacing w:line="360" w:lineRule="auto"/>
        <w:ind w:firstLine="480"/>
        <w:rPr>
          <w:rFonts w:hint="eastAsia" w:cs="宋体" w:asciiTheme="majorEastAsia" w:hAnsiTheme="majorEastAsia" w:eastAsiaTheme="majorEastAsia"/>
          <w:bCs/>
          <w:sz w:val="24"/>
        </w:rPr>
      </w:pPr>
    </w:p>
    <w:p w14:paraId="04017617">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（4）保艳增强剂</w:t>
      </w:r>
    </w:p>
    <w:p w14:paraId="2C9C8978">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彩浆罩面养生完成后，即可在面层上滚涂保艳增强剂，以有效抵抗紫外线老化和雨雪的侵蚀作用，提高彩色路面的整体强度、耐久性，同时，应具有良好的渗透性与封闭性。</w:t>
      </w:r>
    </w:p>
    <w:p w14:paraId="7BEE5BCB">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（5）水泥混凝土渗透粘结材料</w:t>
      </w:r>
    </w:p>
    <w:p w14:paraId="44F42A0C">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在水泥混凝土路面上施工彩浆封层前，需要施工渗透粘结材料，固化水泥混凝土路表面并增加与彩浆封层的粘结性能。</w:t>
      </w:r>
    </w:p>
    <w:p w14:paraId="33685E68">
      <w:pPr>
        <w:adjustRightInd w:val="0"/>
        <w:spacing w:line="360" w:lineRule="auto"/>
        <w:ind w:firstLine="480"/>
        <w:rPr>
          <w:rFonts w:cs="宋体" w:asciiTheme="majorEastAsia" w:hAnsiTheme="majorEastAsia" w:eastAsiaTheme="majorEastAsia"/>
          <w:bCs/>
          <w:sz w:val="24"/>
        </w:rPr>
      </w:pPr>
      <w:bookmarkStart w:id="11" w:name="_Toc126914410"/>
      <w:r>
        <w:rPr>
          <w:rFonts w:hint="eastAsia" w:cs="宋体" w:asciiTheme="majorEastAsia" w:hAnsiTheme="majorEastAsia" w:eastAsiaTheme="majorEastAsia"/>
          <w:bCs/>
          <w:sz w:val="24"/>
        </w:rPr>
        <w:t>2.2竣工后路面技术要求</w:t>
      </w:r>
      <w:bookmarkEnd w:id="11"/>
    </w:p>
    <w:p w14:paraId="56C1F23E">
      <w:pPr>
        <w:adjustRightInd w:val="0"/>
        <w:spacing w:line="360" w:lineRule="auto"/>
        <w:ind w:firstLine="480" w:firstLineChars="200"/>
        <w:rPr>
          <w:rFonts w:hint="eastAsia" w:cs="宋体" w:asciiTheme="majorEastAsia" w:hAnsiTheme="majorEastAsia" w:eastAsiaTheme="majorEastAsia"/>
          <w:bCs/>
          <w:sz w:val="24"/>
          <w:lang w:eastAsia="zh-CN"/>
        </w:rPr>
      </w:pPr>
      <w:r>
        <w:rPr>
          <w:rFonts w:hint="eastAsia" w:cs="宋体" w:asciiTheme="majorEastAsia" w:hAnsiTheme="majorEastAsia" w:eastAsiaTheme="majorEastAsia"/>
          <w:bCs/>
          <w:sz w:val="24"/>
        </w:rPr>
        <w:t>彩浆防滑封层为表面功能层，施工质量验收指标应符合下表要求</w:t>
      </w:r>
      <w:r>
        <w:rPr>
          <w:rFonts w:hint="eastAsia" w:cs="宋体" w:asciiTheme="majorEastAsia" w:hAnsiTheme="majorEastAsia" w:eastAsiaTheme="majorEastAsia"/>
          <w:bCs/>
          <w:sz w:val="24"/>
          <w:lang w:eastAsia="zh-CN"/>
        </w:rPr>
        <w:t>：</w:t>
      </w:r>
    </w:p>
    <w:p w14:paraId="7114EB9D">
      <w:pPr>
        <w:spacing w:line="360" w:lineRule="auto"/>
        <w:ind w:firstLine="480"/>
        <w:jc w:val="center"/>
        <w:rPr>
          <w:rFonts w:cs="宋体" w:asciiTheme="majorEastAsia" w:hAnsiTheme="majorEastAsia" w:eastAsiaTheme="majorEastAsia"/>
          <w:bCs/>
          <w:sz w:val="24"/>
        </w:rPr>
      </w:pPr>
      <w:r>
        <w:rPr>
          <w:rFonts w:hint="eastAsia" w:cs="宋体" w:asciiTheme="majorEastAsia" w:hAnsiTheme="majorEastAsia" w:eastAsiaTheme="majorEastAsia"/>
          <w:bCs/>
          <w:sz w:val="24"/>
        </w:rPr>
        <w:t>彩浆防滑封层路面质量验收标准</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0"/>
        <w:gridCol w:w="1804"/>
        <w:gridCol w:w="4253"/>
      </w:tblGrid>
      <w:tr w14:paraId="02A7F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840" w:type="dxa"/>
            <w:noWrap/>
            <w:vAlign w:val="center"/>
          </w:tcPr>
          <w:p w14:paraId="068D1AD2">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项目</w:t>
            </w:r>
          </w:p>
        </w:tc>
        <w:tc>
          <w:tcPr>
            <w:tcW w:w="1804" w:type="dxa"/>
            <w:noWrap/>
            <w:vAlign w:val="center"/>
          </w:tcPr>
          <w:p w14:paraId="79BE030C">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单位</w:t>
            </w:r>
          </w:p>
        </w:tc>
        <w:tc>
          <w:tcPr>
            <w:tcW w:w="4253" w:type="dxa"/>
            <w:noWrap/>
            <w:vAlign w:val="center"/>
          </w:tcPr>
          <w:p w14:paraId="5046B499">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技术要求</w:t>
            </w:r>
          </w:p>
        </w:tc>
      </w:tr>
      <w:tr w14:paraId="757FE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noWrap/>
            <w:vAlign w:val="center"/>
          </w:tcPr>
          <w:p w14:paraId="1A9F135F">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摆值</w:t>
            </w:r>
          </w:p>
        </w:tc>
        <w:tc>
          <w:tcPr>
            <w:tcW w:w="1804" w:type="dxa"/>
            <w:noWrap/>
            <w:vAlign w:val="center"/>
          </w:tcPr>
          <w:p w14:paraId="3D44F56C">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BPN</w:t>
            </w:r>
          </w:p>
        </w:tc>
        <w:tc>
          <w:tcPr>
            <w:tcW w:w="4253" w:type="dxa"/>
            <w:noWrap/>
            <w:vAlign w:val="center"/>
          </w:tcPr>
          <w:p w14:paraId="5B7CC4BC">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不小于50</w:t>
            </w:r>
          </w:p>
        </w:tc>
      </w:tr>
      <w:tr w14:paraId="40667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noWrap/>
            <w:vAlign w:val="center"/>
          </w:tcPr>
          <w:p w14:paraId="64459B7C">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渗水系数</w:t>
            </w:r>
          </w:p>
        </w:tc>
        <w:tc>
          <w:tcPr>
            <w:tcW w:w="1804" w:type="dxa"/>
            <w:noWrap/>
            <w:vAlign w:val="center"/>
          </w:tcPr>
          <w:p w14:paraId="04230E03">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ml/min</w:t>
            </w:r>
          </w:p>
        </w:tc>
        <w:tc>
          <w:tcPr>
            <w:tcW w:w="4253" w:type="dxa"/>
            <w:noWrap/>
            <w:vAlign w:val="center"/>
          </w:tcPr>
          <w:p w14:paraId="29F911BA">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不大于10</w:t>
            </w:r>
          </w:p>
        </w:tc>
      </w:tr>
      <w:tr w14:paraId="705C7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noWrap/>
            <w:vAlign w:val="center"/>
          </w:tcPr>
          <w:p w14:paraId="5B5FC72D">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厚度</w:t>
            </w:r>
          </w:p>
        </w:tc>
        <w:tc>
          <w:tcPr>
            <w:tcW w:w="1804" w:type="dxa"/>
            <w:noWrap/>
            <w:vAlign w:val="center"/>
          </w:tcPr>
          <w:p w14:paraId="6548962F">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mm</w:t>
            </w:r>
          </w:p>
        </w:tc>
        <w:tc>
          <w:tcPr>
            <w:tcW w:w="4253" w:type="dxa"/>
            <w:noWrap/>
            <w:vAlign w:val="center"/>
          </w:tcPr>
          <w:p w14:paraId="50542BC9">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设计值-15%，均值不小于设计要求。</w:t>
            </w:r>
          </w:p>
        </w:tc>
      </w:tr>
    </w:tbl>
    <w:p w14:paraId="4CD5911B">
      <w:pPr>
        <w:ind w:firstLine="480"/>
      </w:pPr>
      <w:bookmarkStart w:id="12" w:name="_Toc126914413"/>
    </w:p>
    <w:p w14:paraId="0C02D7FB">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2.3彩浆封层路面施工工艺</w:t>
      </w:r>
      <w:bookmarkEnd w:id="12"/>
    </w:p>
    <w:p w14:paraId="7A1C0683">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（1）对于有损坏的水泥砼路面应先进行维修处理，损坏维修或新建水泥砼路面宜在修补完成28天后打磨处理浮浆，使得水泥砼路面洁净干燥。</w:t>
      </w:r>
    </w:p>
    <w:p w14:paraId="17EE42C5">
      <w:pPr>
        <w:adjustRightInd w:val="0"/>
        <w:spacing w:line="360" w:lineRule="auto"/>
        <w:ind w:firstLine="480"/>
        <w:rPr>
          <w:rFonts w:cs="宋体" w:asciiTheme="majorEastAsia" w:hAnsiTheme="majorEastAsia" w:eastAsiaTheme="majorEastAsia"/>
          <w:bCs/>
          <w:sz w:val="24"/>
        </w:rPr>
      </w:pPr>
      <w:r>
        <w:rPr>
          <w:rFonts w:hint="eastAsia" w:cs="宋体" w:asciiTheme="majorEastAsia" w:hAnsiTheme="majorEastAsia" w:eastAsiaTheme="majorEastAsia"/>
          <w:bCs/>
          <w:sz w:val="24"/>
        </w:rPr>
        <w:t>（2）按配比将称量好的渗透粘结剂搅拌均匀，然后徐徐加入水稀释，继续搅拌均匀形成溶液后，均匀刷涂水泥砼路表面，表面不得漏涂或积液。</w:t>
      </w:r>
    </w:p>
    <w:p w14:paraId="3C611D06">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（3）渗透粘结剂固化4-12h达到强度后，继续后续工艺。</w:t>
      </w:r>
    </w:p>
    <w:p w14:paraId="4273F6C5">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（4）采用纸质胶带粘贴地面设定施工区域边界，并保护周边构造物。</w:t>
      </w:r>
    </w:p>
    <w:p w14:paraId="51ED05E2">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（5）按配比先将称量好的水和高聚合共混树脂乳液（A组份）混合，搅拌均匀。</w:t>
      </w:r>
    </w:p>
    <w:p w14:paraId="52241387">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（6）徐徐将固化粉料（B组份）倒入稀释后的共混树脂乳液内，同时采用搅拌机匀速搅拌，使A和B组份搅拌均匀。</w:t>
      </w:r>
    </w:p>
    <w:p w14:paraId="3536CB33">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（7）将拌和好的混合料均匀倒在施工区域，并均匀刮涂在道路表面，并采用专用工具进行刷涂和拉毛处理。</w:t>
      </w:r>
    </w:p>
    <w:p w14:paraId="74BD7132">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（8）待材料初始固化后，强度尚未完全形成前，揭除胶带，尽量减少胶带上黏附料对路面的污染。</w:t>
      </w:r>
    </w:p>
    <w:p w14:paraId="0ED48095">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（9）完工后的路面需养生3~7小时，待路表干燥并具有一定的强度，可开放交通（也可等保色增强剂施工完成后开放交通）。</w:t>
      </w:r>
    </w:p>
    <w:p w14:paraId="5EBC5D42">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（10）彩浆铺筑层完全固化后，在表面喷洒保艳增强剂，待其表面干燥后方可开放交通。应保证彩浆封层施工后12小时后，无降雨。</w:t>
      </w:r>
    </w:p>
    <w:p w14:paraId="25837A55">
      <w:pPr>
        <w:spacing w:line="36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（11）施工期间应避免雨淋，施工气温不低于10℃。</w:t>
      </w:r>
    </w:p>
    <w:p w14:paraId="18A13FC1">
      <w:pPr>
        <w:spacing w:line="480" w:lineRule="auto"/>
        <w:ind w:firstLine="480" w:firstLineChars="200"/>
        <w:rPr>
          <w:rFonts w:cs="宋体" w:asciiTheme="majorEastAsia" w:hAnsiTheme="majorEastAsia" w:eastAsiaTheme="majorEastAsia"/>
          <w:bCs/>
          <w:sz w:val="24"/>
        </w:rPr>
      </w:pPr>
      <w:r>
        <w:rPr>
          <w:rFonts w:hint="eastAsia" w:cs="宋体" w:asciiTheme="majorEastAsia" w:hAnsiTheme="majorEastAsia" w:eastAsiaTheme="majorEastAsia"/>
          <w:bCs/>
          <w:sz w:val="24"/>
        </w:rPr>
        <w:t>注：应用范围是坡道、匝道、引桥及有特殊防滑要求路面时，在完成彩浆封层刮涂步骤（施工工艺第9步）后，应采取进一步的技术措施确保防滑性能。</w:t>
      </w:r>
    </w:p>
    <w:p w14:paraId="3A4F42F3">
      <w:pPr>
        <w:keepNext/>
        <w:keepLines/>
        <w:spacing w:before="260" w:after="260" w:line="360" w:lineRule="auto"/>
        <w:ind w:firstLine="482"/>
        <w:outlineLvl w:val="1"/>
        <w:rPr>
          <w:rFonts w:cs="宋体" w:asciiTheme="majorEastAsia" w:hAnsiTheme="majorEastAsia" w:eastAsiaTheme="majorEastAsia"/>
          <w:b/>
          <w:sz w:val="24"/>
        </w:rPr>
      </w:pPr>
      <w:r>
        <w:rPr>
          <w:rFonts w:hint="eastAsia" w:cs="宋体" w:asciiTheme="majorEastAsia" w:hAnsiTheme="majorEastAsia" w:eastAsiaTheme="majorEastAsia"/>
          <w:b/>
          <w:sz w:val="24"/>
        </w:rPr>
        <w:t>3、应用于沥青路面的红色警示颗粒封层路面技术要求</w:t>
      </w:r>
    </w:p>
    <w:p w14:paraId="56BDA50C">
      <w:pPr>
        <w:spacing w:line="500" w:lineRule="exact"/>
        <w:ind w:firstLine="480"/>
        <w:rPr>
          <w:rFonts w:cs="宋体" w:asciiTheme="majorEastAsia" w:hAnsiTheme="majorEastAsia" w:eastAsiaTheme="majorEastAsia"/>
          <w:sz w:val="24"/>
          <w:szCs w:val="22"/>
        </w:rPr>
      </w:pPr>
      <w:r>
        <w:rPr>
          <w:rFonts w:hint="eastAsia" w:cs="宋体" w:asciiTheme="majorEastAsia" w:hAnsiTheme="majorEastAsia" w:eastAsiaTheme="majorEastAsia"/>
          <w:sz w:val="24"/>
          <w:szCs w:val="22"/>
        </w:rPr>
        <w:t>3.1红色警示颗粒封层材料技术要求</w:t>
      </w:r>
    </w:p>
    <w:p w14:paraId="0C585014">
      <w:pPr>
        <w:tabs>
          <w:tab w:val="left" w:pos="426"/>
        </w:tabs>
        <w:adjustRightInd w:val="0"/>
        <w:spacing w:line="480" w:lineRule="exact"/>
        <w:ind w:firstLine="480"/>
        <w:rPr>
          <w:rFonts w:hint="eastAsia" w:cs="宋体" w:asciiTheme="majorEastAsia" w:hAnsiTheme="majorEastAsia" w:eastAsiaTheme="majorEastAsia"/>
          <w:bCs/>
          <w:sz w:val="24"/>
          <w:szCs w:val="22"/>
          <w:lang w:eastAsia="zh-CN"/>
        </w:rPr>
      </w:pPr>
      <w:r>
        <w:rPr>
          <w:rFonts w:hint="eastAsia" w:cs="宋体" w:asciiTheme="majorEastAsia" w:hAnsiTheme="majorEastAsia" w:eastAsiaTheme="majorEastAsia"/>
          <w:bCs/>
          <w:sz w:val="24"/>
          <w:szCs w:val="22"/>
        </w:rPr>
        <w:t>（1）A组份：树脂高聚复合乳液。树脂高聚复合乳液的质量应符合下表要求</w:t>
      </w:r>
      <w:r>
        <w:rPr>
          <w:rFonts w:hint="eastAsia" w:cs="宋体" w:asciiTheme="majorEastAsia" w:hAnsiTheme="majorEastAsia" w:eastAsiaTheme="majorEastAsia"/>
          <w:bCs/>
          <w:sz w:val="24"/>
          <w:szCs w:val="22"/>
          <w:lang w:eastAsia="zh-CN"/>
        </w:rPr>
        <w:t>：</w:t>
      </w:r>
    </w:p>
    <w:p w14:paraId="20AF8484">
      <w:pPr>
        <w:adjustRightInd w:val="0"/>
        <w:spacing w:line="480" w:lineRule="exact"/>
        <w:ind w:firstLine="480"/>
        <w:jc w:val="center"/>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树脂高聚复合乳液技术要求（表一）</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6"/>
        <w:gridCol w:w="776"/>
        <w:gridCol w:w="889"/>
        <w:gridCol w:w="2665"/>
        <w:gridCol w:w="2052"/>
      </w:tblGrid>
      <w:tr w14:paraId="380B7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730" w:type="dxa"/>
            <w:gridSpan w:val="2"/>
            <w:vAlign w:val="center"/>
          </w:tcPr>
          <w:p w14:paraId="3A6ABFFE">
            <w:pPr>
              <w:spacing w:line="440" w:lineRule="exact"/>
              <w:ind w:firstLine="480"/>
              <w:jc w:val="center"/>
            </w:pPr>
            <w:r>
              <w:rPr>
                <w:rFonts w:hint="eastAsia"/>
              </w:rPr>
              <w:t>项目</w:t>
            </w:r>
          </w:p>
        </w:tc>
        <w:tc>
          <w:tcPr>
            <w:tcW w:w="851" w:type="dxa"/>
            <w:vAlign w:val="center"/>
          </w:tcPr>
          <w:p w14:paraId="11DD8115">
            <w:pPr>
              <w:spacing w:line="440" w:lineRule="exact"/>
            </w:pPr>
            <w:r>
              <w:rPr>
                <w:rFonts w:hint="eastAsia"/>
              </w:rPr>
              <w:t>单位</w:t>
            </w:r>
          </w:p>
        </w:tc>
        <w:tc>
          <w:tcPr>
            <w:tcW w:w="2551" w:type="dxa"/>
            <w:vAlign w:val="center"/>
          </w:tcPr>
          <w:p w14:paraId="37D006E6">
            <w:pPr>
              <w:spacing w:line="440" w:lineRule="exact"/>
              <w:ind w:firstLine="480"/>
              <w:jc w:val="center"/>
            </w:pPr>
            <w:r>
              <w:rPr>
                <w:rFonts w:hint="eastAsia"/>
              </w:rPr>
              <w:t>技术要求</w:t>
            </w:r>
          </w:p>
        </w:tc>
        <w:tc>
          <w:tcPr>
            <w:tcW w:w="1964" w:type="dxa"/>
            <w:vAlign w:val="center"/>
          </w:tcPr>
          <w:p w14:paraId="55DF317E">
            <w:pPr>
              <w:spacing w:line="440" w:lineRule="exact"/>
              <w:ind w:firstLine="480"/>
              <w:jc w:val="center"/>
            </w:pPr>
            <w:r>
              <w:rPr>
                <w:rFonts w:hint="eastAsia"/>
              </w:rPr>
              <w:t>试验方法</w:t>
            </w:r>
          </w:p>
        </w:tc>
      </w:tr>
      <w:tr w14:paraId="09EC3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077960EC">
            <w:pPr>
              <w:spacing w:line="440" w:lineRule="exact"/>
              <w:ind w:firstLine="480"/>
            </w:pPr>
            <w:r>
              <w:rPr>
                <w:rFonts w:hint="eastAsia"/>
              </w:rPr>
              <w:t>破乳速度</w:t>
            </w:r>
          </w:p>
        </w:tc>
        <w:tc>
          <w:tcPr>
            <w:tcW w:w="851" w:type="dxa"/>
            <w:vAlign w:val="center"/>
          </w:tcPr>
          <w:p w14:paraId="72B2B39B">
            <w:pPr>
              <w:spacing w:line="440" w:lineRule="exact"/>
            </w:pPr>
            <w:r>
              <w:rPr>
                <w:rFonts w:hint="eastAsia"/>
              </w:rPr>
              <w:t>/</w:t>
            </w:r>
          </w:p>
        </w:tc>
        <w:tc>
          <w:tcPr>
            <w:tcW w:w="2551" w:type="dxa"/>
            <w:vAlign w:val="center"/>
          </w:tcPr>
          <w:p w14:paraId="4089611C">
            <w:pPr>
              <w:spacing w:line="440" w:lineRule="exact"/>
              <w:ind w:firstLine="480"/>
            </w:pPr>
            <w:r>
              <w:rPr>
                <w:rFonts w:hint="eastAsia"/>
              </w:rPr>
              <w:t>慢裂或中裂</w:t>
            </w:r>
          </w:p>
        </w:tc>
        <w:tc>
          <w:tcPr>
            <w:tcW w:w="1964" w:type="dxa"/>
            <w:vAlign w:val="center"/>
          </w:tcPr>
          <w:p w14:paraId="19FA16C8">
            <w:pPr>
              <w:spacing w:line="440" w:lineRule="exact"/>
            </w:pPr>
            <w:r>
              <w:rPr>
                <w:rFonts w:hint="eastAsia"/>
              </w:rPr>
              <w:t>JTG E20-T 0658</w:t>
            </w:r>
          </w:p>
        </w:tc>
      </w:tr>
      <w:tr w14:paraId="5FC8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7A989374">
            <w:pPr>
              <w:spacing w:line="440" w:lineRule="exact"/>
              <w:ind w:firstLine="480"/>
            </w:pPr>
            <w:r>
              <w:rPr>
                <w:rFonts w:hint="eastAsia"/>
              </w:rPr>
              <w:t>粒子电荷</w:t>
            </w:r>
          </w:p>
        </w:tc>
        <w:tc>
          <w:tcPr>
            <w:tcW w:w="851" w:type="dxa"/>
            <w:vAlign w:val="center"/>
          </w:tcPr>
          <w:p w14:paraId="354D9055">
            <w:pPr>
              <w:spacing w:line="440" w:lineRule="exact"/>
            </w:pPr>
            <w:r>
              <w:rPr>
                <w:rFonts w:hint="eastAsia"/>
              </w:rPr>
              <w:t>/</w:t>
            </w:r>
          </w:p>
        </w:tc>
        <w:tc>
          <w:tcPr>
            <w:tcW w:w="2551" w:type="dxa"/>
            <w:vAlign w:val="center"/>
          </w:tcPr>
          <w:p w14:paraId="25B0E860">
            <w:pPr>
              <w:spacing w:line="440" w:lineRule="exact"/>
            </w:pPr>
            <w:r>
              <w:rPr>
                <w:rFonts w:hint="eastAsia"/>
              </w:rPr>
              <w:t>阴离子、阳离子或非离子</w:t>
            </w:r>
          </w:p>
        </w:tc>
        <w:tc>
          <w:tcPr>
            <w:tcW w:w="1964" w:type="dxa"/>
            <w:vAlign w:val="center"/>
          </w:tcPr>
          <w:p w14:paraId="77211CE2">
            <w:pPr>
              <w:spacing w:line="440" w:lineRule="exact"/>
            </w:pPr>
            <w:r>
              <w:rPr>
                <w:rFonts w:hint="eastAsia"/>
              </w:rPr>
              <w:t>JTG E20-T 0653</w:t>
            </w:r>
          </w:p>
        </w:tc>
      </w:tr>
      <w:tr w14:paraId="37092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7C6ED935">
            <w:pPr>
              <w:spacing w:line="440" w:lineRule="exact"/>
            </w:pPr>
            <w:r>
              <w:rPr>
                <w:rFonts w:hint="eastAsia"/>
              </w:rPr>
              <w:t>筛上残留物（1.18mm筛）</w:t>
            </w:r>
          </w:p>
        </w:tc>
        <w:tc>
          <w:tcPr>
            <w:tcW w:w="851" w:type="dxa"/>
            <w:vAlign w:val="center"/>
          </w:tcPr>
          <w:p w14:paraId="282BCA1B">
            <w:pPr>
              <w:spacing w:line="440" w:lineRule="exact"/>
            </w:pPr>
            <w:r>
              <w:rPr>
                <w:rFonts w:hint="eastAsia"/>
              </w:rPr>
              <w:t>%</w:t>
            </w:r>
          </w:p>
        </w:tc>
        <w:tc>
          <w:tcPr>
            <w:tcW w:w="2551" w:type="dxa"/>
            <w:vAlign w:val="center"/>
          </w:tcPr>
          <w:p w14:paraId="331077B3">
            <w:pPr>
              <w:spacing w:line="440" w:lineRule="exact"/>
              <w:ind w:firstLine="480"/>
            </w:pPr>
            <w:r>
              <w:rPr>
                <w:rFonts w:hint="eastAsia"/>
              </w:rPr>
              <w:t>≤0.1</w:t>
            </w:r>
          </w:p>
        </w:tc>
        <w:tc>
          <w:tcPr>
            <w:tcW w:w="1964" w:type="dxa"/>
            <w:vAlign w:val="center"/>
          </w:tcPr>
          <w:p w14:paraId="10843A6D">
            <w:pPr>
              <w:spacing w:line="440" w:lineRule="exact"/>
            </w:pPr>
            <w:r>
              <w:rPr>
                <w:rFonts w:hint="eastAsia"/>
              </w:rPr>
              <w:t>JTG E20-T 0652</w:t>
            </w:r>
          </w:p>
        </w:tc>
      </w:tr>
      <w:tr w14:paraId="5B06C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5F82A9C8">
            <w:pPr>
              <w:spacing w:line="440" w:lineRule="exact"/>
              <w:ind w:firstLine="480"/>
            </w:pPr>
            <w:r>
              <w:rPr>
                <w:rFonts w:hint="eastAsia"/>
              </w:rPr>
              <w:t>颜色</w:t>
            </w:r>
          </w:p>
        </w:tc>
        <w:tc>
          <w:tcPr>
            <w:tcW w:w="851" w:type="dxa"/>
            <w:vAlign w:val="center"/>
          </w:tcPr>
          <w:p w14:paraId="55076710">
            <w:pPr>
              <w:spacing w:line="440" w:lineRule="exact"/>
            </w:pPr>
            <w:r>
              <w:rPr>
                <w:rFonts w:hint="eastAsia"/>
              </w:rPr>
              <w:t>/</w:t>
            </w:r>
          </w:p>
        </w:tc>
        <w:tc>
          <w:tcPr>
            <w:tcW w:w="2551" w:type="dxa"/>
            <w:vAlign w:val="center"/>
          </w:tcPr>
          <w:p w14:paraId="30F949D8">
            <w:pPr>
              <w:spacing w:line="440" w:lineRule="exact"/>
              <w:ind w:firstLine="480"/>
            </w:pPr>
            <w:r>
              <w:rPr>
                <w:rFonts w:hint="eastAsia"/>
              </w:rPr>
              <w:t>乳白、淡黄、灰色</w:t>
            </w:r>
          </w:p>
        </w:tc>
        <w:tc>
          <w:tcPr>
            <w:tcW w:w="1964" w:type="dxa"/>
            <w:vAlign w:val="center"/>
          </w:tcPr>
          <w:p w14:paraId="0B7BAE6A">
            <w:pPr>
              <w:spacing w:line="440" w:lineRule="exact"/>
            </w:pPr>
            <w:r>
              <w:rPr>
                <w:rFonts w:hint="eastAsia"/>
              </w:rPr>
              <w:t>GB/T 11175.1</w:t>
            </w:r>
          </w:p>
        </w:tc>
      </w:tr>
      <w:tr w14:paraId="0EB04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7B3D5D71">
            <w:pPr>
              <w:spacing w:line="440" w:lineRule="exact"/>
              <w:ind w:firstLine="480"/>
            </w:pPr>
            <w:r>
              <w:rPr>
                <w:rFonts w:hint="eastAsia"/>
              </w:rPr>
              <w:t>密度</w:t>
            </w:r>
          </w:p>
        </w:tc>
        <w:tc>
          <w:tcPr>
            <w:tcW w:w="851" w:type="dxa"/>
            <w:vAlign w:val="center"/>
          </w:tcPr>
          <w:p w14:paraId="4DF26D36">
            <w:pPr>
              <w:spacing w:line="440" w:lineRule="exact"/>
            </w:pPr>
            <w:r>
              <w:rPr>
                <w:rFonts w:hint="eastAsia"/>
              </w:rPr>
              <w:t>kg/m</w:t>
            </w:r>
            <w:r>
              <w:rPr>
                <w:rFonts w:hint="eastAsia"/>
                <w:vertAlign w:val="superscript"/>
              </w:rPr>
              <w:t>3</w:t>
            </w:r>
          </w:p>
        </w:tc>
        <w:tc>
          <w:tcPr>
            <w:tcW w:w="2551" w:type="dxa"/>
            <w:vAlign w:val="center"/>
          </w:tcPr>
          <w:p w14:paraId="5D987909">
            <w:pPr>
              <w:spacing w:line="440" w:lineRule="exact"/>
              <w:ind w:firstLine="480"/>
            </w:pPr>
            <w:r>
              <w:rPr>
                <w:rFonts w:hint="eastAsia"/>
              </w:rPr>
              <w:t>0.98×103~1.08×103</w:t>
            </w:r>
          </w:p>
        </w:tc>
        <w:tc>
          <w:tcPr>
            <w:tcW w:w="1964" w:type="dxa"/>
            <w:vAlign w:val="center"/>
          </w:tcPr>
          <w:p w14:paraId="331A8EA5">
            <w:pPr>
              <w:spacing w:line="440" w:lineRule="exact"/>
            </w:pPr>
            <w:r>
              <w:rPr>
                <w:rFonts w:hint="eastAsia"/>
              </w:rPr>
              <w:t>JTG E20- T0603</w:t>
            </w:r>
          </w:p>
        </w:tc>
      </w:tr>
      <w:tr w14:paraId="62AC7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1ADE942A">
            <w:pPr>
              <w:spacing w:line="440" w:lineRule="exact"/>
              <w:ind w:firstLine="480"/>
            </w:pPr>
            <w:r>
              <w:rPr>
                <w:rFonts w:hint="eastAsia"/>
              </w:rPr>
              <w:t>布氏粘度（20℃）</w:t>
            </w:r>
          </w:p>
        </w:tc>
        <w:tc>
          <w:tcPr>
            <w:tcW w:w="851" w:type="dxa"/>
            <w:vAlign w:val="center"/>
          </w:tcPr>
          <w:p w14:paraId="50766EF3">
            <w:pPr>
              <w:spacing w:line="440" w:lineRule="exact"/>
            </w:pPr>
            <w:r>
              <w:rPr>
                <w:rFonts w:hint="eastAsia"/>
              </w:rPr>
              <w:t>mPa.s</w:t>
            </w:r>
          </w:p>
        </w:tc>
        <w:tc>
          <w:tcPr>
            <w:tcW w:w="2551" w:type="dxa"/>
            <w:vAlign w:val="center"/>
          </w:tcPr>
          <w:p w14:paraId="33DC6110">
            <w:pPr>
              <w:spacing w:line="440" w:lineRule="exact"/>
              <w:ind w:firstLine="480"/>
            </w:pPr>
            <w:r>
              <w:rPr>
                <w:rFonts w:hint="eastAsia"/>
              </w:rPr>
              <w:t>≤250</w:t>
            </w:r>
          </w:p>
        </w:tc>
        <w:tc>
          <w:tcPr>
            <w:tcW w:w="1964" w:type="dxa"/>
            <w:vAlign w:val="center"/>
          </w:tcPr>
          <w:p w14:paraId="7194B9E2">
            <w:pPr>
              <w:spacing w:line="440" w:lineRule="exact"/>
            </w:pPr>
            <w:r>
              <w:rPr>
                <w:rFonts w:hint="eastAsia"/>
              </w:rPr>
              <w:t>JTG E20-T 0625</w:t>
            </w:r>
          </w:p>
        </w:tc>
      </w:tr>
      <w:tr w14:paraId="3A2E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04CFD1DD">
            <w:pPr>
              <w:spacing w:line="440" w:lineRule="exact"/>
              <w:ind w:firstLine="480"/>
            </w:pPr>
            <w:r>
              <w:rPr>
                <w:rFonts w:hint="eastAsia"/>
              </w:rPr>
              <w:t>残留分含量</w:t>
            </w:r>
          </w:p>
        </w:tc>
        <w:tc>
          <w:tcPr>
            <w:tcW w:w="851" w:type="dxa"/>
            <w:vAlign w:val="center"/>
          </w:tcPr>
          <w:p w14:paraId="4B047BC8">
            <w:pPr>
              <w:spacing w:line="440" w:lineRule="exact"/>
            </w:pPr>
            <w:r>
              <w:rPr>
                <w:rFonts w:hint="eastAsia"/>
              </w:rPr>
              <w:t>%</w:t>
            </w:r>
          </w:p>
        </w:tc>
        <w:tc>
          <w:tcPr>
            <w:tcW w:w="2551" w:type="dxa"/>
            <w:vAlign w:val="center"/>
          </w:tcPr>
          <w:p w14:paraId="032D0F1C">
            <w:pPr>
              <w:spacing w:line="440" w:lineRule="exact"/>
              <w:ind w:firstLine="480"/>
            </w:pPr>
            <w:r>
              <w:rPr>
                <w:rFonts w:hint="eastAsia"/>
              </w:rPr>
              <w:t>46</w:t>
            </w:r>
            <w:r>
              <w:t>~52</w:t>
            </w:r>
          </w:p>
        </w:tc>
        <w:tc>
          <w:tcPr>
            <w:tcW w:w="1964" w:type="dxa"/>
            <w:vAlign w:val="center"/>
          </w:tcPr>
          <w:p w14:paraId="634761BA">
            <w:pPr>
              <w:spacing w:line="440" w:lineRule="exact"/>
            </w:pPr>
            <w:r>
              <w:rPr>
                <w:rFonts w:hint="eastAsia"/>
              </w:rPr>
              <w:t>JTG E20-T 0651</w:t>
            </w:r>
          </w:p>
        </w:tc>
      </w:tr>
      <w:tr w14:paraId="33826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730" w:type="dxa"/>
            <w:gridSpan w:val="2"/>
            <w:vAlign w:val="center"/>
          </w:tcPr>
          <w:p w14:paraId="7137ADA8">
            <w:pPr>
              <w:spacing w:line="440" w:lineRule="exact"/>
              <w:ind w:firstLine="480"/>
            </w:pPr>
            <w:r>
              <w:rPr>
                <w:rFonts w:hint="eastAsia"/>
              </w:rPr>
              <w:t>与固体粉料的拌和试验</w:t>
            </w:r>
          </w:p>
        </w:tc>
        <w:tc>
          <w:tcPr>
            <w:tcW w:w="851" w:type="dxa"/>
            <w:vAlign w:val="center"/>
          </w:tcPr>
          <w:p w14:paraId="03B289C5">
            <w:pPr>
              <w:spacing w:line="440" w:lineRule="exact"/>
            </w:pPr>
            <w:r>
              <w:rPr>
                <w:rFonts w:hint="eastAsia"/>
              </w:rPr>
              <w:t>/</w:t>
            </w:r>
          </w:p>
        </w:tc>
        <w:tc>
          <w:tcPr>
            <w:tcW w:w="2551" w:type="dxa"/>
            <w:vAlign w:val="center"/>
          </w:tcPr>
          <w:p w14:paraId="2CFBD997">
            <w:pPr>
              <w:spacing w:line="440" w:lineRule="exact"/>
              <w:ind w:firstLine="480"/>
            </w:pPr>
            <w:r>
              <w:rPr>
                <w:rFonts w:hint="eastAsia"/>
              </w:rPr>
              <w:t>均匀</w:t>
            </w:r>
          </w:p>
        </w:tc>
        <w:tc>
          <w:tcPr>
            <w:tcW w:w="1964" w:type="dxa"/>
            <w:vAlign w:val="center"/>
          </w:tcPr>
          <w:p w14:paraId="4EE30704">
            <w:pPr>
              <w:spacing w:line="440" w:lineRule="exact"/>
            </w:pPr>
            <w:r>
              <w:rPr>
                <w:rFonts w:hint="eastAsia"/>
              </w:rPr>
              <w:t>JTG E20-T 0659</w:t>
            </w:r>
          </w:p>
        </w:tc>
      </w:tr>
      <w:tr w14:paraId="628C7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87" w:type="dxa"/>
            <w:vMerge w:val="restart"/>
            <w:vAlign w:val="center"/>
          </w:tcPr>
          <w:p w14:paraId="5845AED8">
            <w:pPr>
              <w:spacing w:line="440" w:lineRule="exact"/>
            </w:pPr>
            <w:r>
              <w:rPr>
                <w:rFonts w:hint="eastAsia"/>
              </w:rPr>
              <w:t>常温贮存稳定性</w:t>
            </w:r>
          </w:p>
        </w:tc>
        <w:tc>
          <w:tcPr>
            <w:tcW w:w="743" w:type="dxa"/>
            <w:vAlign w:val="center"/>
          </w:tcPr>
          <w:p w14:paraId="1CDA6B98">
            <w:pPr>
              <w:spacing w:line="440" w:lineRule="exact"/>
            </w:pPr>
            <w:r>
              <w:rPr>
                <w:rFonts w:hint="eastAsia"/>
              </w:rPr>
              <w:t>1d</w:t>
            </w:r>
          </w:p>
        </w:tc>
        <w:tc>
          <w:tcPr>
            <w:tcW w:w="851" w:type="dxa"/>
            <w:vAlign w:val="center"/>
          </w:tcPr>
          <w:p w14:paraId="6153AD83">
            <w:pPr>
              <w:spacing w:line="440" w:lineRule="exact"/>
            </w:pPr>
            <w:r>
              <w:rPr>
                <w:rFonts w:hint="eastAsia"/>
              </w:rPr>
              <w:t>%</w:t>
            </w:r>
          </w:p>
        </w:tc>
        <w:tc>
          <w:tcPr>
            <w:tcW w:w="2551" w:type="dxa"/>
            <w:vAlign w:val="center"/>
          </w:tcPr>
          <w:p w14:paraId="3B6890A2">
            <w:pPr>
              <w:spacing w:line="440" w:lineRule="exact"/>
              <w:ind w:firstLine="480"/>
            </w:pPr>
            <w:r>
              <w:rPr>
                <w:rFonts w:hint="eastAsia"/>
              </w:rPr>
              <w:t>≤1</w:t>
            </w:r>
          </w:p>
        </w:tc>
        <w:tc>
          <w:tcPr>
            <w:tcW w:w="1964" w:type="dxa"/>
            <w:vMerge w:val="restart"/>
            <w:vAlign w:val="center"/>
          </w:tcPr>
          <w:p w14:paraId="39D78257">
            <w:pPr>
              <w:spacing w:line="440" w:lineRule="exact"/>
            </w:pPr>
            <w:r>
              <w:rPr>
                <w:rFonts w:hint="eastAsia"/>
              </w:rPr>
              <w:t>JTG E20-T 0655</w:t>
            </w:r>
          </w:p>
        </w:tc>
      </w:tr>
      <w:tr w14:paraId="3F77D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87" w:type="dxa"/>
            <w:vMerge w:val="continue"/>
            <w:vAlign w:val="center"/>
          </w:tcPr>
          <w:p w14:paraId="1DD70FE8">
            <w:pPr>
              <w:spacing w:line="440" w:lineRule="exact"/>
              <w:ind w:firstLine="480"/>
            </w:pPr>
          </w:p>
        </w:tc>
        <w:tc>
          <w:tcPr>
            <w:tcW w:w="743" w:type="dxa"/>
            <w:vAlign w:val="center"/>
          </w:tcPr>
          <w:p w14:paraId="05A63F36">
            <w:pPr>
              <w:spacing w:line="440" w:lineRule="exact"/>
            </w:pPr>
            <w:r>
              <w:rPr>
                <w:rFonts w:hint="eastAsia"/>
              </w:rPr>
              <w:t>5d</w:t>
            </w:r>
          </w:p>
        </w:tc>
        <w:tc>
          <w:tcPr>
            <w:tcW w:w="851" w:type="dxa"/>
            <w:vAlign w:val="center"/>
          </w:tcPr>
          <w:p w14:paraId="13CC0454">
            <w:pPr>
              <w:spacing w:line="440" w:lineRule="exact"/>
            </w:pPr>
            <w:r>
              <w:rPr>
                <w:rFonts w:hint="eastAsia"/>
              </w:rPr>
              <w:t>%</w:t>
            </w:r>
          </w:p>
        </w:tc>
        <w:tc>
          <w:tcPr>
            <w:tcW w:w="2551" w:type="dxa"/>
            <w:vAlign w:val="center"/>
          </w:tcPr>
          <w:p w14:paraId="28F15E31">
            <w:pPr>
              <w:spacing w:line="440" w:lineRule="exact"/>
              <w:ind w:firstLine="480"/>
            </w:pPr>
            <w:r>
              <w:rPr>
                <w:rFonts w:hint="eastAsia"/>
              </w:rPr>
              <w:t>≤3</w:t>
            </w:r>
          </w:p>
        </w:tc>
        <w:tc>
          <w:tcPr>
            <w:tcW w:w="1964" w:type="dxa"/>
            <w:vMerge w:val="continue"/>
            <w:vAlign w:val="center"/>
          </w:tcPr>
          <w:p w14:paraId="3B9532FA">
            <w:pPr>
              <w:spacing w:line="440" w:lineRule="exact"/>
              <w:ind w:firstLine="480"/>
            </w:pPr>
          </w:p>
        </w:tc>
      </w:tr>
    </w:tbl>
    <w:p w14:paraId="541E7D6E">
      <w:pPr>
        <w:adjustRightInd w:val="0"/>
        <w:spacing w:line="360" w:lineRule="auto"/>
        <w:ind w:firstLine="480"/>
        <w:rPr>
          <w:rFonts w:hint="eastAsia" w:cs="宋体" w:asciiTheme="majorEastAsia" w:hAnsiTheme="majorEastAsia" w:eastAsiaTheme="majorEastAsia"/>
          <w:bCs/>
          <w:sz w:val="24"/>
          <w:szCs w:val="22"/>
          <w:lang w:eastAsia="zh-CN"/>
        </w:rPr>
      </w:pPr>
      <w:r>
        <w:rPr>
          <w:rFonts w:hint="eastAsia" w:cs="宋体" w:asciiTheme="majorEastAsia" w:hAnsiTheme="majorEastAsia" w:eastAsiaTheme="majorEastAsia"/>
          <w:bCs/>
          <w:sz w:val="24"/>
          <w:szCs w:val="22"/>
        </w:rPr>
        <w:t>（2）B组份：固体粉料技术要求。固体粉料的质量应符合下表要求</w:t>
      </w:r>
      <w:r>
        <w:rPr>
          <w:rFonts w:hint="eastAsia" w:cs="宋体" w:asciiTheme="majorEastAsia" w:hAnsiTheme="majorEastAsia" w:eastAsiaTheme="majorEastAsia"/>
          <w:bCs/>
          <w:sz w:val="24"/>
          <w:szCs w:val="22"/>
          <w:lang w:eastAsia="zh-CN"/>
        </w:rPr>
        <w:t>：</w:t>
      </w:r>
    </w:p>
    <w:p w14:paraId="5B1616C3">
      <w:pPr>
        <w:adjustRightInd w:val="0"/>
        <w:spacing w:line="360" w:lineRule="auto"/>
        <w:ind w:firstLine="480"/>
        <w:jc w:val="center"/>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固体粉料技术要求（表二）</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246"/>
        <w:gridCol w:w="1197"/>
        <w:gridCol w:w="2833"/>
        <w:gridCol w:w="1903"/>
      </w:tblGrid>
      <w:tr w14:paraId="16633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blHeader/>
          <w:jc w:val="center"/>
        </w:trPr>
        <w:tc>
          <w:tcPr>
            <w:tcW w:w="2106" w:type="dxa"/>
            <w:gridSpan w:val="2"/>
            <w:vAlign w:val="center"/>
          </w:tcPr>
          <w:p w14:paraId="2E5F8D22">
            <w:pPr>
              <w:spacing w:line="360" w:lineRule="auto"/>
              <w:ind w:firstLine="480"/>
              <w:jc w:val="center"/>
            </w:pPr>
            <w:r>
              <w:rPr>
                <w:rFonts w:hint="eastAsia"/>
              </w:rPr>
              <w:t>项目</w:t>
            </w:r>
          </w:p>
        </w:tc>
        <w:tc>
          <w:tcPr>
            <w:tcW w:w="998" w:type="dxa"/>
            <w:vAlign w:val="center"/>
          </w:tcPr>
          <w:p w14:paraId="0707BD4C">
            <w:pPr>
              <w:spacing w:line="360" w:lineRule="auto"/>
              <w:ind w:firstLine="480"/>
              <w:jc w:val="center"/>
            </w:pPr>
            <w:r>
              <w:rPr>
                <w:rFonts w:hint="eastAsia"/>
              </w:rPr>
              <w:t>单位</w:t>
            </w:r>
          </w:p>
        </w:tc>
        <w:tc>
          <w:tcPr>
            <w:tcW w:w="2362" w:type="dxa"/>
            <w:vAlign w:val="center"/>
          </w:tcPr>
          <w:p w14:paraId="763681A5">
            <w:pPr>
              <w:spacing w:line="360" w:lineRule="auto"/>
              <w:ind w:firstLine="480"/>
              <w:jc w:val="center"/>
            </w:pPr>
            <w:r>
              <w:rPr>
                <w:rFonts w:hint="eastAsia"/>
              </w:rPr>
              <w:t>技术要求</w:t>
            </w:r>
          </w:p>
        </w:tc>
        <w:tc>
          <w:tcPr>
            <w:tcW w:w="1587" w:type="dxa"/>
            <w:vAlign w:val="center"/>
          </w:tcPr>
          <w:p w14:paraId="20BE7A7E">
            <w:pPr>
              <w:spacing w:line="360" w:lineRule="auto"/>
              <w:ind w:firstLine="480"/>
              <w:jc w:val="center"/>
            </w:pPr>
            <w:r>
              <w:rPr>
                <w:rFonts w:hint="eastAsia"/>
              </w:rPr>
              <w:t>试验方法</w:t>
            </w:r>
          </w:p>
        </w:tc>
      </w:tr>
      <w:tr w14:paraId="408BC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106" w:type="dxa"/>
            <w:gridSpan w:val="2"/>
            <w:vAlign w:val="center"/>
          </w:tcPr>
          <w:p w14:paraId="797F594E">
            <w:pPr>
              <w:spacing w:line="360" w:lineRule="auto"/>
              <w:ind w:firstLine="480"/>
            </w:pPr>
            <w:r>
              <w:rPr>
                <w:rFonts w:hint="eastAsia"/>
              </w:rPr>
              <w:t>颜色</w:t>
            </w:r>
          </w:p>
        </w:tc>
        <w:tc>
          <w:tcPr>
            <w:tcW w:w="998" w:type="dxa"/>
            <w:vAlign w:val="center"/>
          </w:tcPr>
          <w:p w14:paraId="432B4F37">
            <w:pPr>
              <w:spacing w:line="360" w:lineRule="auto"/>
            </w:pPr>
            <w:r>
              <w:rPr>
                <w:rFonts w:hint="eastAsia"/>
              </w:rPr>
              <w:t>/</w:t>
            </w:r>
          </w:p>
        </w:tc>
        <w:tc>
          <w:tcPr>
            <w:tcW w:w="2362" w:type="dxa"/>
            <w:vAlign w:val="center"/>
          </w:tcPr>
          <w:p w14:paraId="7CC72A8C">
            <w:pPr>
              <w:spacing w:line="360" w:lineRule="auto"/>
              <w:ind w:firstLine="480"/>
            </w:pPr>
            <w:r>
              <w:rPr>
                <w:rFonts w:hint="eastAsia"/>
              </w:rPr>
              <w:t>红色</w:t>
            </w:r>
          </w:p>
        </w:tc>
        <w:tc>
          <w:tcPr>
            <w:tcW w:w="1587" w:type="dxa"/>
            <w:vAlign w:val="center"/>
          </w:tcPr>
          <w:p w14:paraId="3AE14A44">
            <w:pPr>
              <w:spacing w:line="360" w:lineRule="auto"/>
              <w:ind w:firstLine="480"/>
            </w:pPr>
            <w:r>
              <w:rPr>
                <w:rFonts w:hint="eastAsia"/>
              </w:rPr>
              <w:t>目测</w:t>
            </w:r>
          </w:p>
        </w:tc>
      </w:tr>
      <w:tr w14:paraId="6D579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106" w:type="dxa"/>
            <w:gridSpan w:val="2"/>
            <w:vAlign w:val="center"/>
          </w:tcPr>
          <w:p w14:paraId="236C6BE6">
            <w:pPr>
              <w:spacing w:line="360" w:lineRule="auto"/>
              <w:ind w:firstLine="480"/>
            </w:pPr>
            <w:r>
              <w:rPr>
                <w:rFonts w:hint="eastAsia"/>
              </w:rPr>
              <w:t>堆积密度</w:t>
            </w:r>
          </w:p>
        </w:tc>
        <w:tc>
          <w:tcPr>
            <w:tcW w:w="998" w:type="dxa"/>
            <w:vAlign w:val="center"/>
          </w:tcPr>
          <w:p w14:paraId="18AD5645">
            <w:pPr>
              <w:spacing w:line="360" w:lineRule="auto"/>
            </w:pPr>
            <w:r>
              <w:rPr>
                <w:rFonts w:hint="eastAsia"/>
              </w:rPr>
              <w:t>kg/m</w:t>
            </w:r>
            <w:r>
              <w:rPr>
                <w:rFonts w:hint="eastAsia"/>
                <w:vertAlign w:val="superscript"/>
              </w:rPr>
              <w:t>3</w:t>
            </w:r>
          </w:p>
        </w:tc>
        <w:tc>
          <w:tcPr>
            <w:tcW w:w="2362" w:type="dxa"/>
            <w:vAlign w:val="center"/>
          </w:tcPr>
          <w:p w14:paraId="5576FD05">
            <w:pPr>
              <w:spacing w:line="360" w:lineRule="auto"/>
              <w:ind w:firstLine="480"/>
            </w:pPr>
            <w:r>
              <w:rPr>
                <w:rFonts w:hint="eastAsia"/>
              </w:rPr>
              <w:t>1.45×103</w:t>
            </w:r>
            <w:r>
              <w:t>~</w:t>
            </w:r>
            <w:r>
              <w:rPr>
                <w:rFonts w:hint="eastAsia"/>
              </w:rPr>
              <w:t>1.65×103</w:t>
            </w:r>
          </w:p>
        </w:tc>
        <w:tc>
          <w:tcPr>
            <w:tcW w:w="1587" w:type="dxa"/>
            <w:vAlign w:val="center"/>
          </w:tcPr>
          <w:p w14:paraId="5330BF86">
            <w:pPr>
              <w:spacing w:line="360" w:lineRule="auto"/>
            </w:pPr>
            <w:r>
              <w:rPr>
                <w:rFonts w:hint="eastAsia"/>
              </w:rPr>
              <w:t>JTG E42-T 0309</w:t>
            </w:r>
          </w:p>
        </w:tc>
      </w:tr>
      <w:tr w14:paraId="534E8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1067" w:type="dxa"/>
            <w:vMerge w:val="restart"/>
            <w:vAlign w:val="center"/>
          </w:tcPr>
          <w:p w14:paraId="2D70B24D">
            <w:pPr>
              <w:spacing w:line="360" w:lineRule="auto"/>
            </w:pPr>
            <w:r>
              <w:rPr>
                <w:rFonts w:hint="eastAsia"/>
              </w:rPr>
              <w:t>筛分试验（筛分孔尺寸/通过率）</w:t>
            </w:r>
          </w:p>
        </w:tc>
        <w:tc>
          <w:tcPr>
            <w:tcW w:w="1039" w:type="dxa"/>
            <w:vAlign w:val="center"/>
          </w:tcPr>
          <w:p w14:paraId="61C968E0">
            <w:pPr>
              <w:spacing w:line="360" w:lineRule="auto"/>
            </w:pPr>
            <w:r>
              <w:rPr>
                <w:rFonts w:hint="eastAsia"/>
              </w:rPr>
              <w:t>2.36mm</w:t>
            </w:r>
          </w:p>
        </w:tc>
        <w:tc>
          <w:tcPr>
            <w:tcW w:w="998" w:type="dxa"/>
            <w:vMerge w:val="restart"/>
            <w:vAlign w:val="center"/>
          </w:tcPr>
          <w:p w14:paraId="5322EAFE">
            <w:pPr>
              <w:spacing w:line="360" w:lineRule="auto"/>
            </w:pPr>
            <w:r>
              <w:rPr>
                <w:rFonts w:hint="eastAsia"/>
              </w:rPr>
              <w:t>%</w:t>
            </w:r>
          </w:p>
        </w:tc>
        <w:tc>
          <w:tcPr>
            <w:tcW w:w="2362" w:type="dxa"/>
            <w:vAlign w:val="center"/>
          </w:tcPr>
          <w:p w14:paraId="4D3BB16E">
            <w:pPr>
              <w:spacing w:line="360" w:lineRule="auto"/>
              <w:ind w:firstLine="480"/>
            </w:pPr>
            <w:r>
              <w:rPr>
                <w:rFonts w:hint="eastAsia"/>
              </w:rPr>
              <w:t>100</w:t>
            </w:r>
          </w:p>
        </w:tc>
        <w:tc>
          <w:tcPr>
            <w:tcW w:w="1587" w:type="dxa"/>
            <w:vMerge w:val="restart"/>
            <w:vAlign w:val="center"/>
          </w:tcPr>
          <w:p w14:paraId="1239F1D3">
            <w:pPr>
              <w:spacing w:line="360" w:lineRule="auto"/>
            </w:pPr>
            <w:r>
              <w:rPr>
                <w:rFonts w:hint="eastAsia"/>
              </w:rPr>
              <w:t>JTG E42-T 0351</w:t>
            </w:r>
          </w:p>
        </w:tc>
      </w:tr>
      <w:tr w14:paraId="1FF37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1067" w:type="dxa"/>
            <w:vMerge w:val="continue"/>
            <w:vAlign w:val="center"/>
          </w:tcPr>
          <w:p w14:paraId="281741E4">
            <w:pPr>
              <w:spacing w:line="360" w:lineRule="auto"/>
              <w:ind w:firstLine="480"/>
            </w:pPr>
          </w:p>
        </w:tc>
        <w:tc>
          <w:tcPr>
            <w:tcW w:w="1039" w:type="dxa"/>
            <w:vAlign w:val="center"/>
          </w:tcPr>
          <w:p w14:paraId="1F21BB52">
            <w:pPr>
              <w:spacing w:line="360" w:lineRule="auto"/>
            </w:pPr>
            <w:r>
              <w:rPr>
                <w:rFonts w:hint="eastAsia"/>
              </w:rPr>
              <w:t>1.18mm</w:t>
            </w:r>
          </w:p>
        </w:tc>
        <w:tc>
          <w:tcPr>
            <w:tcW w:w="998" w:type="dxa"/>
            <w:vMerge w:val="continue"/>
            <w:vAlign w:val="center"/>
          </w:tcPr>
          <w:p w14:paraId="27FB144D">
            <w:pPr>
              <w:spacing w:line="360" w:lineRule="auto"/>
              <w:ind w:firstLine="480"/>
            </w:pPr>
          </w:p>
        </w:tc>
        <w:tc>
          <w:tcPr>
            <w:tcW w:w="2362" w:type="dxa"/>
            <w:vAlign w:val="center"/>
          </w:tcPr>
          <w:p w14:paraId="31B6D602">
            <w:pPr>
              <w:spacing w:line="360" w:lineRule="auto"/>
              <w:ind w:firstLine="480"/>
            </w:pPr>
            <w:r>
              <w:rPr>
                <w:rFonts w:hint="eastAsia"/>
              </w:rPr>
              <w:t>95</w:t>
            </w:r>
            <w:r>
              <w:t>~</w:t>
            </w:r>
            <w:r>
              <w:rPr>
                <w:rFonts w:hint="eastAsia"/>
              </w:rPr>
              <w:t>100</w:t>
            </w:r>
          </w:p>
        </w:tc>
        <w:tc>
          <w:tcPr>
            <w:tcW w:w="1587" w:type="dxa"/>
            <w:vMerge w:val="continue"/>
            <w:vAlign w:val="center"/>
          </w:tcPr>
          <w:p w14:paraId="1F0B29B1">
            <w:pPr>
              <w:spacing w:line="360" w:lineRule="auto"/>
              <w:ind w:firstLine="480"/>
            </w:pPr>
          </w:p>
        </w:tc>
      </w:tr>
      <w:tr w14:paraId="6704C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067" w:type="dxa"/>
            <w:vMerge w:val="continue"/>
            <w:vAlign w:val="center"/>
          </w:tcPr>
          <w:p w14:paraId="23370283">
            <w:pPr>
              <w:spacing w:line="360" w:lineRule="auto"/>
              <w:ind w:firstLine="480"/>
            </w:pPr>
          </w:p>
        </w:tc>
        <w:tc>
          <w:tcPr>
            <w:tcW w:w="1039" w:type="dxa"/>
            <w:vAlign w:val="center"/>
          </w:tcPr>
          <w:p w14:paraId="5EDFCBE0">
            <w:pPr>
              <w:spacing w:line="360" w:lineRule="auto"/>
            </w:pPr>
            <w:r>
              <w:rPr>
                <w:rFonts w:hint="eastAsia"/>
              </w:rPr>
              <w:t>0.075mm</w:t>
            </w:r>
          </w:p>
        </w:tc>
        <w:tc>
          <w:tcPr>
            <w:tcW w:w="998" w:type="dxa"/>
            <w:vMerge w:val="continue"/>
            <w:vAlign w:val="center"/>
          </w:tcPr>
          <w:p w14:paraId="5227B782">
            <w:pPr>
              <w:spacing w:line="360" w:lineRule="auto"/>
              <w:ind w:firstLine="480"/>
            </w:pPr>
          </w:p>
        </w:tc>
        <w:tc>
          <w:tcPr>
            <w:tcW w:w="2362" w:type="dxa"/>
            <w:vAlign w:val="center"/>
          </w:tcPr>
          <w:p w14:paraId="05829066">
            <w:pPr>
              <w:spacing w:line="360" w:lineRule="auto"/>
              <w:ind w:firstLine="480"/>
            </w:pPr>
            <w:r>
              <w:rPr>
                <w:rFonts w:hint="eastAsia"/>
              </w:rPr>
              <w:t>35</w:t>
            </w:r>
            <w:r>
              <w:t>~</w:t>
            </w:r>
            <w:r>
              <w:rPr>
                <w:rFonts w:hint="eastAsia"/>
              </w:rPr>
              <w:t>45</w:t>
            </w:r>
          </w:p>
        </w:tc>
        <w:tc>
          <w:tcPr>
            <w:tcW w:w="1587" w:type="dxa"/>
            <w:vMerge w:val="continue"/>
            <w:vAlign w:val="center"/>
          </w:tcPr>
          <w:p w14:paraId="2FFB3E0B">
            <w:pPr>
              <w:spacing w:line="360" w:lineRule="auto"/>
              <w:ind w:firstLine="480"/>
            </w:pPr>
          </w:p>
        </w:tc>
      </w:tr>
      <w:tr w14:paraId="7A042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2106" w:type="dxa"/>
            <w:gridSpan w:val="2"/>
            <w:vAlign w:val="center"/>
          </w:tcPr>
          <w:p w14:paraId="25031BCD">
            <w:pPr>
              <w:spacing w:line="360" w:lineRule="auto"/>
              <w:ind w:firstLine="480"/>
            </w:pPr>
            <w:r>
              <w:rPr>
                <w:rFonts w:hint="eastAsia"/>
              </w:rPr>
              <w:t>含水率</w:t>
            </w:r>
          </w:p>
        </w:tc>
        <w:tc>
          <w:tcPr>
            <w:tcW w:w="998" w:type="dxa"/>
            <w:vAlign w:val="center"/>
          </w:tcPr>
          <w:p w14:paraId="60D61EAD">
            <w:pPr>
              <w:spacing w:line="360" w:lineRule="auto"/>
            </w:pPr>
            <w:r>
              <w:rPr>
                <w:rFonts w:hint="eastAsia"/>
              </w:rPr>
              <w:t>%</w:t>
            </w:r>
          </w:p>
        </w:tc>
        <w:tc>
          <w:tcPr>
            <w:tcW w:w="2362" w:type="dxa"/>
            <w:vAlign w:val="center"/>
          </w:tcPr>
          <w:p w14:paraId="12546B95">
            <w:pPr>
              <w:spacing w:line="360" w:lineRule="auto"/>
              <w:ind w:firstLine="480"/>
            </w:pPr>
            <w:r>
              <w:rPr>
                <w:rFonts w:hint="eastAsia"/>
              </w:rPr>
              <w:t>≤1</w:t>
            </w:r>
          </w:p>
        </w:tc>
        <w:tc>
          <w:tcPr>
            <w:tcW w:w="1587" w:type="dxa"/>
            <w:vAlign w:val="center"/>
          </w:tcPr>
          <w:p w14:paraId="463A7D58">
            <w:pPr>
              <w:spacing w:line="360" w:lineRule="auto"/>
            </w:pPr>
            <w:r>
              <w:rPr>
                <w:rFonts w:hint="eastAsia"/>
              </w:rPr>
              <w:t>JTG E40- T 0103</w:t>
            </w:r>
          </w:p>
        </w:tc>
      </w:tr>
    </w:tbl>
    <w:p w14:paraId="5CF8629E">
      <w:pPr>
        <w:adjustRightInd w:val="0"/>
        <w:spacing w:line="360" w:lineRule="auto"/>
        <w:ind w:firstLine="48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（3）红色警示颗粒封层：A、B组份根据设计配合比拌和均匀后的混合料质量应符合下表技术要求，A组份：B组份：水=</w:t>
      </w:r>
      <w:r>
        <w:rPr>
          <w:rFonts w:cs="宋体" w:asciiTheme="majorEastAsia" w:hAnsiTheme="majorEastAsia" w:eastAsiaTheme="majorEastAsia"/>
          <w:bCs/>
          <w:sz w:val="24"/>
          <w:szCs w:val="22"/>
        </w:rPr>
        <w:t>25</w:t>
      </w:r>
      <w:r>
        <w:rPr>
          <w:rFonts w:hint="eastAsia" w:cs="宋体" w:asciiTheme="majorEastAsia" w:hAnsiTheme="majorEastAsia" w:eastAsiaTheme="majorEastAsia"/>
          <w:bCs/>
          <w:sz w:val="24"/>
          <w:szCs w:val="22"/>
        </w:rPr>
        <w:t>：</w:t>
      </w:r>
      <w:r>
        <w:rPr>
          <w:rFonts w:cs="宋体" w:asciiTheme="majorEastAsia" w:hAnsiTheme="majorEastAsia" w:eastAsiaTheme="majorEastAsia"/>
          <w:bCs/>
          <w:sz w:val="24"/>
          <w:szCs w:val="22"/>
        </w:rPr>
        <w:t>5</w:t>
      </w:r>
      <w:r>
        <w:rPr>
          <w:rFonts w:hint="eastAsia" w:cs="宋体" w:asciiTheme="majorEastAsia" w:hAnsiTheme="majorEastAsia" w:eastAsiaTheme="majorEastAsia"/>
          <w:bCs/>
          <w:sz w:val="24"/>
          <w:szCs w:val="22"/>
        </w:rPr>
        <w:t>：</w:t>
      </w:r>
      <w:r>
        <w:rPr>
          <w:rFonts w:cs="宋体" w:asciiTheme="majorEastAsia" w:hAnsiTheme="majorEastAsia" w:eastAsiaTheme="majorEastAsia"/>
          <w:bCs/>
          <w:sz w:val="24"/>
          <w:szCs w:val="22"/>
        </w:rPr>
        <w:t>2.6</w:t>
      </w:r>
      <w:r>
        <w:rPr>
          <w:rFonts w:asciiTheme="majorEastAsia" w:hAnsiTheme="majorEastAsia" w:eastAsiaTheme="majorEastAsia"/>
          <w:bCs/>
          <w:sz w:val="24"/>
          <w:szCs w:val="22"/>
        </w:rPr>
        <w:t>~</w:t>
      </w:r>
      <w:r>
        <w:rPr>
          <w:rFonts w:cs="宋体" w:asciiTheme="majorEastAsia" w:hAnsiTheme="majorEastAsia" w:eastAsiaTheme="majorEastAsia"/>
          <w:bCs/>
          <w:sz w:val="24"/>
          <w:szCs w:val="22"/>
        </w:rPr>
        <w:t>3.5</w:t>
      </w:r>
      <w:r>
        <w:rPr>
          <w:rFonts w:hint="eastAsia" w:cs="宋体" w:asciiTheme="majorEastAsia" w:hAnsiTheme="majorEastAsia" w:eastAsiaTheme="majorEastAsia"/>
          <w:bCs/>
          <w:sz w:val="24"/>
          <w:szCs w:val="22"/>
        </w:rPr>
        <w:t>（可结合施工气候情况调整）</w:t>
      </w:r>
    </w:p>
    <w:p w14:paraId="13F05C08">
      <w:pPr>
        <w:adjustRightInd w:val="0"/>
        <w:spacing w:line="360" w:lineRule="auto"/>
        <w:ind w:firstLine="480"/>
        <w:jc w:val="center"/>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红色警示颗粒封层混合料技术要求（表三）</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1809"/>
        <w:gridCol w:w="1083"/>
        <w:gridCol w:w="1282"/>
        <w:gridCol w:w="2940"/>
      </w:tblGrid>
      <w:tr w14:paraId="12A23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vAlign w:val="center"/>
          </w:tcPr>
          <w:p w14:paraId="1C446909">
            <w:pPr>
              <w:spacing w:line="440" w:lineRule="exact"/>
              <w:ind w:firstLine="480"/>
              <w:jc w:val="center"/>
            </w:pPr>
            <w:r>
              <w:rPr>
                <w:rFonts w:hint="eastAsia"/>
              </w:rPr>
              <w:t>项目</w:t>
            </w:r>
          </w:p>
        </w:tc>
        <w:tc>
          <w:tcPr>
            <w:tcW w:w="1037" w:type="dxa"/>
            <w:vAlign w:val="center"/>
          </w:tcPr>
          <w:p w14:paraId="3CD6E18C">
            <w:pPr>
              <w:spacing w:line="440" w:lineRule="exact"/>
            </w:pPr>
            <w:r>
              <w:rPr>
                <w:rFonts w:hint="eastAsia"/>
              </w:rPr>
              <w:t>单位</w:t>
            </w:r>
          </w:p>
        </w:tc>
        <w:tc>
          <w:tcPr>
            <w:tcW w:w="1227" w:type="dxa"/>
            <w:vAlign w:val="center"/>
          </w:tcPr>
          <w:p w14:paraId="7529C539">
            <w:pPr>
              <w:spacing w:line="440" w:lineRule="exact"/>
              <w:ind w:firstLine="480"/>
              <w:jc w:val="center"/>
            </w:pPr>
            <w:r>
              <w:rPr>
                <w:rFonts w:hint="eastAsia"/>
              </w:rPr>
              <w:t>技术要求</w:t>
            </w:r>
          </w:p>
        </w:tc>
        <w:tc>
          <w:tcPr>
            <w:tcW w:w="2814" w:type="dxa"/>
            <w:vAlign w:val="center"/>
          </w:tcPr>
          <w:p w14:paraId="01D61159">
            <w:pPr>
              <w:spacing w:line="440" w:lineRule="exact"/>
              <w:ind w:firstLine="480"/>
              <w:jc w:val="center"/>
            </w:pPr>
            <w:r>
              <w:rPr>
                <w:rFonts w:hint="eastAsia"/>
              </w:rPr>
              <w:t>试验方法</w:t>
            </w:r>
          </w:p>
        </w:tc>
      </w:tr>
      <w:tr w14:paraId="25D7B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vAlign w:val="center"/>
          </w:tcPr>
          <w:p w14:paraId="1251C66D">
            <w:pPr>
              <w:spacing w:line="440" w:lineRule="exact"/>
              <w:ind w:firstLine="480"/>
            </w:pPr>
            <w:r>
              <w:rPr>
                <w:rFonts w:hint="eastAsia"/>
              </w:rPr>
              <w:t>可拌和时间</w:t>
            </w:r>
          </w:p>
        </w:tc>
        <w:tc>
          <w:tcPr>
            <w:tcW w:w="1037" w:type="dxa"/>
            <w:vAlign w:val="center"/>
          </w:tcPr>
          <w:p w14:paraId="49862B49">
            <w:pPr>
              <w:spacing w:line="440" w:lineRule="exact"/>
            </w:pPr>
            <w:r>
              <w:rPr>
                <w:rFonts w:hint="eastAsia"/>
              </w:rPr>
              <w:t>Min</w:t>
            </w:r>
          </w:p>
        </w:tc>
        <w:tc>
          <w:tcPr>
            <w:tcW w:w="1227" w:type="dxa"/>
            <w:vAlign w:val="center"/>
          </w:tcPr>
          <w:p w14:paraId="739D3A53">
            <w:pPr>
              <w:spacing w:line="440" w:lineRule="exact"/>
              <w:ind w:firstLine="480"/>
            </w:pPr>
            <w:r>
              <w:rPr>
                <w:rFonts w:hint="eastAsia"/>
              </w:rPr>
              <w:t>≥15</w:t>
            </w:r>
          </w:p>
        </w:tc>
        <w:tc>
          <w:tcPr>
            <w:tcW w:w="2814" w:type="dxa"/>
            <w:vAlign w:val="center"/>
          </w:tcPr>
          <w:p w14:paraId="554C15BA">
            <w:pPr>
              <w:spacing w:line="440" w:lineRule="exact"/>
              <w:ind w:firstLine="480"/>
            </w:pPr>
            <w:r>
              <w:rPr>
                <w:rFonts w:hint="eastAsia"/>
              </w:rPr>
              <w:t>JTG E20-T 0757</w:t>
            </w:r>
          </w:p>
        </w:tc>
      </w:tr>
      <w:tr w14:paraId="04BDE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vAlign w:val="center"/>
          </w:tcPr>
          <w:p w14:paraId="241214CD">
            <w:pPr>
              <w:spacing w:line="440" w:lineRule="exact"/>
              <w:ind w:firstLine="480"/>
            </w:pPr>
            <w:r>
              <w:rPr>
                <w:rFonts w:hint="eastAsia"/>
              </w:rPr>
              <w:t>3d龄期抗压强度</w:t>
            </w:r>
          </w:p>
        </w:tc>
        <w:tc>
          <w:tcPr>
            <w:tcW w:w="1037" w:type="dxa"/>
            <w:vAlign w:val="center"/>
          </w:tcPr>
          <w:p w14:paraId="6FCADAFC">
            <w:pPr>
              <w:spacing w:line="440" w:lineRule="exact"/>
            </w:pPr>
            <w:r>
              <w:rPr>
                <w:rFonts w:hint="eastAsia"/>
              </w:rPr>
              <w:t>MPa</w:t>
            </w:r>
          </w:p>
        </w:tc>
        <w:tc>
          <w:tcPr>
            <w:tcW w:w="1227" w:type="dxa"/>
            <w:vAlign w:val="center"/>
          </w:tcPr>
          <w:p w14:paraId="3D13F4D4">
            <w:pPr>
              <w:spacing w:line="440" w:lineRule="exact"/>
              <w:ind w:firstLine="480"/>
            </w:pPr>
            <w:r>
              <w:rPr>
                <w:rFonts w:hint="eastAsia"/>
              </w:rPr>
              <w:t>≥12</w:t>
            </w:r>
          </w:p>
        </w:tc>
        <w:tc>
          <w:tcPr>
            <w:tcW w:w="2814" w:type="dxa"/>
            <w:vAlign w:val="center"/>
          </w:tcPr>
          <w:p w14:paraId="094BC468">
            <w:pPr>
              <w:spacing w:line="440" w:lineRule="exact"/>
              <w:ind w:firstLine="480"/>
            </w:pPr>
            <w:r>
              <w:rPr>
                <w:rFonts w:hint="eastAsia"/>
              </w:rPr>
              <w:t>GB/T 17671</w:t>
            </w:r>
          </w:p>
        </w:tc>
      </w:tr>
      <w:tr w14:paraId="2F3E0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vAlign w:val="center"/>
          </w:tcPr>
          <w:p w14:paraId="174022F0">
            <w:pPr>
              <w:spacing w:line="440" w:lineRule="exact"/>
              <w:ind w:firstLine="480"/>
            </w:pPr>
            <w:r>
              <w:rPr>
                <w:rFonts w:hint="eastAsia"/>
              </w:rPr>
              <w:t>3d龄期抗折强度</w:t>
            </w:r>
          </w:p>
        </w:tc>
        <w:tc>
          <w:tcPr>
            <w:tcW w:w="1037" w:type="dxa"/>
            <w:vAlign w:val="center"/>
          </w:tcPr>
          <w:p w14:paraId="45F9ABA6">
            <w:pPr>
              <w:spacing w:line="440" w:lineRule="exact"/>
            </w:pPr>
            <w:r>
              <w:rPr>
                <w:rFonts w:hint="eastAsia"/>
              </w:rPr>
              <w:t>MPa</w:t>
            </w:r>
          </w:p>
        </w:tc>
        <w:tc>
          <w:tcPr>
            <w:tcW w:w="1227" w:type="dxa"/>
            <w:vAlign w:val="center"/>
          </w:tcPr>
          <w:p w14:paraId="77B6C763">
            <w:pPr>
              <w:spacing w:line="440" w:lineRule="exact"/>
              <w:ind w:firstLine="480"/>
            </w:pPr>
            <w:r>
              <w:rPr>
                <w:rFonts w:hint="eastAsia"/>
              </w:rPr>
              <w:t>≥4</w:t>
            </w:r>
          </w:p>
        </w:tc>
        <w:tc>
          <w:tcPr>
            <w:tcW w:w="2814" w:type="dxa"/>
            <w:vAlign w:val="center"/>
          </w:tcPr>
          <w:p w14:paraId="6BF7467F">
            <w:pPr>
              <w:spacing w:line="440" w:lineRule="exact"/>
              <w:ind w:firstLine="480"/>
            </w:pPr>
            <w:r>
              <w:rPr>
                <w:rFonts w:hint="eastAsia"/>
              </w:rPr>
              <w:t>GB/T 17671</w:t>
            </w:r>
          </w:p>
        </w:tc>
      </w:tr>
      <w:tr w14:paraId="387C6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restart"/>
            <w:vAlign w:val="center"/>
          </w:tcPr>
          <w:p w14:paraId="53CEB87A">
            <w:pPr>
              <w:spacing w:line="440" w:lineRule="exact"/>
            </w:pPr>
            <w:r>
              <w:rPr>
                <w:rFonts w:hint="eastAsia"/>
              </w:rPr>
              <w:t>负荷轮碾压试验</w:t>
            </w:r>
          </w:p>
        </w:tc>
        <w:tc>
          <w:tcPr>
            <w:tcW w:w="1732" w:type="dxa"/>
            <w:vAlign w:val="center"/>
          </w:tcPr>
          <w:p w14:paraId="2BEF0FD3">
            <w:pPr>
              <w:spacing w:line="440" w:lineRule="exact"/>
            </w:pPr>
            <w:r>
              <w:rPr>
                <w:rFonts w:hint="eastAsia"/>
              </w:rPr>
              <w:t>粘附砂量</w:t>
            </w:r>
          </w:p>
        </w:tc>
        <w:tc>
          <w:tcPr>
            <w:tcW w:w="1037" w:type="dxa"/>
            <w:vAlign w:val="center"/>
          </w:tcPr>
          <w:p w14:paraId="2AC1FD0A">
            <w:pPr>
              <w:spacing w:line="440" w:lineRule="exact"/>
            </w:pPr>
            <w:r>
              <w:rPr>
                <w:rFonts w:hint="eastAsia"/>
              </w:rPr>
              <w:t>g/m2</w:t>
            </w:r>
          </w:p>
        </w:tc>
        <w:tc>
          <w:tcPr>
            <w:tcW w:w="1227" w:type="dxa"/>
            <w:vAlign w:val="center"/>
          </w:tcPr>
          <w:p w14:paraId="3DC1223D">
            <w:pPr>
              <w:spacing w:line="440" w:lineRule="exact"/>
              <w:ind w:firstLine="480"/>
            </w:pPr>
            <w:r>
              <w:rPr>
                <w:rFonts w:hint="eastAsia"/>
              </w:rPr>
              <w:t>≤450</w:t>
            </w:r>
          </w:p>
        </w:tc>
        <w:tc>
          <w:tcPr>
            <w:tcW w:w="2814" w:type="dxa"/>
            <w:vMerge w:val="restart"/>
            <w:vAlign w:val="center"/>
          </w:tcPr>
          <w:p w14:paraId="43A0BF55">
            <w:pPr>
              <w:spacing w:line="440" w:lineRule="exact"/>
              <w:ind w:firstLine="480"/>
            </w:pPr>
            <w:r>
              <w:rPr>
                <w:rFonts w:hint="eastAsia"/>
              </w:rPr>
              <w:t>JTG E20-T 0755</w:t>
            </w:r>
          </w:p>
        </w:tc>
      </w:tr>
      <w:tr w14:paraId="17404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6F2B22CB">
            <w:pPr>
              <w:spacing w:line="440" w:lineRule="exact"/>
              <w:ind w:firstLine="480"/>
            </w:pPr>
          </w:p>
        </w:tc>
        <w:tc>
          <w:tcPr>
            <w:tcW w:w="1732" w:type="dxa"/>
            <w:vAlign w:val="center"/>
          </w:tcPr>
          <w:p w14:paraId="4BA9A281">
            <w:pPr>
              <w:spacing w:line="440" w:lineRule="exact"/>
            </w:pPr>
            <w:r>
              <w:rPr>
                <w:rFonts w:hint="eastAsia"/>
              </w:rPr>
              <w:t>轮迹宽度变化率</w:t>
            </w:r>
          </w:p>
        </w:tc>
        <w:tc>
          <w:tcPr>
            <w:tcW w:w="1037" w:type="dxa"/>
            <w:vAlign w:val="center"/>
          </w:tcPr>
          <w:p w14:paraId="33CDE9C4">
            <w:pPr>
              <w:spacing w:line="440" w:lineRule="exact"/>
            </w:pPr>
            <w:r>
              <w:rPr>
                <w:rFonts w:hint="eastAsia"/>
              </w:rPr>
              <w:t>%</w:t>
            </w:r>
          </w:p>
        </w:tc>
        <w:tc>
          <w:tcPr>
            <w:tcW w:w="1227" w:type="dxa"/>
            <w:vAlign w:val="center"/>
          </w:tcPr>
          <w:p w14:paraId="11936004">
            <w:pPr>
              <w:spacing w:line="440" w:lineRule="exact"/>
              <w:ind w:firstLine="480"/>
            </w:pPr>
            <w:r>
              <w:rPr>
                <w:rFonts w:hint="eastAsia"/>
              </w:rPr>
              <w:t>≤5</w:t>
            </w:r>
          </w:p>
        </w:tc>
        <w:tc>
          <w:tcPr>
            <w:tcW w:w="2814" w:type="dxa"/>
            <w:vMerge w:val="continue"/>
            <w:vAlign w:val="center"/>
          </w:tcPr>
          <w:p w14:paraId="722EA0B5">
            <w:pPr>
              <w:spacing w:line="440" w:lineRule="exact"/>
              <w:ind w:firstLine="480"/>
            </w:pPr>
          </w:p>
        </w:tc>
      </w:tr>
      <w:tr w14:paraId="7E77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restart"/>
            <w:vAlign w:val="center"/>
          </w:tcPr>
          <w:p w14:paraId="7853A469">
            <w:pPr>
              <w:spacing w:line="440" w:lineRule="exact"/>
            </w:pPr>
            <w:r>
              <w:rPr>
                <w:rFonts w:hint="eastAsia"/>
              </w:rPr>
              <w:t>湿轮磨耗试验磨耗值</w:t>
            </w:r>
          </w:p>
        </w:tc>
        <w:tc>
          <w:tcPr>
            <w:tcW w:w="1732" w:type="dxa"/>
            <w:vAlign w:val="center"/>
          </w:tcPr>
          <w:p w14:paraId="60DE0167">
            <w:pPr>
              <w:spacing w:line="440" w:lineRule="exact"/>
            </w:pPr>
            <w:r>
              <w:rPr>
                <w:rFonts w:hint="eastAsia"/>
              </w:rPr>
              <w:t>浸水1h</w:t>
            </w:r>
          </w:p>
        </w:tc>
        <w:tc>
          <w:tcPr>
            <w:tcW w:w="1037" w:type="dxa"/>
            <w:vMerge w:val="restart"/>
            <w:vAlign w:val="center"/>
          </w:tcPr>
          <w:p w14:paraId="4BFBFCF3">
            <w:pPr>
              <w:spacing w:line="440" w:lineRule="exact"/>
            </w:pPr>
            <w:r>
              <w:rPr>
                <w:rFonts w:hint="eastAsia"/>
              </w:rPr>
              <w:t>g/m</w:t>
            </w:r>
            <w:r>
              <w:rPr>
                <w:rFonts w:hint="eastAsia"/>
                <w:vertAlign w:val="superscript"/>
              </w:rPr>
              <w:t>2</w:t>
            </w:r>
          </w:p>
        </w:tc>
        <w:tc>
          <w:tcPr>
            <w:tcW w:w="1227" w:type="dxa"/>
            <w:vAlign w:val="center"/>
          </w:tcPr>
          <w:p w14:paraId="4346D63D">
            <w:pPr>
              <w:spacing w:line="440" w:lineRule="exact"/>
              <w:ind w:firstLine="480"/>
            </w:pPr>
            <w:r>
              <w:rPr>
                <w:rFonts w:hint="eastAsia"/>
              </w:rPr>
              <w:t>≤540</w:t>
            </w:r>
          </w:p>
        </w:tc>
        <w:tc>
          <w:tcPr>
            <w:tcW w:w="2814" w:type="dxa"/>
            <w:vMerge w:val="restart"/>
            <w:vAlign w:val="center"/>
          </w:tcPr>
          <w:p w14:paraId="6088C107">
            <w:pPr>
              <w:spacing w:line="440" w:lineRule="exact"/>
              <w:ind w:firstLine="480"/>
            </w:pPr>
            <w:r>
              <w:rPr>
                <w:rFonts w:hint="eastAsia"/>
              </w:rPr>
              <w:t>JTG E20- T0752</w:t>
            </w:r>
          </w:p>
        </w:tc>
      </w:tr>
      <w:tr w14:paraId="00234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6" w:type="dxa"/>
            <w:vMerge w:val="continue"/>
            <w:vAlign w:val="center"/>
          </w:tcPr>
          <w:p w14:paraId="70006FA0">
            <w:pPr>
              <w:spacing w:line="440" w:lineRule="exact"/>
              <w:ind w:firstLine="480"/>
            </w:pPr>
          </w:p>
        </w:tc>
        <w:tc>
          <w:tcPr>
            <w:tcW w:w="1732" w:type="dxa"/>
            <w:vAlign w:val="center"/>
          </w:tcPr>
          <w:p w14:paraId="493CC616">
            <w:pPr>
              <w:spacing w:line="440" w:lineRule="exact"/>
            </w:pPr>
            <w:r>
              <w:rPr>
                <w:rFonts w:hint="eastAsia"/>
              </w:rPr>
              <w:t>浸水6h</w:t>
            </w:r>
          </w:p>
        </w:tc>
        <w:tc>
          <w:tcPr>
            <w:tcW w:w="1037" w:type="dxa"/>
            <w:vMerge w:val="continue"/>
            <w:vAlign w:val="center"/>
          </w:tcPr>
          <w:p w14:paraId="277C8E4E">
            <w:pPr>
              <w:spacing w:line="440" w:lineRule="exact"/>
              <w:ind w:firstLine="480"/>
            </w:pPr>
          </w:p>
        </w:tc>
        <w:tc>
          <w:tcPr>
            <w:tcW w:w="1227" w:type="dxa"/>
            <w:vAlign w:val="center"/>
          </w:tcPr>
          <w:p w14:paraId="3184A1CE">
            <w:pPr>
              <w:spacing w:line="440" w:lineRule="exact"/>
              <w:ind w:firstLine="480"/>
            </w:pPr>
            <w:r>
              <w:rPr>
                <w:rFonts w:hint="eastAsia"/>
              </w:rPr>
              <w:t>≤800</w:t>
            </w:r>
          </w:p>
        </w:tc>
        <w:tc>
          <w:tcPr>
            <w:tcW w:w="2814" w:type="dxa"/>
            <w:vMerge w:val="continue"/>
            <w:vAlign w:val="center"/>
          </w:tcPr>
          <w:p w14:paraId="7170C886">
            <w:pPr>
              <w:spacing w:line="440" w:lineRule="exact"/>
              <w:ind w:firstLine="480"/>
            </w:pPr>
          </w:p>
        </w:tc>
      </w:tr>
      <w:tr w14:paraId="4D4E3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vAlign w:val="center"/>
          </w:tcPr>
          <w:p w14:paraId="5C6A98CA">
            <w:pPr>
              <w:spacing w:line="440" w:lineRule="exact"/>
              <w:ind w:firstLine="480"/>
            </w:pPr>
            <w:r>
              <w:rPr>
                <w:rFonts w:hint="eastAsia"/>
              </w:rPr>
              <w:t>3d龄期肯塔堡飞散试验质量损失（Φ101.6mm×30mm）</w:t>
            </w:r>
          </w:p>
        </w:tc>
        <w:tc>
          <w:tcPr>
            <w:tcW w:w="1037" w:type="dxa"/>
            <w:vAlign w:val="center"/>
          </w:tcPr>
          <w:p w14:paraId="70189F6C">
            <w:pPr>
              <w:spacing w:line="440" w:lineRule="exact"/>
            </w:pPr>
            <w:r>
              <w:rPr>
                <w:rFonts w:hint="eastAsia"/>
              </w:rPr>
              <w:t>%</w:t>
            </w:r>
          </w:p>
        </w:tc>
        <w:tc>
          <w:tcPr>
            <w:tcW w:w="1227" w:type="dxa"/>
            <w:vAlign w:val="center"/>
          </w:tcPr>
          <w:p w14:paraId="2A4176FF">
            <w:pPr>
              <w:spacing w:line="440" w:lineRule="exact"/>
              <w:ind w:firstLine="480"/>
            </w:pPr>
            <w:r>
              <w:rPr>
                <w:rFonts w:hint="eastAsia"/>
              </w:rPr>
              <w:t>≤12</w:t>
            </w:r>
          </w:p>
        </w:tc>
        <w:tc>
          <w:tcPr>
            <w:tcW w:w="2814" w:type="dxa"/>
            <w:vAlign w:val="center"/>
          </w:tcPr>
          <w:p w14:paraId="52667A3F">
            <w:pPr>
              <w:spacing w:line="440" w:lineRule="exact"/>
              <w:ind w:firstLine="480"/>
            </w:pPr>
            <w:r>
              <w:rPr>
                <w:rFonts w:hint="eastAsia"/>
              </w:rPr>
              <w:t>JTG E20- T0752</w:t>
            </w:r>
          </w:p>
        </w:tc>
      </w:tr>
      <w:tr w14:paraId="67A26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018" w:type="dxa"/>
            <w:gridSpan w:val="2"/>
            <w:vAlign w:val="center"/>
          </w:tcPr>
          <w:p w14:paraId="141BC518">
            <w:pPr>
              <w:spacing w:line="440" w:lineRule="exact"/>
              <w:ind w:firstLine="480"/>
            </w:pPr>
            <w:r>
              <w:rPr>
                <w:rFonts w:hint="eastAsia"/>
              </w:rPr>
              <w:t>45º常温斜剪切强度</w:t>
            </w:r>
          </w:p>
        </w:tc>
        <w:tc>
          <w:tcPr>
            <w:tcW w:w="1037" w:type="dxa"/>
            <w:vAlign w:val="center"/>
          </w:tcPr>
          <w:p w14:paraId="3F029BC7">
            <w:pPr>
              <w:spacing w:line="440" w:lineRule="exact"/>
            </w:pPr>
            <w:r>
              <w:rPr>
                <w:rFonts w:hint="eastAsia"/>
              </w:rPr>
              <w:t>MPa</w:t>
            </w:r>
          </w:p>
        </w:tc>
        <w:tc>
          <w:tcPr>
            <w:tcW w:w="1227" w:type="dxa"/>
            <w:vAlign w:val="center"/>
          </w:tcPr>
          <w:p w14:paraId="0911FCA4">
            <w:pPr>
              <w:spacing w:line="440" w:lineRule="exact"/>
              <w:ind w:firstLine="480"/>
            </w:pPr>
            <w:r>
              <w:rPr>
                <w:rFonts w:hint="eastAsia"/>
              </w:rPr>
              <w:t>≥0.5</w:t>
            </w:r>
          </w:p>
        </w:tc>
        <w:tc>
          <w:tcPr>
            <w:tcW w:w="2814" w:type="dxa"/>
            <w:vAlign w:val="center"/>
          </w:tcPr>
          <w:p w14:paraId="2E6287E0">
            <w:pPr>
              <w:spacing w:line="440" w:lineRule="exact"/>
              <w:ind w:firstLine="480"/>
            </w:pPr>
            <w:r>
              <w:rPr>
                <w:rFonts w:hint="eastAsia"/>
              </w:rPr>
              <w:t>见DG/TJ 08-2223附录B</w:t>
            </w:r>
          </w:p>
        </w:tc>
      </w:tr>
    </w:tbl>
    <w:p w14:paraId="5CF0B4E2">
      <w:pPr>
        <w:keepNext/>
        <w:keepLines/>
        <w:spacing w:before="260" w:after="260" w:line="360" w:lineRule="auto"/>
        <w:ind w:firstLine="480"/>
        <w:outlineLvl w:val="2"/>
        <w:rPr>
          <w:rFonts w:cs="宋体" w:asciiTheme="majorEastAsia" w:hAnsiTheme="majorEastAsia" w:eastAsiaTheme="majorEastAsia"/>
          <w:bCs/>
          <w:sz w:val="24"/>
        </w:rPr>
      </w:pPr>
      <w:r>
        <w:rPr>
          <w:rFonts w:hint="eastAsia" w:cs="宋体" w:asciiTheme="majorEastAsia" w:hAnsiTheme="majorEastAsia" w:eastAsiaTheme="majorEastAsia"/>
          <w:bCs/>
          <w:sz w:val="24"/>
        </w:rPr>
        <w:t>3.2竣工后路面技术要求</w:t>
      </w:r>
    </w:p>
    <w:p w14:paraId="41C77AD0">
      <w:pPr>
        <w:spacing w:line="360" w:lineRule="auto"/>
        <w:ind w:firstLine="480" w:firstLineChars="200"/>
        <w:rPr>
          <w:rFonts w:hint="eastAsia" w:cs="宋体" w:asciiTheme="majorEastAsia" w:hAnsiTheme="majorEastAsia" w:eastAsiaTheme="majorEastAsia"/>
          <w:bCs/>
          <w:sz w:val="24"/>
          <w:szCs w:val="22"/>
          <w:lang w:eastAsia="zh-CN"/>
        </w:rPr>
      </w:pPr>
      <w:r>
        <w:rPr>
          <w:rFonts w:hint="eastAsia" w:cs="宋体" w:asciiTheme="majorEastAsia" w:hAnsiTheme="majorEastAsia" w:eastAsiaTheme="majorEastAsia"/>
          <w:bCs/>
          <w:sz w:val="24"/>
          <w:szCs w:val="22"/>
        </w:rPr>
        <w:t>彩浆防滑封层为表面功能层，施工质量验收指标应符合下表要求</w:t>
      </w:r>
      <w:r>
        <w:rPr>
          <w:rFonts w:hint="eastAsia" w:cs="宋体" w:asciiTheme="majorEastAsia" w:hAnsiTheme="majorEastAsia" w:eastAsiaTheme="majorEastAsia"/>
          <w:bCs/>
          <w:sz w:val="24"/>
          <w:szCs w:val="22"/>
          <w:lang w:eastAsia="zh-CN"/>
        </w:rPr>
        <w:t>：</w:t>
      </w:r>
    </w:p>
    <w:p w14:paraId="1596CC09">
      <w:pPr>
        <w:spacing w:line="360" w:lineRule="auto"/>
        <w:ind w:firstLine="480"/>
        <w:jc w:val="center"/>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彩浆防滑封层路面质量验收标准</w:t>
      </w:r>
    </w:p>
    <w:tbl>
      <w:tblPr>
        <w:tblStyle w:val="25"/>
        <w:tblW w:w="47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92"/>
        <w:gridCol w:w="1768"/>
        <w:gridCol w:w="3998"/>
      </w:tblGrid>
      <w:tr w14:paraId="4A673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840" w:type="dxa"/>
            <w:vAlign w:val="center"/>
          </w:tcPr>
          <w:p w14:paraId="57489A48">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项目</w:t>
            </w:r>
          </w:p>
        </w:tc>
        <w:tc>
          <w:tcPr>
            <w:tcW w:w="1804" w:type="dxa"/>
            <w:vAlign w:val="center"/>
          </w:tcPr>
          <w:p w14:paraId="12A17ADC">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单位</w:t>
            </w:r>
          </w:p>
        </w:tc>
        <w:tc>
          <w:tcPr>
            <w:tcW w:w="4253" w:type="dxa"/>
            <w:vAlign w:val="center"/>
          </w:tcPr>
          <w:p w14:paraId="004060CC">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技术要求</w:t>
            </w:r>
          </w:p>
        </w:tc>
      </w:tr>
      <w:tr w14:paraId="675D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vAlign w:val="center"/>
          </w:tcPr>
          <w:p w14:paraId="17149020">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摆值</w:t>
            </w:r>
          </w:p>
        </w:tc>
        <w:tc>
          <w:tcPr>
            <w:tcW w:w="1804" w:type="dxa"/>
            <w:vAlign w:val="center"/>
          </w:tcPr>
          <w:p w14:paraId="65B89FA2">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BPN</w:t>
            </w:r>
          </w:p>
        </w:tc>
        <w:tc>
          <w:tcPr>
            <w:tcW w:w="4253" w:type="dxa"/>
            <w:vAlign w:val="center"/>
          </w:tcPr>
          <w:p w14:paraId="7D64F745">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不小于50（机动车道）</w:t>
            </w:r>
          </w:p>
        </w:tc>
      </w:tr>
      <w:tr w14:paraId="4DA94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vAlign w:val="center"/>
          </w:tcPr>
          <w:p w14:paraId="376A0CCA">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渗水系数</w:t>
            </w:r>
          </w:p>
        </w:tc>
        <w:tc>
          <w:tcPr>
            <w:tcW w:w="1804" w:type="dxa"/>
            <w:vAlign w:val="center"/>
          </w:tcPr>
          <w:p w14:paraId="11220C9A">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ml/min</w:t>
            </w:r>
          </w:p>
        </w:tc>
        <w:tc>
          <w:tcPr>
            <w:tcW w:w="4253" w:type="dxa"/>
            <w:vAlign w:val="center"/>
          </w:tcPr>
          <w:p w14:paraId="65808064">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不大于10</w:t>
            </w:r>
          </w:p>
        </w:tc>
      </w:tr>
      <w:tr w14:paraId="61C55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40" w:type="dxa"/>
            <w:vAlign w:val="center"/>
          </w:tcPr>
          <w:p w14:paraId="307F5B14">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厚度</w:t>
            </w:r>
          </w:p>
        </w:tc>
        <w:tc>
          <w:tcPr>
            <w:tcW w:w="1804" w:type="dxa"/>
            <w:vAlign w:val="center"/>
          </w:tcPr>
          <w:p w14:paraId="4BCF3AAD">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mm</w:t>
            </w:r>
          </w:p>
        </w:tc>
        <w:tc>
          <w:tcPr>
            <w:tcW w:w="4253" w:type="dxa"/>
            <w:vAlign w:val="center"/>
          </w:tcPr>
          <w:p w14:paraId="095C9FEF">
            <w:pPr>
              <w:ind w:firstLine="480"/>
              <w:jc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设计值-15%，均值不小于设计要求。</w:t>
            </w:r>
          </w:p>
        </w:tc>
      </w:tr>
    </w:tbl>
    <w:p w14:paraId="021F8A0E">
      <w:pPr>
        <w:keepNext/>
        <w:keepLines/>
        <w:spacing w:before="260" w:after="260" w:line="416" w:lineRule="auto"/>
        <w:ind w:firstLine="480"/>
        <w:outlineLvl w:val="2"/>
        <w:rPr>
          <w:rFonts w:cs="宋体" w:asciiTheme="majorEastAsia" w:hAnsiTheme="majorEastAsia" w:eastAsiaTheme="majorEastAsia"/>
          <w:bCs/>
          <w:sz w:val="24"/>
        </w:rPr>
      </w:pPr>
      <w:r>
        <w:rPr>
          <w:rFonts w:hint="eastAsia" w:cs="宋体" w:asciiTheme="majorEastAsia" w:hAnsiTheme="majorEastAsia" w:eastAsiaTheme="majorEastAsia"/>
          <w:bCs/>
          <w:sz w:val="24"/>
        </w:rPr>
        <w:t>3.3红色警示颗粒封层路面施工工艺</w:t>
      </w:r>
    </w:p>
    <w:p w14:paraId="544208F8">
      <w:pPr>
        <w:numPr>
          <w:ilvl w:val="0"/>
          <w:numId w:val="4"/>
        </w:numPr>
        <w:spacing w:line="360" w:lineRule="auto"/>
        <w:ind w:firstLine="480" w:firstLineChars="200"/>
        <w:rPr>
          <w:rFonts w:cs="宋体" w:asciiTheme="majorEastAsia" w:hAnsiTheme="majorEastAsia" w:eastAsiaTheme="majorEastAsia"/>
          <w:sz w:val="24"/>
          <w:szCs w:val="22"/>
        </w:rPr>
      </w:pPr>
      <w:r>
        <w:rPr>
          <w:rFonts w:hint="eastAsia" w:cs="宋体" w:asciiTheme="majorEastAsia" w:hAnsiTheme="majorEastAsia" w:eastAsiaTheme="majorEastAsia"/>
          <w:bCs/>
          <w:sz w:val="24"/>
          <w:szCs w:val="22"/>
        </w:rPr>
        <w:t>对现有的沥青路面应先进行清洁除尘处理，有轻微病害的路面（麻坑、微裂缝及轻微坑塘），采用颗粒封层浆料补平。</w:t>
      </w:r>
    </w:p>
    <w:p w14:paraId="5E059A3A">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（2）采用纸质胶带粘贴地面设定施工区域边界，并保护周边构造物。</w:t>
      </w:r>
    </w:p>
    <w:p w14:paraId="0FD1B142">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（3）按配比先将称量好的水和高聚合共混树脂乳液（A组份）、固化粉料（B组份）混合，搅拌均匀。</w:t>
      </w:r>
    </w:p>
    <w:p w14:paraId="5D19D868">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（4）启动颗粒封层喷浆设备，将拌和好的混合料匀速倒入喷浆设备喷斗，调整胶料杆到合适转速，喷涂的浆料雾化均匀，然后喷涂在路表面，使表面形成薄的红色浆料遮罩层，保持原沥青路面的构造度。</w:t>
      </w:r>
    </w:p>
    <w:p w14:paraId="182C98B2">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（5）待红色浆料遮罩层初步达到强度后，强度尚未完全形成前，揭除胶带，尽量减少胶带上黏附料对路面的污染。</w:t>
      </w:r>
    </w:p>
    <w:p w14:paraId="26157C02">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（6）完工后的路面需养生</w:t>
      </w:r>
      <w:r>
        <w:rPr>
          <w:rFonts w:cs="宋体" w:asciiTheme="majorEastAsia" w:hAnsiTheme="majorEastAsia" w:eastAsiaTheme="majorEastAsia"/>
          <w:bCs/>
          <w:sz w:val="24"/>
          <w:szCs w:val="22"/>
        </w:rPr>
        <w:t>2-4</w:t>
      </w:r>
      <w:r>
        <w:rPr>
          <w:rFonts w:hint="eastAsia" w:cs="宋体" w:asciiTheme="majorEastAsia" w:hAnsiTheme="majorEastAsia" w:eastAsiaTheme="majorEastAsia"/>
          <w:bCs/>
          <w:sz w:val="24"/>
          <w:szCs w:val="22"/>
        </w:rPr>
        <w:t>小时，待路表干燥并具有一定的强度，继续后续的颗粒表面层工艺施工。</w:t>
      </w:r>
    </w:p>
    <w:p w14:paraId="0E678FDA">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7）同理第3、4、5步骤，将拌和好的混合料匀速倒入喷浆设备喷斗，调整胶料杆到合适转速，调整合适的气流量，使喷涂的浆料分散成均匀数量的颗粒团，然后喷洒在路表面，颗粒团粘接到路表面突起纹理，形成红色颗粒面层，增加路面的构造度。</w:t>
      </w:r>
    </w:p>
    <w:p w14:paraId="4D045106">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（8）待红色浆料遮罩层初步达到强度后，强度尚未完全形成前，揭除胶带，尽量减少胶带上黏附料对路面的污染。</w:t>
      </w:r>
    </w:p>
    <w:p w14:paraId="456054F8">
      <w:pPr>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（9）完工后的路面需养生</w:t>
      </w:r>
      <w:r>
        <w:rPr>
          <w:rFonts w:cs="宋体" w:asciiTheme="majorEastAsia" w:hAnsiTheme="majorEastAsia" w:eastAsiaTheme="majorEastAsia"/>
          <w:bCs/>
          <w:sz w:val="24"/>
          <w:szCs w:val="22"/>
        </w:rPr>
        <w:t>3-5</w:t>
      </w:r>
      <w:r>
        <w:rPr>
          <w:rFonts w:hint="eastAsia" w:cs="宋体" w:asciiTheme="majorEastAsia" w:hAnsiTheme="majorEastAsia" w:eastAsiaTheme="majorEastAsia"/>
          <w:bCs/>
          <w:sz w:val="24"/>
          <w:szCs w:val="22"/>
        </w:rPr>
        <w:t>小时，待路表干燥并达到设计强度后可开放交通。应保证红色警示颗粒封层施工后12小时后，无降雨。</w:t>
      </w:r>
    </w:p>
    <w:p w14:paraId="7C96CAC8">
      <w:pPr>
        <w:adjustRightInd w:val="0"/>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w:t>
      </w:r>
      <w:r>
        <w:rPr>
          <w:rFonts w:cs="宋体" w:asciiTheme="majorEastAsia" w:hAnsiTheme="majorEastAsia" w:eastAsiaTheme="majorEastAsia"/>
          <w:bCs/>
          <w:sz w:val="24"/>
          <w:szCs w:val="22"/>
        </w:rPr>
        <w:t>1</w:t>
      </w:r>
      <w:r>
        <w:rPr>
          <w:rFonts w:hint="eastAsia" w:cs="宋体" w:asciiTheme="majorEastAsia" w:hAnsiTheme="majorEastAsia" w:eastAsiaTheme="majorEastAsia"/>
          <w:bCs/>
          <w:sz w:val="24"/>
          <w:szCs w:val="22"/>
        </w:rPr>
        <w:t>0）施工期间应避免雨淋，施工气温不低于10℃。</w:t>
      </w:r>
    </w:p>
    <w:p w14:paraId="0074BE6F">
      <w:pPr>
        <w:tabs>
          <w:tab w:val="left" w:pos="0"/>
        </w:tabs>
        <w:spacing w:line="360" w:lineRule="auto"/>
        <w:ind w:firstLine="470" w:firstLineChars="196"/>
        <w:rPr>
          <w:rFonts w:cs="宋体" w:asciiTheme="majorEastAsia" w:hAnsiTheme="majorEastAsia" w:eastAsiaTheme="majorEastAsia"/>
          <w:b/>
          <w:bCs/>
          <w:sz w:val="24"/>
        </w:rPr>
      </w:pPr>
      <w:r>
        <w:rPr>
          <w:rFonts w:hint="eastAsia" w:cs="宋体" w:asciiTheme="majorEastAsia" w:hAnsiTheme="majorEastAsia" w:eastAsiaTheme="majorEastAsia"/>
          <w:bCs/>
          <w:sz w:val="24"/>
          <w:szCs w:val="22"/>
        </w:rPr>
        <w:t>（</w:t>
      </w:r>
      <w:r>
        <w:rPr>
          <w:rFonts w:cs="宋体" w:asciiTheme="majorEastAsia" w:hAnsiTheme="majorEastAsia" w:eastAsiaTheme="majorEastAsia"/>
          <w:bCs/>
          <w:sz w:val="24"/>
          <w:szCs w:val="22"/>
        </w:rPr>
        <w:t>1</w:t>
      </w:r>
      <w:r>
        <w:rPr>
          <w:rFonts w:hint="eastAsia" w:cs="宋体" w:asciiTheme="majorEastAsia" w:hAnsiTheme="majorEastAsia" w:eastAsiaTheme="majorEastAsia"/>
          <w:bCs/>
          <w:sz w:val="24"/>
          <w:szCs w:val="22"/>
        </w:rPr>
        <w:t>1）高架道路须确保夜间施工，次日凌晨6:00前达到安全通行要求。</w:t>
      </w:r>
    </w:p>
    <w:p w14:paraId="6DFB934E">
      <w:pPr>
        <w:tabs>
          <w:tab w:val="left" w:pos="0"/>
        </w:tabs>
        <w:spacing w:line="360" w:lineRule="auto"/>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四、采购标的数量、采购项目交付或者实施的时间和地点</w:t>
      </w:r>
    </w:p>
    <w:p w14:paraId="5E589552">
      <w:pPr>
        <w:widowControl/>
        <w:spacing w:before="100" w:after="100" w:line="480" w:lineRule="exact"/>
        <w:ind w:firstLine="480" w:firstLineChars="200"/>
        <w:jc w:val="left"/>
        <w:rPr>
          <w:rFonts w:ascii="宋体" w:hAnsi="宋体" w:cs="宋体"/>
          <w:bCs/>
          <w:sz w:val="24"/>
          <w:szCs w:val="22"/>
        </w:rPr>
      </w:pPr>
      <w:r>
        <w:rPr>
          <w:rFonts w:hint="eastAsia" w:ascii="宋体" w:hAnsi="宋体" w:cs="宋体"/>
          <w:bCs/>
          <w:sz w:val="24"/>
          <w:szCs w:val="22"/>
        </w:rPr>
        <w:t>1、采购标的数量</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936"/>
        <w:gridCol w:w="1418"/>
        <w:gridCol w:w="1275"/>
        <w:gridCol w:w="2177"/>
      </w:tblGrid>
      <w:tr w14:paraId="2241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6" w:type="dxa"/>
            <w:noWrap/>
            <w:vAlign w:val="center"/>
          </w:tcPr>
          <w:p w14:paraId="4E2EDB22">
            <w:pPr>
              <w:jc w:val="center"/>
              <w:rPr>
                <w:b/>
                <w:sz w:val="24"/>
              </w:rPr>
            </w:pPr>
            <w:r>
              <w:rPr>
                <w:rFonts w:hint="eastAsia"/>
                <w:b/>
                <w:sz w:val="24"/>
              </w:rPr>
              <w:t>序号</w:t>
            </w:r>
          </w:p>
        </w:tc>
        <w:tc>
          <w:tcPr>
            <w:tcW w:w="2936" w:type="dxa"/>
            <w:noWrap/>
            <w:vAlign w:val="center"/>
          </w:tcPr>
          <w:p w14:paraId="4142523A">
            <w:pPr>
              <w:ind w:firstLine="482"/>
              <w:jc w:val="center"/>
              <w:rPr>
                <w:b/>
                <w:sz w:val="24"/>
              </w:rPr>
            </w:pPr>
            <w:r>
              <w:rPr>
                <w:rFonts w:hint="eastAsia"/>
                <w:b/>
                <w:sz w:val="24"/>
              </w:rPr>
              <w:t>项目名称</w:t>
            </w:r>
          </w:p>
        </w:tc>
        <w:tc>
          <w:tcPr>
            <w:tcW w:w="1418" w:type="dxa"/>
            <w:noWrap/>
            <w:vAlign w:val="center"/>
          </w:tcPr>
          <w:p w14:paraId="4D750AA1">
            <w:pPr>
              <w:ind w:firstLine="482"/>
              <w:jc w:val="center"/>
              <w:rPr>
                <w:b/>
                <w:sz w:val="24"/>
              </w:rPr>
            </w:pPr>
            <w:r>
              <w:rPr>
                <w:rFonts w:hint="eastAsia"/>
                <w:b/>
                <w:sz w:val="24"/>
              </w:rPr>
              <w:t>单位</w:t>
            </w:r>
          </w:p>
        </w:tc>
        <w:tc>
          <w:tcPr>
            <w:tcW w:w="1275" w:type="dxa"/>
            <w:noWrap/>
            <w:vAlign w:val="center"/>
          </w:tcPr>
          <w:p w14:paraId="35835E47">
            <w:pPr>
              <w:rPr>
                <w:b/>
                <w:sz w:val="24"/>
              </w:rPr>
            </w:pPr>
            <w:r>
              <w:rPr>
                <w:rFonts w:hint="eastAsia"/>
                <w:b/>
                <w:sz w:val="24"/>
              </w:rPr>
              <w:t>暂估量</w:t>
            </w:r>
          </w:p>
        </w:tc>
        <w:tc>
          <w:tcPr>
            <w:tcW w:w="2177" w:type="dxa"/>
            <w:noWrap/>
            <w:vAlign w:val="center"/>
          </w:tcPr>
          <w:p w14:paraId="5C74BF47">
            <w:pPr>
              <w:ind w:firstLine="482"/>
              <w:jc w:val="center"/>
              <w:rPr>
                <w:b/>
                <w:sz w:val="24"/>
              </w:rPr>
            </w:pPr>
            <w:r>
              <w:rPr>
                <w:rFonts w:hint="eastAsia"/>
                <w:b/>
                <w:sz w:val="24"/>
              </w:rPr>
              <w:t>备注</w:t>
            </w:r>
          </w:p>
        </w:tc>
      </w:tr>
      <w:tr w14:paraId="579F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6" w:type="dxa"/>
            <w:noWrap/>
            <w:vAlign w:val="center"/>
          </w:tcPr>
          <w:p w14:paraId="175AA9D6">
            <w:pPr>
              <w:spacing w:line="240" w:lineRule="auto"/>
              <w:jc w:val="center"/>
              <w:rPr>
                <w:sz w:val="24"/>
              </w:rPr>
            </w:pPr>
            <w:r>
              <w:rPr>
                <w:rFonts w:hint="eastAsia"/>
                <w:sz w:val="24"/>
              </w:rPr>
              <w:t>1</w:t>
            </w:r>
          </w:p>
        </w:tc>
        <w:tc>
          <w:tcPr>
            <w:tcW w:w="2936" w:type="dxa"/>
            <w:noWrap/>
            <w:vAlign w:val="center"/>
          </w:tcPr>
          <w:p w14:paraId="21EFE47F">
            <w:pPr>
              <w:spacing w:line="240" w:lineRule="auto"/>
              <w:rPr>
                <w:sz w:val="24"/>
              </w:rPr>
            </w:pPr>
            <w:r>
              <w:rPr>
                <w:rFonts w:hint="eastAsia"/>
                <w:sz w:val="24"/>
              </w:rPr>
              <w:t>彩浆封层路面（应用于沥青路面，厚度1.5mm）</w:t>
            </w:r>
          </w:p>
        </w:tc>
        <w:tc>
          <w:tcPr>
            <w:tcW w:w="1418" w:type="dxa"/>
            <w:noWrap/>
            <w:vAlign w:val="center"/>
          </w:tcPr>
          <w:p w14:paraId="74713C58">
            <w:pPr>
              <w:spacing w:line="240" w:lineRule="auto"/>
              <w:jc w:val="center"/>
              <w:rPr>
                <w:sz w:val="24"/>
              </w:rPr>
            </w:pPr>
            <w:r>
              <w:rPr>
                <w:rFonts w:hint="eastAsia"/>
                <w:sz w:val="24"/>
              </w:rPr>
              <w:t>㎡</w:t>
            </w:r>
          </w:p>
        </w:tc>
        <w:tc>
          <w:tcPr>
            <w:tcW w:w="1275" w:type="dxa"/>
            <w:noWrap/>
            <w:vAlign w:val="center"/>
          </w:tcPr>
          <w:p w14:paraId="3150F4A5">
            <w:pPr>
              <w:spacing w:line="240" w:lineRule="auto"/>
              <w:jc w:val="center"/>
              <w:rPr>
                <w:sz w:val="24"/>
              </w:rPr>
            </w:pPr>
            <w:r>
              <w:rPr>
                <w:rFonts w:hint="eastAsia"/>
                <w:sz w:val="24"/>
              </w:rPr>
              <w:t>200</w:t>
            </w:r>
          </w:p>
        </w:tc>
        <w:tc>
          <w:tcPr>
            <w:tcW w:w="2177" w:type="dxa"/>
            <w:noWrap/>
            <w:vAlign w:val="center"/>
          </w:tcPr>
          <w:p w14:paraId="54AC1529">
            <w:pPr>
              <w:spacing w:line="240" w:lineRule="auto"/>
              <w:jc w:val="center"/>
              <w:rPr>
                <w:sz w:val="24"/>
              </w:rPr>
            </w:pPr>
            <w:r>
              <w:rPr>
                <w:rFonts w:hint="eastAsia"/>
                <w:sz w:val="24"/>
              </w:rPr>
              <w:t>全色系</w:t>
            </w:r>
          </w:p>
        </w:tc>
      </w:tr>
      <w:tr w14:paraId="6E78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ign w:val="center"/>
          </w:tcPr>
          <w:p w14:paraId="104C25E6">
            <w:pPr>
              <w:spacing w:line="240" w:lineRule="auto"/>
              <w:jc w:val="center"/>
              <w:rPr>
                <w:sz w:val="24"/>
              </w:rPr>
            </w:pPr>
            <w:r>
              <w:rPr>
                <w:rFonts w:hint="eastAsia"/>
                <w:sz w:val="24"/>
              </w:rPr>
              <w:t>2</w:t>
            </w:r>
          </w:p>
        </w:tc>
        <w:tc>
          <w:tcPr>
            <w:tcW w:w="2936" w:type="dxa"/>
            <w:noWrap/>
            <w:vAlign w:val="center"/>
          </w:tcPr>
          <w:p w14:paraId="38DCFE62">
            <w:pPr>
              <w:spacing w:line="240" w:lineRule="auto"/>
              <w:rPr>
                <w:sz w:val="24"/>
              </w:rPr>
            </w:pPr>
            <w:r>
              <w:rPr>
                <w:rFonts w:hint="eastAsia"/>
                <w:sz w:val="24"/>
              </w:rPr>
              <w:t>彩浆封层路面（应用于水泥砼路桥面，厚度1.5mm）</w:t>
            </w:r>
          </w:p>
        </w:tc>
        <w:tc>
          <w:tcPr>
            <w:tcW w:w="1418" w:type="dxa"/>
            <w:noWrap/>
            <w:vAlign w:val="center"/>
          </w:tcPr>
          <w:p w14:paraId="11AE3858">
            <w:pPr>
              <w:spacing w:line="240" w:lineRule="auto"/>
              <w:jc w:val="center"/>
              <w:rPr>
                <w:sz w:val="24"/>
              </w:rPr>
            </w:pPr>
            <w:r>
              <w:rPr>
                <w:rFonts w:hint="eastAsia"/>
                <w:sz w:val="24"/>
              </w:rPr>
              <w:t>㎡</w:t>
            </w:r>
          </w:p>
        </w:tc>
        <w:tc>
          <w:tcPr>
            <w:tcW w:w="1275" w:type="dxa"/>
            <w:noWrap/>
            <w:vAlign w:val="center"/>
          </w:tcPr>
          <w:p w14:paraId="4EC6DEC6">
            <w:pPr>
              <w:spacing w:line="240" w:lineRule="auto"/>
              <w:jc w:val="center"/>
              <w:rPr>
                <w:sz w:val="24"/>
              </w:rPr>
            </w:pPr>
            <w:r>
              <w:rPr>
                <w:rFonts w:hint="eastAsia"/>
                <w:sz w:val="24"/>
              </w:rPr>
              <w:t>1000</w:t>
            </w:r>
          </w:p>
        </w:tc>
        <w:tc>
          <w:tcPr>
            <w:tcW w:w="2177" w:type="dxa"/>
            <w:noWrap/>
            <w:vAlign w:val="center"/>
          </w:tcPr>
          <w:p w14:paraId="48732F00">
            <w:pPr>
              <w:spacing w:line="240" w:lineRule="auto"/>
              <w:jc w:val="center"/>
              <w:rPr>
                <w:sz w:val="24"/>
              </w:rPr>
            </w:pPr>
            <w:r>
              <w:rPr>
                <w:rFonts w:hint="eastAsia"/>
                <w:sz w:val="24"/>
              </w:rPr>
              <w:t>全色系</w:t>
            </w:r>
          </w:p>
        </w:tc>
      </w:tr>
      <w:tr w14:paraId="78BF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ign w:val="center"/>
          </w:tcPr>
          <w:p w14:paraId="4699BAF3">
            <w:pPr>
              <w:spacing w:line="240" w:lineRule="auto"/>
              <w:jc w:val="center"/>
              <w:rPr>
                <w:sz w:val="24"/>
              </w:rPr>
            </w:pPr>
            <w:r>
              <w:rPr>
                <w:rFonts w:hint="eastAsia"/>
                <w:sz w:val="24"/>
              </w:rPr>
              <w:t>3</w:t>
            </w:r>
          </w:p>
        </w:tc>
        <w:tc>
          <w:tcPr>
            <w:tcW w:w="2936" w:type="dxa"/>
            <w:noWrap/>
            <w:vAlign w:val="center"/>
          </w:tcPr>
          <w:p w14:paraId="45596F4C">
            <w:pPr>
              <w:spacing w:line="240" w:lineRule="auto"/>
              <w:rPr>
                <w:sz w:val="24"/>
              </w:rPr>
            </w:pPr>
            <w:r>
              <w:rPr>
                <w:rFonts w:hint="eastAsia"/>
                <w:sz w:val="24"/>
              </w:rPr>
              <w:t>匝道红色警示颗粒封层路面（应用于高架匝道路面，厚度3mm）</w:t>
            </w:r>
          </w:p>
        </w:tc>
        <w:tc>
          <w:tcPr>
            <w:tcW w:w="1418" w:type="dxa"/>
            <w:noWrap/>
            <w:vAlign w:val="center"/>
          </w:tcPr>
          <w:p w14:paraId="273A47F1">
            <w:pPr>
              <w:spacing w:line="240" w:lineRule="auto"/>
              <w:jc w:val="center"/>
              <w:rPr>
                <w:sz w:val="24"/>
              </w:rPr>
            </w:pPr>
            <w:r>
              <w:rPr>
                <w:rFonts w:hint="eastAsia"/>
                <w:sz w:val="24"/>
              </w:rPr>
              <w:t>㎡</w:t>
            </w:r>
          </w:p>
        </w:tc>
        <w:tc>
          <w:tcPr>
            <w:tcW w:w="1275" w:type="dxa"/>
            <w:noWrap/>
            <w:vAlign w:val="center"/>
          </w:tcPr>
          <w:p w14:paraId="3336B4A0">
            <w:pPr>
              <w:spacing w:line="240" w:lineRule="auto"/>
              <w:jc w:val="center"/>
              <w:rPr>
                <w:sz w:val="24"/>
              </w:rPr>
            </w:pPr>
            <w:r>
              <w:rPr>
                <w:rFonts w:hint="eastAsia"/>
                <w:sz w:val="24"/>
              </w:rPr>
              <w:t>3000</w:t>
            </w:r>
          </w:p>
        </w:tc>
        <w:tc>
          <w:tcPr>
            <w:tcW w:w="2177" w:type="dxa"/>
            <w:noWrap/>
            <w:vAlign w:val="center"/>
          </w:tcPr>
          <w:p w14:paraId="350AF193">
            <w:pPr>
              <w:spacing w:line="240" w:lineRule="auto"/>
              <w:jc w:val="center"/>
              <w:rPr>
                <w:sz w:val="24"/>
              </w:rPr>
            </w:pPr>
            <w:r>
              <w:rPr>
                <w:rFonts w:hint="eastAsia"/>
                <w:sz w:val="24"/>
              </w:rPr>
              <w:t>全色系</w:t>
            </w:r>
          </w:p>
        </w:tc>
      </w:tr>
    </w:tbl>
    <w:p w14:paraId="053B0A43">
      <w:pPr>
        <w:adjustRightInd w:val="0"/>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2、交付（实施）时间：自接到通知之日起2日内完成供货并开始施工，具体阶段性完成时间以采购人需求为准。</w:t>
      </w:r>
    </w:p>
    <w:p w14:paraId="38C8B6EA">
      <w:pPr>
        <w:adjustRightInd w:val="0"/>
        <w:spacing w:line="360" w:lineRule="auto"/>
        <w:ind w:firstLine="480" w:firstLineChars="200"/>
        <w:rPr>
          <w:rFonts w:cs="宋体" w:asciiTheme="majorEastAsia" w:hAnsiTheme="majorEastAsia" w:eastAsiaTheme="majorEastAsia"/>
          <w:bCs/>
          <w:sz w:val="24"/>
          <w:szCs w:val="22"/>
        </w:rPr>
      </w:pPr>
      <w:r>
        <w:rPr>
          <w:rFonts w:hint="eastAsia" w:cs="宋体" w:asciiTheme="majorEastAsia" w:hAnsiTheme="majorEastAsia" w:eastAsiaTheme="majorEastAsia"/>
          <w:bCs/>
          <w:sz w:val="24"/>
          <w:szCs w:val="22"/>
        </w:rPr>
        <w:t>3、交付（实施）地点：采购人指定地点。</w:t>
      </w:r>
    </w:p>
    <w:p w14:paraId="2E89CEA4">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五、采购标的需满足的服务标准、期限、效率等要求</w:t>
      </w:r>
    </w:p>
    <w:p w14:paraId="428C6297">
      <w:pPr>
        <w:spacing w:line="360" w:lineRule="auto"/>
        <w:ind w:firstLine="480" w:firstLineChars="200"/>
        <w:rPr>
          <w:rFonts w:ascii="宋体" w:hAnsi="宋体" w:cs="宋体"/>
          <w:sz w:val="24"/>
        </w:rPr>
      </w:pPr>
      <w:r>
        <w:rPr>
          <w:rFonts w:hint="eastAsia" w:ascii="宋体" w:hAnsi="宋体" w:cs="宋体"/>
          <w:sz w:val="24"/>
        </w:rPr>
        <w:t>1、服务标准：根据采购标的需执行的国家相关标准、行业标准、地方标准或者其他标准、规范以及采购人的要求，完成相应的工作。</w:t>
      </w:r>
    </w:p>
    <w:p w14:paraId="5B5513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2、服务期限：自合同签订之日起1年或服务期1年内合同结算总金额达到55万元，则合同终止。</w:t>
      </w:r>
    </w:p>
    <w:p w14:paraId="3E19A351">
      <w:pPr>
        <w:adjustRightInd w:val="0"/>
        <w:spacing w:line="440" w:lineRule="exact"/>
        <w:ind w:firstLine="480" w:firstLineChars="200"/>
        <w:rPr>
          <w:rFonts w:ascii="宋体" w:hAnsi="宋体" w:cs="宋体"/>
          <w:sz w:val="24"/>
        </w:rPr>
      </w:pPr>
      <w:r>
        <w:rPr>
          <w:rFonts w:hint="eastAsia" w:ascii="宋体" w:hAnsi="宋体" w:cs="宋体"/>
          <w:sz w:val="24"/>
        </w:rPr>
        <w:t>3、服务效率：</w:t>
      </w:r>
    </w:p>
    <w:p w14:paraId="2DB0692C">
      <w:pPr>
        <w:adjustRightInd w:val="0"/>
        <w:spacing w:line="440" w:lineRule="exact"/>
        <w:ind w:firstLine="480" w:firstLineChars="200"/>
        <w:rPr>
          <w:rFonts w:hint="eastAsia" w:ascii="宋体" w:hAnsi="宋体" w:cs="宋体"/>
          <w:sz w:val="24"/>
        </w:rPr>
      </w:pPr>
      <w:r>
        <w:rPr>
          <w:rFonts w:hint="eastAsia" w:ascii="宋体" w:hAnsi="宋体" w:cs="宋体"/>
          <w:sz w:val="24"/>
        </w:rPr>
        <w:t>自接到通知之日起2日内完成供货并开始施工，具体阶段性完成时间以采购人需求为准。供应商在每批次货物施工前需派专员到施工现场进行测量并要确保相应批次货物能够符合要求，供应商应承担货物无法使用所产生的返工、运输、仓储等所有费用。</w:t>
      </w:r>
    </w:p>
    <w:p w14:paraId="0AEA6CD7">
      <w:pPr>
        <w:adjustRightInd w:val="0"/>
        <w:spacing w:line="440" w:lineRule="exact"/>
        <w:ind w:firstLine="480" w:firstLineChars="200"/>
        <w:rPr>
          <w:rFonts w:ascii="宋体" w:hAnsi="宋体" w:cs="宋体"/>
          <w:sz w:val="24"/>
        </w:rPr>
      </w:pPr>
      <w:r>
        <w:rPr>
          <w:rFonts w:hint="eastAsia" w:ascii="宋体" w:hAnsi="宋体" w:cs="宋体"/>
          <w:sz w:val="24"/>
        </w:rPr>
        <w:t>投标供应商须充分考虑测量、生产、运输、产品不符合要求返工等其他所有因素所需用时。因本项目为重要民生项目工期紧张，如因供应商导致延误超过3天，甲方有权罚扣履约保证金，超过7天则有权解除合同。</w:t>
      </w:r>
    </w:p>
    <w:p w14:paraId="356C4AC6">
      <w:pPr>
        <w:spacing w:line="360" w:lineRule="auto"/>
        <w:ind w:firstLine="480" w:firstLineChars="200"/>
        <w:rPr>
          <w:rFonts w:ascii="宋体" w:hAnsi="宋体"/>
          <w:sz w:val="24"/>
        </w:rPr>
      </w:pPr>
      <w:r>
        <w:rPr>
          <w:rFonts w:hint="eastAsia" w:ascii="宋体" w:hAnsi="宋体" w:cs="宋体"/>
          <w:sz w:val="24"/>
        </w:rPr>
        <w:t>合同期内根据招标人要求及时提供优质服务并自行办理车辆通行证</w:t>
      </w:r>
      <w:r>
        <w:rPr>
          <w:rFonts w:hint="eastAsia" w:ascii="宋体" w:hAnsi="宋体"/>
          <w:sz w:val="24"/>
        </w:rPr>
        <w:t>。</w:t>
      </w:r>
    </w:p>
    <w:p w14:paraId="48A9928E">
      <w:pPr>
        <w:tabs>
          <w:tab w:val="left" w:pos="0"/>
        </w:tabs>
        <w:spacing w:line="360" w:lineRule="auto"/>
        <w:ind w:firstLine="472" w:firstLineChars="196"/>
        <w:rPr>
          <w:rFonts w:ascii="宋体" w:hAnsi="宋体" w:cs="宋体"/>
          <w:b/>
          <w:bCs/>
          <w:sz w:val="24"/>
        </w:rPr>
      </w:pPr>
      <w:r>
        <w:rPr>
          <w:rFonts w:hint="eastAsia" w:ascii="宋体" w:hAnsi="宋体" w:cs="宋体"/>
          <w:b/>
          <w:bCs/>
          <w:sz w:val="24"/>
        </w:rPr>
        <w:t>六、采购标的验收标准及考核</w:t>
      </w:r>
    </w:p>
    <w:p w14:paraId="4087BFCF">
      <w:pPr>
        <w:tabs>
          <w:tab w:val="left" w:pos="2020"/>
          <w:tab w:val="center" w:pos="4535"/>
        </w:tabs>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按照采购文件及国家相关标准验收</w:t>
      </w:r>
    </w:p>
    <w:p w14:paraId="4C305793">
      <w:pPr>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服务供应商接受南通市市政设施管理处的日常考核和管理。</w:t>
      </w:r>
    </w:p>
    <w:p w14:paraId="70B6B1B9">
      <w:pPr>
        <w:spacing w:line="360" w:lineRule="auto"/>
        <w:ind w:firstLine="480" w:firstLineChars="200"/>
        <w:contextualSpacing/>
        <w:rPr>
          <w:rFonts w:ascii="宋体" w:hAnsi="宋体" w:eastAsia="宋体" w:cs="宋体"/>
          <w:kern w:val="0"/>
          <w:sz w:val="15"/>
          <w:szCs w:val="15"/>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采购人</w:t>
      </w:r>
      <w:r>
        <w:rPr>
          <w:rFonts w:hint="eastAsia" w:ascii="宋体" w:hAnsi="宋体" w:eastAsia="宋体" w:cs="宋体"/>
          <w:color w:val="auto"/>
          <w:kern w:val="0"/>
          <w:sz w:val="24"/>
          <w:szCs w:val="24"/>
        </w:rPr>
        <w:t>从</w:t>
      </w:r>
      <w:r>
        <w:rPr>
          <w:rFonts w:hint="eastAsia" w:ascii="宋体" w:hAnsi="宋体" w:eastAsia="宋体" w:cs="宋体"/>
          <w:color w:val="auto"/>
          <w:kern w:val="0"/>
          <w:sz w:val="24"/>
          <w:szCs w:val="24"/>
          <w:lang w:val="en-US" w:eastAsia="zh-CN"/>
        </w:rPr>
        <w:t>服务态度</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工程质量</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工程管理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资料管理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服务效率、其他</w:t>
      </w:r>
      <w:r>
        <w:rPr>
          <w:rFonts w:hint="eastAsia" w:ascii="宋体" w:hAnsi="宋体" w:eastAsia="宋体" w:cs="宋体"/>
          <w:color w:val="auto"/>
          <w:kern w:val="0"/>
          <w:sz w:val="24"/>
          <w:szCs w:val="24"/>
        </w:rPr>
        <w:t>等方面进行考核。在合同履约期限内，采购人可定期组织开展履约考核工作，考核频次不低于每</w:t>
      </w:r>
      <w:r>
        <w:rPr>
          <w:rFonts w:hint="eastAsia" w:ascii="宋体" w:hAnsi="宋体" w:eastAsia="宋体" w:cs="宋体"/>
          <w:color w:val="auto"/>
          <w:kern w:val="0"/>
          <w:sz w:val="24"/>
          <w:szCs w:val="24"/>
          <w:lang w:val="en-US" w:eastAsia="zh-CN"/>
        </w:rPr>
        <w:t>周</w:t>
      </w:r>
      <w:r>
        <w:rPr>
          <w:rFonts w:hint="eastAsia" w:ascii="宋体" w:hAnsi="宋体" w:eastAsia="宋体" w:cs="宋体"/>
          <w:color w:val="auto"/>
          <w:kern w:val="0"/>
          <w:sz w:val="24"/>
          <w:szCs w:val="24"/>
        </w:rPr>
        <w:t>一次（施工期间）。</w:t>
      </w:r>
      <w:r>
        <w:rPr>
          <w:rFonts w:hint="eastAsia" w:ascii="宋体" w:hAnsi="宋体" w:eastAsia="宋体" w:cs="宋体"/>
          <w:kern w:val="0"/>
          <w:sz w:val="24"/>
          <w:szCs w:val="24"/>
        </w:rPr>
        <w:t>考核结果一式贰份，采购人和服务供应商各持壹份。具体内容如下：</w:t>
      </w:r>
    </w:p>
    <w:p w14:paraId="34AC5164">
      <w:pPr>
        <w:spacing w:line="52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南通市市政市政设施管理处</w:t>
      </w:r>
      <w:r>
        <w:rPr>
          <w:rFonts w:hint="eastAsia" w:ascii="宋体" w:hAnsi="宋体" w:eastAsia="宋体" w:cs="宋体"/>
          <w:sz w:val="24"/>
          <w:szCs w:val="24"/>
          <w:lang w:val="en-US" w:eastAsia="zh-CN"/>
        </w:rPr>
        <w:t>彩浆封层、颗粒封层采购</w:t>
      </w:r>
      <w:r>
        <w:rPr>
          <w:rFonts w:hint="eastAsia" w:ascii="宋体" w:hAnsi="宋体" w:eastAsia="宋体" w:cs="宋体"/>
          <w:sz w:val="24"/>
          <w:szCs w:val="24"/>
        </w:rPr>
        <w:t>项目</w:t>
      </w:r>
    </w:p>
    <w:p w14:paraId="7AADAA30">
      <w:pPr>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履约考核评分表</w:t>
      </w:r>
    </w:p>
    <w:p w14:paraId="2F116C5D">
      <w:pPr>
        <w:spacing w:line="520" w:lineRule="exact"/>
        <w:ind w:firstLine="482"/>
        <w:rPr>
          <w:rFonts w:ascii="宋体" w:hAnsi="宋体" w:eastAsia="宋体" w:cs="宋体"/>
          <w:sz w:val="24"/>
          <w:szCs w:val="24"/>
        </w:rPr>
      </w:pPr>
      <w:r>
        <w:rPr>
          <w:rFonts w:hint="eastAsia" w:ascii="宋体" w:hAnsi="宋体" w:eastAsia="宋体" w:cs="宋体"/>
          <w:sz w:val="24"/>
          <w:szCs w:val="24"/>
        </w:rPr>
        <w:t>服务单位名称：</w:t>
      </w:r>
    </w:p>
    <w:p w14:paraId="630EC974">
      <w:pPr>
        <w:spacing w:line="520" w:lineRule="exact"/>
        <w:ind w:firstLine="482"/>
        <w:rPr>
          <w:rFonts w:ascii="宋体" w:hAnsi="宋体" w:eastAsia="宋体" w:cs="宋体"/>
          <w:sz w:val="24"/>
          <w:szCs w:val="24"/>
        </w:rPr>
      </w:pPr>
      <w:r>
        <w:rPr>
          <w:rFonts w:hint="eastAsia" w:ascii="宋体" w:hAnsi="宋体" w:eastAsia="宋体" w:cs="宋体"/>
          <w:sz w:val="24"/>
          <w:szCs w:val="24"/>
        </w:rPr>
        <w:t>合同编号：                              考核日期：   年   月    日</w:t>
      </w:r>
    </w:p>
    <w:tbl>
      <w:tblPr>
        <w:tblStyle w:val="2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7145"/>
        <w:gridCol w:w="1003"/>
      </w:tblGrid>
      <w:tr w14:paraId="7DC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004CD633">
            <w:pPr>
              <w:autoSpaceDE w:val="0"/>
              <w:spacing w:beforeLines="20" w:afterLines="20" w:line="360" w:lineRule="auto"/>
              <w:ind w:right="105" w:rightChars="50"/>
              <w:jc w:val="center"/>
              <w:rPr>
                <w:rFonts w:ascii="宋体" w:hAnsi="宋体" w:eastAsia="宋体" w:cs="宋体"/>
                <w:b/>
                <w:sz w:val="22"/>
              </w:rPr>
            </w:pPr>
            <w:r>
              <w:rPr>
                <w:rFonts w:hint="eastAsia" w:ascii="宋体" w:hAnsi="宋体" w:eastAsia="宋体" w:cs="宋体"/>
                <w:b/>
                <w:sz w:val="22"/>
              </w:rPr>
              <w:t>评分内容</w:t>
            </w:r>
          </w:p>
        </w:tc>
        <w:tc>
          <w:tcPr>
            <w:tcW w:w="7145" w:type="dxa"/>
            <w:tcBorders>
              <w:top w:val="single" w:color="auto" w:sz="4" w:space="0"/>
              <w:left w:val="nil"/>
              <w:bottom w:val="single" w:color="auto" w:sz="4" w:space="0"/>
              <w:right w:val="single" w:color="auto" w:sz="4" w:space="0"/>
            </w:tcBorders>
            <w:noWrap/>
            <w:vAlign w:val="center"/>
          </w:tcPr>
          <w:p w14:paraId="7FA7DCA3">
            <w:pPr>
              <w:autoSpaceDE w:val="0"/>
              <w:spacing w:beforeLines="20" w:afterLines="20" w:line="360" w:lineRule="auto"/>
              <w:ind w:right="105" w:rightChars="50"/>
              <w:jc w:val="center"/>
              <w:rPr>
                <w:rFonts w:ascii="宋体" w:hAnsi="宋体" w:eastAsia="宋体" w:cs="宋体"/>
                <w:b/>
                <w:sz w:val="22"/>
              </w:rPr>
            </w:pPr>
            <w:r>
              <w:rPr>
                <w:rFonts w:hint="eastAsia" w:ascii="宋体" w:hAnsi="宋体" w:eastAsia="宋体" w:cs="宋体"/>
                <w:b/>
                <w:sz w:val="22"/>
              </w:rPr>
              <w:t>考 核 内 容</w:t>
            </w:r>
          </w:p>
        </w:tc>
        <w:tc>
          <w:tcPr>
            <w:tcW w:w="1003" w:type="dxa"/>
            <w:tcBorders>
              <w:top w:val="single" w:color="auto" w:sz="4" w:space="0"/>
              <w:left w:val="nil"/>
              <w:bottom w:val="single" w:color="auto" w:sz="4" w:space="0"/>
              <w:right w:val="single" w:color="auto" w:sz="4" w:space="0"/>
            </w:tcBorders>
            <w:noWrap/>
            <w:vAlign w:val="center"/>
          </w:tcPr>
          <w:p w14:paraId="09467CD4">
            <w:pPr>
              <w:autoSpaceDE w:val="0"/>
              <w:spacing w:beforeLines="20" w:afterLines="20" w:line="360" w:lineRule="auto"/>
              <w:ind w:left="105" w:leftChars="50" w:right="105" w:rightChars="50"/>
              <w:jc w:val="center"/>
              <w:rPr>
                <w:rFonts w:ascii="宋体" w:hAnsi="宋体" w:eastAsia="宋体" w:cs="宋体"/>
                <w:b/>
                <w:sz w:val="22"/>
              </w:rPr>
            </w:pPr>
            <w:r>
              <w:rPr>
                <w:rFonts w:hint="eastAsia" w:ascii="宋体" w:hAnsi="宋体" w:eastAsia="宋体" w:cs="宋体"/>
                <w:b/>
                <w:sz w:val="22"/>
              </w:rPr>
              <w:t>考核分</w:t>
            </w:r>
          </w:p>
        </w:tc>
      </w:tr>
      <w:tr w14:paraId="71C9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ign w:val="center"/>
          </w:tcPr>
          <w:p w14:paraId="59182E1A">
            <w:pPr>
              <w:spacing w:beforeLines="20" w:afterLines="20" w:line="360" w:lineRule="auto"/>
              <w:ind w:left="105"/>
              <w:jc w:val="center"/>
              <w:rPr>
                <w:rFonts w:ascii="宋体" w:hAnsi="宋体" w:eastAsia="宋体" w:cs="宋体"/>
                <w:b/>
                <w:bCs/>
                <w:color w:val="auto"/>
                <w:sz w:val="22"/>
              </w:rPr>
            </w:pPr>
            <w:r>
              <w:rPr>
                <w:rFonts w:hint="eastAsia" w:ascii="宋体" w:hAnsi="宋体" w:eastAsia="宋体" w:cs="宋体"/>
                <w:b/>
                <w:bCs/>
                <w:color w:val="auto"/>
                <w:sz w:val="22"/>
              </w:rPr>
              <w:t>服务态度</w:t>
            </w:r>
          </w:p>
        </w:tc>
        <w:tc>
          <w:tcPr>
            <w:tcW w:w="7145" w:type="dxa"/>
            <w:tcBorders>
              <w:top w:val="single" w:color="auto" w:sz="4" w:space="0"/>
              <w:left w:val="nil"/>
              <w:bottom w:val="single" w:color="auto" w:sz="4" w:space="0"/>
              <w:right w:val="single" w:color="auto" w:sz="4" w:space="0"/>
            </w:tcBorders>
            <w:noWrap/>
            <w:vAlign w:val="center"/>
          </w:tcPr>
          <w:p w14:paraId="36255758">
            <w:pPr>
              <w:spacing w:beforeLines="50" w:afterLines="50"/>
              <w:jc w:val="left"/>
              <w:rPr>
                <w:rFonts w:ascii="宋体" w:hAnsi="宋体" w:eastAsia="宋体" w:cs="宋体"/>
                <w:color w:val="auto"/>
                <w:kern w:val="0"/>
                <w:sz w:val="22"/>
              </w:rPr>
            </w:pPr>
            <w:r>
              <w:rPr>
                <w:rFonts w:hint="eastAsia" w:ascii="宋体" w:hAnsi="宋体" w:eastAsia="宋体" w:cs="宋体"/>
                <w:color w:val="auto"/>
                <w:kern w:val="0"/>
                <w:sz w:val="22"/>
              </w:rPr>
              <w:t>1、对采购人在合同约定范围内发出的合理指令不及时反馈、不及时落实、沟通态度欠佳</w:t>
            </w:r>
            <w:r>
              <w:rPr>
                <w:rFonts w:hint="eastAsia" w:ascii="宋体" w:hAnsi="宋体" w:eastAsia="宋体" w:cs="宋体"/>
                <w:color w:val="auto"/>
                <w:kern w:val="0"/>
                <w:sz w:val="22"/>
                <w:lang w:val="en-US" w:eastAsia="zh-CN"/>
              </w:rPr>
              <w:t>等服务态度不满足要求</w:t>
            </w:r>
            <w:r>
              <w:rPr>
                <w:rFonts w:hint="eastAsia" w:ascii="宋体" w:hAnsi="宋体" w:eastAsia="宋体" w:cs="宋体"/>
                <w:color w:val="auto"/>
                <w:kern w:val="0"/>
                <w:sz w:val="22"/>
              </w:rPr>
              <w:t>的，每次扣5分。</w:t>
            </w:r>
          </w:p>
        </w:tc>
        <w:tc>
          <w:tcPr>
            <w:tcW w:w="1003" w:type="dxa"/>
            <w:tcBorders>
              <w:top w:val="single" w:color="auto" w:sz="4" w:space="0"/>
              <w:left w:val="nil"/>
              <w:bottom w:val="single" w:color="auto" w:sz="4" w:space="0"/>
              <w:right w:val="single" w:color="auto" w:sz="4" w:space="0"/>
            </w:tcBorders>
            <w:noWrap/>
            <w:vAlign w:val="center"/>
          </w:tcPr>
          <w:p w14:paraId="0C256B92">
            <w:pPr>
              <w:autoSpaceDE w:val="0"/>
              <w:spacing w:beforeLines="20" w:afterLines="20" w:line="360" w:lineRule="auto"/>
              <w:ind w:left="105" w:leftChars="50" w:right="105" w:rightChars="50" w:firstLine="442"/>
              <w:rPr>
                <w:rFonts w:ascii="宋体" w:hAnsi="宋体" w:eastAsia="宋体" w:cs="宋体"/>
                <w:sz w:val="22"/>
              </w:rPr>
            </w:pPr>
          </w:p>
        </w:tc>
      </w:tr>
      <w:tr w14:paraId="52D7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0FE8B7A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default"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工程质量</w:t>
            </w:r>
          </w:p>
        </w:tc>
        <w:tc>
          <w:tcPr>
            <w:tcW w:w="7145" w:type="dxa"/>
            <w:tcBorders>
              <w:top w:val="single" w:color="auto" w:sz="4" w:space="0"/>
              <w:left w:val="nil"/>
              <w:bottom w:val="single" w:color="auto" w:sz="4" w:space="0"/>
              <w:right w:val="single" w:color="auto" w:sz="4" w:space="0"/>
            </w:tcBorders>
            <w:noWrap/>
            <w:vAlign w:val="center"/>
          </w:tcPr>
          <w:p w14:paraId="24BB4B04">
            <w:pPr>
              <w:spacing w:beforeLines="50" w:afterLines="50"/>
              <w:jc w:val="left"/>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1、厚度、表面平整、接缝密实、抗滑、耐磨、外观效果等质量不合格的，每次扣2分，并整改。</w:t>
            </w:r>
          </w:p>
        </w:tc>
        <w:tc>
          <w:tcPr>
            <w:tcW w:w="1003" w:type="dxa"/>
            <w:tcBorders>
              <w:top w:val="single" w:color="auto" w:sz="4" w:space="0"/>
              <w:left w:val="nil"/>
              <w:bottom w:val="single" w:color="auto" w:sz="4" w:space="0"/>
              <w:right w:val="single" w:color="auto" w:sz="4" w:space="0"/>
            </w:tcBorders>
            <w:noWrap/>
            <w:vAlign w:val="center"/>
          </w:tcPr>
          <w:p w14:paraId="33397E6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sz w:val="22"/>
              </w:rPr>
            </w:pPr>
          </w:p>
        </w:tc>
      </w:tr>
      <w:tr w14:paraId="0E1D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1340" w:type="dxa"/>
            <w:vMerge w:val="continue"/>
            <w:tcBorders>
              <w:left w:val="single" w:color="auto" w:sz="4" w:space="0"/>
              <w:right w:val="single" w:color="auto" w:sz="4" w:space="0"/>
            </w:tcBorders>
            <w:noWrap/>
            <w:vAlign w:val="center"/>
          </w:tcPr>
          <w:p w14:paraId="1DE17AF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1EF557A6">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2、材料不合格的，每次扣5分。</w:t>
            </w:r>
          </w:p>
        </w:tc>
        <w:tc>
          <w:tcPr>
            <w:tcW w:w="1003" w:type="dxa"/>
            <w:tcBorders>
              <w:top w:val="single" w:color="auto" w:sz="4" w:space="0"/>
              <w:left w:val="nil"/>
              <w:bottom w:val="single" w:color="auto" w:sz="4" w:space="0"/>
              <w:right w:val="single" w:color="auto" w:sz="4" w:space="0"/>
            </w:tcBorders>
            <w:noWrap/>
            <w:vAlign w:val="center"/>
          </w:tcPr>
          <w:p w14:paraId="1D6FBBB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sz w:val="22"/>
              </w:rPr>
            </w:pPr>
          </w:p>
        </w:tc>
      </w:tr>
      <w:tr w14:paraId="5688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1340" w:type="dxa"/>
            <w:vMerge w:val="continue"/>
            <w:tcBorders>
              <w:left w:val="single" w:color="auto" w:sz="4" w:space="0"/>
              <w:right w:val="single" w:color="auto" w:sz="4" w:space="0"/>
            </w:tcBorders>
            <w:noWrap/>
            <w:vAlign w:val="center"/>
          </w:tcPr>
          <w:p w14:paraId="0955E52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63CF6DD3">
            <w:pPr>
              <w:spacing w:beforeLines="50" w:afterLines="50"/>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3、工程存在质量缺陷的，每次扣10分。</w:t>
            </w:r>
          </w:p>
        </w:tc>
        <w:tc>
          <w:tcPr>
            <w:tcW w:w="1003" w:type="dxa"/>
            <w:tcBorders>
              <w:top w:val="single" w:color="auto" w:sz="4" w:space="0"/>
              <w:left w:val="nil"/>
              <w:bottom w:val="single" w:color="auto" w:sz="4" w:space="0"/>
              <w:right w:val="single" w:color="auto" w:sz="4" w:space="0"/>
            </w:tcBorders>
            <w:noWrap/>
            <w:vAlign w:val="center"/>
          </w:tcPr>
          <w:p w14:paraId="541D236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sz w:val="22"/>
              </w:rPr>
            </w:pPr>
          </w:p>
        </w:tc>
      </w:tr>
      <w:tr w14:paraId="7659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51BFBF6E">
            <w:pPr>
              <w:spacing w:beforeLines="20" w:afterLines="20" w:line="360" w:lineRule="auto"/>
              <w:ind w:right="105" w:rightChars="50"/>
              <w:jc w:val="center"/>
              <w:rPr>
                <w:rFonts w:ascii="宋体" w:hAnsi="宋体" w:eastAsia="宋体" w:cs="宋体"/>
                <w:b/>
                <w:bCs/>
                <w:color w:val="auto"/>
                <w:sz w:val="22"/>
              </w:rPr>
            </w:pPr>
            <w:r>
              <w:rPr>
                <w:rFonts w:hint="eastAsia" w:ascii="宋体" w:hAnsi="宋体" w:eastAsia="宋体" w:cs="宋体"/>
                <w:b/>
                <w:bCs/>
                <w:color w:val="auto"/>
                <w:sz w:val="22"/>
              </w:rPr>
              <w:t>工程管理</w:t>
            </w:r>
          </w:p>
        </w:tc>
        <w:tc>
          <w:tcPr>
            <w:tcW w:w="7145" w:type="dxa"/>
            <w:tcBorders>
              <w:top w:val="single" w:color="auto" w:sz="4" w:space="0"/>
              <w:left w:val="nil"/>
              <w:bottom w:val="single" w:color="auto" w:sz="4" w:space="0"/>
              <w:right w:val="single" w:color="auto" w:sz="4" w:space="0"/>
            </w:tcBorders>
            <w:noWrap/>
            <w:vAlign w:val="center"/>
          </w:tcPr>
          <w:p w14:paraId="23A3F322">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1、工程进度不符合</w:t>
            </w:r>
            <w:r>
              <w:rPr>
                <w:rFonts w:hint="eastAsia" w:ascii="宋体" w:hAnsi="宋体" w:eastAsia="宋体" w:cs="宋体"/>
                <w:color w:val="auto"/>
                <w:kern w:val="0"/>
                <w:sz w:val="22"/>
                <w:lang w:val="en-US" w:eastAsia="zh-CN"/>
              </w:rPr>
              <w:t>要求</w:t>
            </w:r>
            <w:r>
              <w:rPr>
                <w:rFonts w:hint="eastAsia" w:ascii="宋体" w:hAnsi="宋体" w:eastAsia="宋体" w:cs="宋体"/>
                <w:color w:val="auto"/>
                <w:kern w:val="0"/>
                <w:sz w:val="22"/>
              </w:rPr>
              <w:t>的，每次扣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分。每多延误一天，扣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分/天。</w:t>
            </w:r>
          </w:p>
        </w:tc>
        <w:tc>
          <w:tcPr>
            <w:tcW w:w="1003" w:type="dxa"/>
            <w:tcBorders>
              <w:top w:val="single" w:color="auto" w:sz="4" w:space="0"/>
              <w:left w:val="nil"/>
              <w:bottom w:val="single" w:color="auto" w:sz="4" w:space="0"/>
              <w:right w:val="single" w:color="auto" w:sz="4" w:space="0"/>
            </w:tcBorders>
            <w:noWrap/>
            <w:vAlign w:val="center"/>
          </w:tcPr>
          <w:p w14:paraId="2BFCD840">
            <w:pPr>
              <w:autoSpaceDE w:val="0"/>
              <w:spacing w:beforeLines="20" w:afterLines="20" w:line="360" w:lineRule="auto"/>
              <w:ind w:left="105" w:leftChars="50" w:right="105" w:rightChars="50" w:firstLine="442"/>
              <w:rPr>
                <w:rFonts w:ascii="宋体" w:hAnsi="宋体" w:eastAsia="宋体" w:cs="宋体"/>
                <w:sz w:val="22"/>
              </w:rPr>
            </w:pPr>
          </w:p>
        </w:tc>
      </w:tr>
      <w:tr w14:paraId="3C38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776E5BC9">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1E8BD98B">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2、工程</w:t>
            </w:r>
            <w:r>
              <w:rPr>
                <w:rFonts w:hint="eastAsia" w:ascii="宋体" w:hAnsi="宋体" w:eastAsia="宋体" w:cs="宋体"/>
                <w:color w:val="auto"/>
                <w:kern w:val="0"/>
                <w:sz w:val="22"/>
                <w:lang w:val="en-US" w:eastAsia="zh-CN"/>
              </w:rPr>
              <w:t>发生</w:t>
            </w:r>
            <w:r>
              <w:rPr>
                <w:rFonts w:hint="eastAsia" w:ascii="宋体" w:hAnsi="宋体" w:eastAsia="宋体" w:cs="宋体"/>
                <w:color w:val="auto"/>
                <w:kern w:val="0"/>
                <w:sz w:val="22"/>
              </w:rPr>
              <w:t>安全</w:t>
            </w:r>
            <w:r>
              <w:rPr>
                <w:rFonts w:hint="eastAsia" w:ascii="宋体" w:hAnsi="宋体" w:eastAsia="宋体" w:cs="宋体"/>
                <w:color w:val="auto"/>
                <w:kern w:val="0"/>
                <w:sz w:val="22"/>
                <w:lang w:val="en-US" w:eastAsia="zh-CN"/>
              </w:rPr>
              <w:t>事故</w:t>
            </w:r>
            <w:r>
              <w:rPr>
                <w:rFonts w:hint="eastAsia" w:ascii="宋体" w:hAnsi="宋体" w:eastAsia="宋体" w:cs="宋体"/>
                <w:color w:val="auto"/>
                <w:kern w:val="0"/>
                <w:sz w:val="22"/>
              </w:rPr>
              <w:t>的，每次扣</w:t>
            </w: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44D68FE2">
            <w:pPr>
              <w:autoSpaceDE w:val="0"/>
              <w:spacing w:beforeLines="20" w:afterLines="20" w:line="360" w:lineRule="auto"/>
              <w:ind w:left="105" w:leftChars="50" w:right="105" w:rightChars="50" w:firstLine="442"/>
              <w:rPr>
                <w:rFonts w:ascii="宋体" w:hAnsi="宋体" w:eastAsia="宋体" w:cs="宋体"/>
                <w:sz w:val="22"/>
              </w:rPr>
            </w:pPr>
          </w:p>
        </w:tc>
      </w:tr>
      <w:tr w14:paraId="152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6622C4A5">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77D28415">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现场围挡不规范、着装穿戴不统一、现场布置、作业等</w:t>
            </w:r>
            <w:r>
              <w:rPr>
                <w:rFonts w:hint="eastAsia" w:ascii="宋体" w:hAnsi="宋体" w:eastAsia="宋体" w:cs="宋体"/>
                <w:color w:val="auto"/>
                <w:kern w:val="0"/>
                <w:sz w:val="22"/>
              </w:rPr>
              <w:t>不符合安全文明施工要求的，每次扣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34CF7EF9">
            <w:pPr>
              <w:autoSpaceDE w:val="0"/>
              <w:spacing w:beforeLines="20" w:afterLines="20" w:line="360" w:lineRule="auto"/>
              <w:ind w:left="105" w:leftChars="50" w:right="105" w:rightChars="50" w:firstLine="442"/>
              <w:rPr>
                <w:rFonts w:ascii="宋体" w:hAnsi="宋体" w:eastAsia="宋体" w:cs="宋体"/>
                <w:sz w:val="22"/>
              </w:rPr>
            </w:pPr>
          </w:p>
        </w:tc>
      </w:tr>
      <w:tr w14:paraId="1D4C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1340" w:type="dxa"/>
            <w:vMerge w:val="continue"/>
            <w:tcBorders>
              <w:left w:val="single" w:color="auto" w:sz="4" w:space="0"/>
              <w:right w:val="single" w:color="auto" w:sz="4" w:space="0"/>
            </w:tcBorders>
            <w:noWrap/>
            <w:vAlign w:val="center"/>
          </w:tcPr>
          <w:p w14:paraId="36916A58">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348C6644">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、对验收中发现的问题未按要求整改或整改不彻底的 ，每次扣</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2349B696">
            <w:pPr>
              <w:autoSpaceDE w:val="0"/>
              <w:spacing w:beforeLines="20" w:afterLines="20" w:line="360" w:lineRule="auto"/>
              <w:ind w:left="105" w:leftChars="50" w:right="105" w:rightChars="50" w:firstLine="442"/>
              <w:rPr>
                <w:rFonts w:ascii="宋体" w:hAnsi="宋体" w:eastAsia="宋体" w:cs="宋体"/>
                <w:sz w:val="22"/>
              </w:rPr>
            </w:pPr>
          </w:p>
        </w:tc>
      </w:tr>
      <w:tr w14:paraId="22FB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right w:val="single" w:color="auto" w:sz="4" w:space="0"/>
            </w:tcBorders>
            <w:noWrap/>
            <w:vAlign w:val="center"/>
          </w:tcPr>
          <w:p w14:paraId="4D8B5981">
            <w:pPr>
              <w:autoSpaceDE w:val="0"/>
              <w:spacing w:beforeLines="20" w:afterLines="20" w:line="360" w:lineRule="auto"/>
              <w:ind w:right="105" w:rightChars="50"/>
              <w:jc w:val="center"/>
              <w:rPr>
                <w:rFonts w:ascii="宋体" w:hAnsi="宋体" w:eastAsia="宋体" w:cs="宋体"/>
                <w:b/>
                <w:bCs/>
                <w:color w:val="auto"/>
                <w:sz w:val="22"/>
              </w:rPr>
            </w:pPr>
            <w:r>
              <w:rPr>
                <w:rFonts w:hint="eastAsia" w:ascii="宋体" w:hAnsi="宋体" w:eastAsia="宋体" w:cs="宋体"/>
                <w:b/>
                <w:bCs/>
                <w:color w:val="auto"/>
                <w:sz w:val="22"/>
              </w:rPr>
              <w:t>资料管理</w:t>
            </w:r>
          </w:p>
        </w:tc>
        <w:tc>
          <w:tcPr>
            <w:tcW w:w="7145" w:type="dxa"/>
            <w:tcBorders>
              <w:top w:val="single" w:color="auto" w:sz="4" w:space="0"/>
              <w:left w:val="nil"/>
              <w:bottom w:val="single" w:color="auto" w:sz="4" w:space="0"/>
              <w:right w:val="single" w:color="auto" w:sz="4" w:space="0"/>
            </w:tcBorders>
            <w:noWrap/>
            <w:vAlign w:val="center"/>
          </w:tcPr>
          <w:p w14:paraId="341377D8">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1、验收资料、验收单记录不完整或未按要求提供的，每次扣2分。经采购人提醒后任未整改到位的，每次扣</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3F3F42FF">
            <w:pPr>
              <w:autoSpaceDE w:val="0"/>
              <w:spacing w:beforeLines="20" w:afterLines="20" w:line="360" w:lineRule="auto"/>
              <w:ind w:left="105" w:leftChars="50" w:right="105" w:rightChars="50" w:firstLine="442"/>
              <w:rPr>
                <w:rFonts w:ascii="宋体" w:hAnsi="宋体" w:eastAsia="宋体" w:cs="宋体"/>
                <w:sz w:val="22"/>
              </w:rPr>
            </w:pPr>
          </w:p>
        </w:tc>
      </w:tr>
      <w:tr w14:paraId="3F42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02006FB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lang w:val="en-US" w:eastAsia="zh-CN"/>
              </w:rPr>
              <w:t>服务效率</w:t>
            </w:r>
          </w:p>
        </w:tc>
        <w:tc>
          <w:tcPr>
            <w:tcW w:w="7145" w:type="dxa"/>
            <w:tcBorders>
              <w:top w:val="single" w:color="auto" w:sz="4" w:space="0"/>
              <w:left w:val="nil"/>
              <w:bottom w:val="single" w:color="auto" w:sz="4" w:space="0"/>
              <w:right w:val="single" w:color="auto" w:sz="4" w:space="0"/>
            </w:tcBorders>
            <w:noWrap/>
            <w:vAlign w:val="center"/>
          </w:tcPr>
          <w:p w14:paraId="4335CC4E">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1、未按业主要去进场，每次扣5分。每延误一天，扣2分/天。</w:t>
            </w:r>
          </w:p>
        </w:tc>
        <w:tc>
          <w:tcPr>
            <w:tcW w:w="1003" w:type="dxa"/>
            <w:tcBorders>
              <w:top w:val="single" w:color="auto" w:sz="4" w:space="0"/>
              <w:left w:val="nil"/>
              <w:bottom w:val="single" w:color="auto" w:sz="4" w:space="0"/>
              <w:right w:val="single" w:color="auto" w:sz="4" w:space="0"/>
            </w:tcBorders>
            <w:noWrap/>
            <w:vAlign w:val="center"/>
          </w:tcPr>
          <w:p w14:paraId="5995AE9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sz w:val="22"/>
              </w:rPr>
            </w:pPr>
          </w:p>
        </w:tc>
      </w:tr>
      <w:tr w14:paraId="63D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2EC5B4E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60CA3D40">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2、投入人员、设备数量不足影响施工的，每次扣5分。</w:t>
            </w:r>
          </w:p>
        </w:tc>
        <w:tc>
          <w:tcPr>
            <w:tcW w:w="1003" w:type="dxa"/>
            <w:tcBorders>
              <w:top w:val="single" w:color="auto" w:sz="4" w:space="0"/>
              <w:left w:val="nil"/>
              <w:bottom w:val="single" w:color="auto" w:sz="4" w:space="0"/>
              <w:right w:val="single" w:color="auto" w:sz="4" w:space="0"/>
            </w:tcBorders>
            <w:noWrap/>
            <w:vAlign w:val="center"/>
          </w:tcPr>
          <w:p w14:paraId="5DE0B5C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sz w:val="22"/>
              </w:rPr>
            </w:pPr>
          </w:p>
        </w:tc>
      </w:tr>
      <w:tr w14:paraId="68E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ign w:val="center"/>
          </w:tcPr>
          <w:p w14:paraId="0435D46F">
            <w:pPr>
              <w:autoSpaceDE w:val="0"/>
              <w:spacing w:beforeLines="20" w:afterLines="20" w:line="360" w:lineRule="auto"/>
              <w:ind w:right="105" w:rightChars="50"/>
              <w:jc w:val="center"/>
              <w:rPr>
                <w:rFonts w:ascii="宋体" w:hAnsi="宋体" w:eastAsia="宋体" w:cs="宋体"/>
                <w:b/>
                <w:bCs/>
                <w:sz w:val="22"/>
              </w:rPr>
            </w:pPr>
            <w:r>
              <w:rPr>
                <w:rFonts w:hint="eastAsia" w:ascii="宋体" w:hAnsi="宋体" w:eastAsia="宋体" w:cs="宋体"/>
                <w:b/>
                <w:bCs/>
                <w:sz w:val="22"/>
              </w:rPr>
              <w:t>其他</w:t>
            </w:r>
          </w:p>
        </w:tc>
        <w:tc>
          <w:tcPr>
            <w:tcW w:w="7145" w:type="dxa"/>
            <w:tcBorders>
              <w:top w:val="single" w:color="auto" w:sz="4" w:space="0"/>
              <w:left w:val="nil"/>
              <w:bottom w:val="single" w:color="auto" w:sz="4" w:space="0"/>
              <w:right w:val="single" w:color="auto" w:sz="4" w:space="0"/>
            </w:tcBorders>
            <w:noWrap/>
            <w:vAlign w:val="center"/>
          </w:tcPr>
          <w:p w14:paraId="04141267">
            <w:pPr>
              <w:spacing w:beforeLines="50" w:afterLines="50"/>
              <w:jc w:val="left"/>
              <w:rPr>
                <w:rFonts w:ascii="宋体" w:hAnsi="宋体" w:eastAsia="宋体" w:cs="宋体"/>
                <w:kern w:val="0"/>
                <w:sz w:val="22"/>
              </w:rPr>
            </w:pPr>
            <w:r>
              <w:rPr>
                <w:rFonts w:hint="eastAsia" w:ascii="宋体" w:hAnsi="宋体" w:eastAsia="宋体" w:cs="宋体"/>
                <w:kern w:val="0"/>
                <w:sz w:val="22"/>
              </w:rPr>
              <w:t>在上级检查过程中，因供应商自身原因产生不良后果的，扣40分。</w:t>
            </w:r>
          </w:p>
        </w:tc>
        <w:tc>
          <w:tcPr>
            <w:tcW w:w="1003" w:type="dxa"/>
            <w:tcBorders>
              <w:top w:val="single" w:color="auto" w:sz="4" w:space="0"/>
              <w:left w:val="nil"/>
              <w:bottom w:val="single" w:color="auto" w:sz="4" w:space="0"/>
              <w:right w:val="single" w:color="auto" w:sz="4" w:space="0"/>
            </w:tcBorders>
            <w:noWrap/>
            <w:vAlign w:val="center"/>
          </w:tcPr>
          <w:p w14:paraId="46227B4C">
            <w:pPr>
              <w:autoSpaceDE w:val="0"/>
              <w:spacing w:beforeLines="20" w:afterLines="20" w:line="360" w:lineRule="auto"/>
              <w:ind w:left="105" w:leftChars="50" w:right="105" w:rightChars="50" w:firstLine="442"/>
              <w:rPr>
                <w:rFonts w:ascii="宋体" w:hAnsi="宋体" w:eastAsia="宋体" w:cs="宋体"/>
                <w:sz w:val="22"/>
              </w:rPr>
            </w:pPr>
          </w:p>
        </w:tc>
      </w:tr>
      <w:tr w14:paraId="4CE5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6648AC03">
            <w:pPr>
              <w:autoSpaceDE w:val="0"/>
              <w:spacing w:beforeLines="20" w:afterLines="20" w:line="360" w:lineRule="auto"/>
              <w:ind w:right="105" w:rightChars="50"/>
              <w:jc w:val="center"/>
              <w:rPr>
                <w:rFonts w:ascii="宋体" w:hAnsi="宋体" w:eastAsia="宋体" w:cs="宋体"/>
                <w:b/>
                <w:sz w:val="22"/>
              </w:rPr>
            </w:pPr>
            <w:r>
              <w:rPr>
                <w:rFonts w:hint="eastAsia" w:ascii="宋体" w:hAnsi="宋体" w:eastAsia="宋体" w:cs="宋体"/>
                <w:b/>
                <w:sz w:val="22"/>
              </w:rPr>
              <w:t>考核得分</w:t>
            </w:r>
          </w:p>
        </w:tc>
        <w:tc>
          <w:tcPr>
            <w:tcW w:w="8148" w:type="dxa"/>
            <w:gridSpan w:val="2"/>
            <w:tcBorders>
              <w:top w:val="single" w:color="auto" w:sz="4" w:space="0"/>
              <w:left w:val="single" w:color="auto" w:sz="4" w:space="0"/>
              <w:bottom w:val="single" w:color="auto" w:sz="4" w:space="0"/>
              <w:right w:val="single" w:color="auto" w:sz="4" w:space="0"/>
            </w:tcBorders>
            <w:noWrap/>
            <w:vAlign w:val="center"/>
          </w:tcPr>
          <w:p w14:paraId="04965CF3">
            <w:pPr>
              <w:autoSpaceDE w:val="0"/>
              <w:spacing w:beforeLines="20" w:afterLines="20" w:line="360" w:lineRule="auto"/>
              <w:ind w:right="105" w:rightChars="50" w:firstLine="440"/>
              <w:jc w:val="left"/>
              <w:rPr>
                <w:rFonts w:ascii="宋体" w:hAnsi="宋体" w:eastAsia="宋体" w:cs="宋体"/>
                <w:b/>
                <w:bCs/>
                <w:sz w:val="22"/>
              </w:rPr>
            </w:pPr>
            <w:r>
              <w:rPr>
                <w:rFonts w:hint="eastAsia" w:ascii="宋体" w:hAnsi="宋体" w:eastAsia="宋体" w:cs="宋体"/>
                <w:b/>
                <w:bCs/>
                <w:sz w:val="22"/>
              </w:rPr>
              <w:t>总扣分：                               总得分：</w:t>
            </w:r>
          </w:p>
        </w:tc>
      </w:tr>
    </w:tbl>
    <w:p w14:paraId="66C75614">
      <w:pPr>
        <w:spacing w:line="360" w:lineRule="auto"/>
        <w:ind w:firstLine="480"/>
        <w:rPr>
          <w:rFonts w:ascii="宋体" w:hAnsi="宋体" w:eastAsia="宋体" w:cs="宋体"/>
          <w:b/>
          <w:bCs/>
          <w:sz w:val="24"/>
          <w:szCs w:val="24"/>
        </w:rPr>
      </w:pPr>
      <w:r>
        <w:rPr>
          <w:rFonts w:hint="eastAsia" w:ascii="宋体" w:hAnsi="宋体" w:eastAsia="宋体" w:cs="宋体"/>
          <w:b/>
          <w:bCs/>
          <w:sz w:val="24"/>
          <w:szCs w:val="24"/>
        </w:rPr>
        <w:t>说明：考核得分=100分－扣分项</w:t>
      </w:r>
    </w:p>
    <w:p w14:paraId="6DF26095">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（3）考核结果应用</w:t>
      </w:r>
    </w:p>
    <w:p w14:paraId="16CD6DD9">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1）单次考核总分值100分：</w:t>
      </w:r>
    </w:p>
    <w:p w14:paraId="05E78E30">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①得分90分（含）以上的不扣</w:t>
      </w:r>
      <w:r>
        <w:rPr>
          <w:rFonts w:hint="eastAsia" w:ascii="宋体" w:hAnsi="宋体" w:eastAsia="宋体" w:cs="宋体"/>
          <w:kern w:val="0"/>
          <w:sz w:val="24"/>
          <w:szCs w:val="24"/>
          <w:lang w:val="en-US" w:eastAsia="zh-CN"/>
        </w:rPr>
        <w:t>款</w:t>
      </w:r>
      <w:r>
        <w:rPr>
          <w:rFonts w:hint="eastAsia" w:ascii="宋体" w:hAnsi="宋体" w:eastAsia="宋体" w:cs="宋体"/>
          <w:kern w:val="0"/>
          <w:sz w:val="24"/>
          <w:szCs w:val="24"/>
        </w:rPr>
        <w:t>；</w:t>
      </w:r>
    </w:p>
    <w:p w14:paraId="2D651AF2">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②得分在90-70分（含）之间的扣</w:t>
      </w:r>
      <w:r>
        <w:rPr>
          <w:rFonts w:hint="eastAsia" w:ascii="宋体" w:hAnsi="宋体" w:eastAsia="宋体" w:cs="宋体"/>
          <w:kern w:val="0"/>
          <w:sz w:val="24"/>
          <w:szCs w:val="24"/>
          <w:lang w:val="en-US" w:eastAsia="zh-CN"/>
        </w:rPr>
        <w:t>款</w:t>
      </w:r>
      <w:r>
        <w:rPr>
          <w:rFonts w:hint="eastAsia" w:ascii="宋体" w:hAnsi="宋体" w:eastAsia="宋体" w:cs="宋体"/>
          <w:kern w:val="0"/>
          <w:sz w:val="24"/>
          <w:szCs w:val="24"/>
        </w:rPr>
        <w:t>5000元/次；</w:t>
      </w:r>
    </w:p>
    <w:p w14:paraId="007DEADA">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③得分低于70分的扣</w:t>
      </w:r>
      <w:r>
        <w:rPr>
          <w:rFonts w:hint="eastAsia" w:ascii="宋体" w:hAnsi="宋体" w:eastAsia="宋体" w:cs="宋体"/>
          <w:kern w:val="0"/>
          <w:sz w:val="24"/>
          <w:szCs w:val="24"/>
          <w:lang w:val="en-US" w:eastAsia="zh-CN"/>
        </w:rPr>
        <w:t>款</w:t>
      </w:r>
      <w:r>
        <w:rPr>
          <w:rFonts w:hint="eastAsia" w:ascii="宋体" w:hAnsi="宋体" w:eastAsia="宋体" w:cs="宋体"/>
          <w:kern w:val="0"/>
          <w:sz w:val="24"/>
          <w:szCs w:val="24"/>
        </w:rPr>
        <w:t>10000元，并且直接解除合同。</w:t>
      </w:r>
    </w:p>
    <w:p w14:paraId="525A99EA">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2）最终考核等次依据为历次考核得分平均分，考核等次纳入采购人的供应商信用评价体系：</w:t>
      </w:r>
    </w:p>
    <w:p w14:paraId="7F71072C">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①得分90分（含）以上的为优秀；</w:t>
      </w:r>
    </w:p>
    <w:p w14:paraId="4CDCF98B">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②得分在90-70分（含）之间的为合格；</w:t>
      </w:r>
    </w:p>
    <w:p w14:paraId="2B54E26B">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③得分低于70分为不合格。</w:t>
      </w:r>
    </w:p>
    <w:p w14:paraId="6DE78602">
      <w:pPr>
        <w:pStyle w:val="24"/>
        <w:ind w:left="199" w:leftChars="95" w:firstLine="198" w:firstLineChars="82"/>
        <w:rPr>
          <w:rFonts w:ascii="宋体" w:hAnsi="宋体" w:cs="宋体"/>
          <w:b/>
          <w:bCs/>
          <w:sz w:val="24"/>
        </w:rPr>
      </w:pPr>
      <w:r>
        <w:rPr>
          <w:rFonts w:hint="eastAsia" w:ascii="宋体" w:hAnsi="宋体" w:cs="宋体"/>
          <w:b/>
          <w:bCs/>
          <w:sz w:val="24"/>
        </w:rPr>
        <w:t>七、采购标的其他技术、服务等要求</w:t>
      </w:r>
    </w:p>
    <w:p w14:paraId="071A1333">
      <w:pPr>
        <w:adjustRightIn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1、投标供应商在中标后充分响应采购文件“项目需求”中各项要求，保质、保量、按时向招标人提供优质服务。</w:t>
      </w:r>
    </w:p>
    <w:p w14:paraId="7D87F1C1">
      <w:pPr>
        <w:adjustRightInd w:val="0"/>
        <w:spacing w:line="500" w:lineRule="exact"/>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2、投标供应商应充分考虑现场测量、货物生产（运输）、原材料价格、市内施工、产品返工等因素，在合同期内如因上述原因不能履行投标承诺，招标人按违约处理并立即终止合同。如因不可抗拒力导致无法履约的，投标供应商应以书面形式向招标人作出说明并征得招标人认可，否则作违约处理</w:t>
      </w:r>
      <w:r>
        <w:rPr>
          <w:rFonts w:hint="eastAsia" w:cs="宋体" w:asciiTheme="minorEastAsia" w:hAnsiTheme="minorEastAsia" w:eastAsiaTheme="minorEastAsia"/>
          <w:sz w:val="24"/>
          <w:lang w:eastAsia="zh-CN"/>
        </w:rPr>
        <w:t>。</w:t>
      </w:r>
    </w:p>
    <w:p w14:paraId="452473AE">
      <w:pPr>
        <w:adjustRightIn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投标供应商在合同期内需无条件配合采购人在数量、质量、服务、安全文明施工等方面的各项检查、抽查工作，并承担由此配合产生的费用。如在检查过程中发现不符合的情况，投标供应商接受相应处罚，并承担因此造成采购人相应工程项目中的所有损失。</w:t>
      </w:r>
    </w:p>
    <w:p w14:paraId="556DB676">
      <w:pPr>
        <w:adjustRightIn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本项目质保期两年。成交供应商在质保期内无偿负责由自身原因导致的裂缝、剥落、起鼓等质量问题。如成交供应商拒绝返工或无法达到修复标准的，招标人有权通知第三方实施隐患消除，所发生的费用在余款内扣除，超出部分由成交供应商承担。</w:t>
      </w:r>
    </w:p>
    <w:p w14:paraId="0542BF6F">
      <w:pPr>
        <w:adjustRightInd w:val="0"/>
        <w:spacing w:line="50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5、签订合同后，承包人必须根据发包人安排的地点，实施样板段施工。由发包人组织样板段验收（或检测）合格后，方可开始正式工程施工。样板段不合格的，进行二次样板段的施工。如二次验收（或检测）不合格，终止合同，同时发包人有权没收履约保证金。</w:t>
      </w:r>
    </w:p>
    <w:p w14:paraId="35AC571A">
      <w:pPr>
        <w:spacing w:line="360" w:lineRule="auto"/>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三、商务要求</w:t>
      </w:r>
    </w:p>
    <w:p w14:paraId="0CAAAC9A">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（一）采购标的数量、采购项目交付或者实施的时间和地点</w:t>
      </w:r>
    </w:p>
    <w:p w14:paraId="66C7AC83">
      <w:pPr>
        <w:spacing w:line="360" w:lineRule="auto"/>
        <w:ind w:firstLine="480" w:firstLineChars="200"/>
        <w:jc w:val="left"/>
        <w:rPr>
          <w:rFonts w:ascii="宋体" w:hAnsi="宋体" w:cs="宋体"/>
          <w:kern w:val="0"/>
          <w:sz w:val="24"/>
        </w:rPr>
      </w:pPr>
      <w:r>
        <w:rPr>
          <w:rFonts w:hint="eastAsia" w:ascii="宋体" w:hAnsi="宋体" w:cs="宋体"/>
          <w:kern w:val="0"/>
          <w:sz w:val="24"/>
        </w:rPr>
        <w:t>1、采购数量：以实际需求数量为准。</w:t>
      </w:r>
    </w:p>
    <w:p w14:paraId="26EC42F8">
      <w:pPr>
        <w:widowControl/>
        <w:snapToGrid w:val="0"/>
        <w:spacing w:line="360" w:lineRule="auto"/>
        <w:ind w:firstLine="480" w:firstLineChars="200"/>
        <w:jc w:val="left"/>
        <w:rPr>
          <w:rFonts w:ascii="宋体" w:hAnsi="宋体" w:cs="宋体"/>
          <w:sz w:val="24"/>
          <w:szCs w:val="21"/>
        </w:rPr>
      </w:pPr>
      <w:r>
        <w:rPr>
          <w:rFonts w:hint="eastAsia" w:ascii="宋体" w:hAnsi="宋体" w:cs="宋体"/>
          <w:kern w:val="0"/>
          <w:sz w:val="24"/>
        </w:rPr>
        <w:t>2、</w:t>
      </w:r>
      <w:r>
        <w:rPr>
          <w:rFonts w:hint="eastAsia" w:ascii="宋体" w:hAnsi="宋体" w:cs="宋体"/>
          <w:sz w:val="24"/>
          <w:szCs w:val="21"/>
        </w:rPr>
        <w:t>交付（实施）时间：</w:t>
      </w:r>
      <w:r>
        <w:rPr>
          <w:rFonts w:hint="eastAsia" w:ascii="宋体" w:hAnsi="宋体" w:cs="宋体"/>
          <w:sz w:val="24"/>
        </w:rPr>
        <w:t>自接到通知之日起2日内完成供货并开始施工，具体阶段性完成时间以采购人需求为准</w:t>
      </w:r>
      <w:r>
        <w:rPr>
          <w:rFonts w:hint="eastAsia" w:ascii="宋体" w:hAnsi="宋体" w:cs="宋体"/>
          <w:sz w:val="24"/>
          <w:szCs w:val="21"/>
        </w:rPr>
        <w:t>。</w:t>
      </w:r>
    </w:p>
    <w:p w14:paraId="3AD04235">
      <w:pPr>
        <w:widowControl/>
        <w:snapToGrid w:val="0"/>
        <w:spacing w:line="360" w:lineRule="auto"/>
        <w:ind w:firstLine="480" w:firstLineChars="200"/>
        <w:jc w:val="left"/>
        <w:rPr>
          <w:rFonts w:ascii="宋体" w:hAnsi="宋体" w:cs="宋体"/>
          <w:sz w:val="24"/>
          <w:szCs w:val="21"/>
        </w:rPr>
      </w:pPr>
      <w:r>
        <w:rPr>
          <w:rFonts w:hint="eastAsia" w:ascii="宋体" w:hAnsi="宋体" w:cs="宋体"/>
          <w:sz w:val="24"/>
          <w:szCs w:val="21"/>
        </w:rPr>
        <w:t>3、交付（实施）地点：采购人指定地点。</w:t>
      </w:r>
    </w:p>
    <w:p w14:paraId="4788767D">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（二）投标报价及结算原则</w:t>
      </w:r>
    </w:p>
    <w:p w14:paraId="04F26328">
      <w:pPr>
        <w:adjustRightInd w:val="0"/>
        <w:spacing w:line="500" w:lineRule="exact"/>
        <w:ind w:firstLine="480" w:firstLineChars="200"/>
        <w:rPr>
          <w:rFonts w:hint="eastAsia" w:ascii="宋体" w:hAnsi="宋体" w:cs="宋体"/>
          <w:sz w:val="24"/>
        </w:rPr>
      </w:pPr>
      <w:r>
        <w:rPr>
          <w:rFonts w:hint="eastAsia" w:ascii="宋体" w:hAnsi="宋体" w:cs="宋体"/>
          <w:sz w:val="24"/>
        </w:rPr>
        <w:t>1、本项目全费用综合单价内容包括采购文件规定的货物费（含运费、上卸力资费）、施工费（施工现场安全维护费、路面清扫费、路面裂缝处理费、路面抛丸费（水泥混凝土路面）、路面找平费、彩浆封层、颗粒封层施工费等）、本项目涉及的安全文明施工措施费、管理费、利润、9%税费、规费、售后服务等为完成本项目所需的一切相关费用。</w:t>
      </w:r>
    </w:p>
    <w:p w14:paraId="6AECEEF9">
      <w:pPr>
        <w:adjustRightInd w:val="0"/>
        <w:spacing w:line="500" w:lineRule="exact"/>
        <w:ind w:firstLine="480" w:firstLineChars="200"/>
        <w:rPr>
          <w:rFonts w:hint="eastAsia" w:ascii="宋体" w:hAnsi="宋体" w:cs="宋体"/>
          <w:sz w:val="24"/>
        </w:rPr>
      </w:pPr>
    </w:p>
    <w:tbl>
      <w:tblPr>
        <w:tblStyle w:val="25"/>
        <w:tblW w:w="8877" w:type="dxa"/>
        <w:tblInd w:w="93" w:type="dxa"/>
        <w:tblLayout w:type="fixed"/>
        <w:tblCellMar>
          <w:top w:w="0" w:type="dxa"/>
          <w:left w:w="108" w:type="dxa"/>
          <w:bottom w:w="0" w:type="dxa"/>
          <w:right w:w="108" w:type="dxa"/>
        </w:tblCellMar>
      </w:tblPr>
      <w:tblGrid>
        <w:gridCol w:w="795"/>
        <w:gridCol w:w="1264"/>
        <w:gridCol w:w="3772"/>
        <w:gridCol w:w="858"/>
        <w:gridCol w:w="1026"/>
        <w:gridCol w:w="1162"/>
      </w:tblGrid>
      <w:tr w14:paraId="27F18DE2">
        <w:tblPrEx>
          <w:tblCellMar>
            <w:top w:w="0" w:type="dxa"/>
            <w:left w:w="108" w:type="dxa"/>
            <w:bottom w:w="0" w:type="dxa"/>
            <w:right w:w="108" w:type="dxa"/>
          </w:tblCellMar>
        </w:tblPrEx>
        <w:trPr>
          <w:trHeight w:val="1852" w:hRule="atLeast"/>
          <w:tblHeader/>
        </w:trPr>
        <w:tc>
          <w:tcPr>
            <w:tcW w:w="795" w:type="dxa"/>
            <w:tcBorders>
              <w:top w:val="single" w:color="000000" w:sz="8" w:space="0"/>
              <w:left w:val="single" w:color="000000" w:sz="8" w:space="0"/>
              <w:bottom w:val="single" w:color="000000" w:sz="4" w:space="0"/>
              <w:right w:val="single" w:color="000000" w:sz="4" w:space="0"/>
            </w:tcBorders>
            <w:shd w:val="clear" w:color="000000" w:fill="FFFFFF"/>
            <w:vAlign w:val="center"/>
          </w:tcPr>
          <w:p w14:paraId="12B9A10B">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64" w:type="dxa"/>
            <w:tcBorders>
              <w:top w:val="single" w:color="000000" w:sz="8" w:space="0"/>
              <w:left w:val="nil"/>
              <w:bottom w:val="single" w:color="000000" w:sz="4" w:space="0"/>
              <w:right w:val="single" w:color="000000" w:sz="4" w:space="0"/>
            </w:tcBorders>
            <w:shd w:val="clear" w:color="000000" w:fill="FFFFFF"/>
            <w:vAlign w:val="center"/>
          </w:tcPr>
          <w:p w14:paraId="1A9095C2">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清单名称</w:t>
            </w:r>
          </w:p>
        </w:tc>
        <w:tc>
          <w:tcPr>
            <w:tcW w:w="3772" w:type="dxa"/>
            <w:tcBorders>
              <w:top w:val="single" w:color="000000" w:sz="8" w:space="0"/>
              <w:left w:val="nil"/>
              <w:bottom w:val="single" w:color="000000" w:sz="4" w:space="0"/>
              <w:right w:val="single" w:color="000000" w:sz="4" w:space="0"/>
            </w:tcBorders>
            <w:shd w:val="clear" w:color="000000" w:fill="FFFFFF"/>
            <w:vAlign w:val="center"/>
          </w:tcPr>
          <w:p w14:paraId="7A20A57C">
            <w:pPr>
              <w:spacing w:line="360" w:lineRule="exact"/>
              <w:ind w:firstLine="482"/>
              <w:jc w:val="center"/>
              <w:rPr>
                <w:rFonts w:asciiTheme="minorEastAsia" w:hAnsiTheme="minorEastAsia" w:eastAsiaTheme="minorEastAsia"/>
                <w:b/>
                <w:szCs w:val="21"/>
              </w:rPr>
            </w:pPr>
            <w:r>
              <w:rPr>
                <w:rFonts w:hint="eastAsia" w:asciiTheme="minorEastAsia" w:hAnsiTheme="minorEastAsia" w:eastAsiaTheme="minorEastAsia"/>
                <w:b/>
                <w:szCs w:val="21"/>
              </w:rPr>
              <w:t>清单特征</w:t>
            </w:r>
          </w:p>
        </w:tc>
        <w:tc>
          <w:tcPr>
            <w:tcW w:w="858" w:type="dxa"/>
            <w:tcBorders>
              <w:top w:val="single" w:color="000000" w:sz="8" w:space="0"/>
              <w:left w:val="nil"/>
              <w:bottom w:val="single" w:color="000000" w:sz="4" w:space="0"/>
              <w:right w:val="single" w:color="000000" w:sz="4" w:space="0"/>
            </w:tcBorders>
            <w:shd w:val="clear" w:color="000000" w:fill="FFFFFF"/>
            <w:vAlign w:val="center"/>
          </w:tcPr>
          <w:p w14:paraId="7F4C7E1C">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单位</w:t>
            </w:r>
          </w:p>
        </w:tc>
        <w:tc>
          <w:tcPr>
            <w:tcW w:w="1026" w:type="dxa"/>
            <w:tcBorders>
              <w:top w:val="single" w:color="000000" w:sz="8" w:space="0"/>
              <w:left w:val="nil"/>
              <w:bottom w:val="single" w:color="000000" w:sz="4" w:space="0"/>
              <w:right w:val="single" w:color="000000" w:sz="4" w:space="0"/>
            </w:tcBorders>
            <w:shd w:val="clear" w:color="000000" w:fill="FFFFFF"/>
            <w:vAlign w:val="center"/>
          </w:tcPr>
          <w:p w14:paraId="62229C53">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highlight w:val="none"/>
                <w:lang w:val="en-US" w:eastAsia="zh-CN"/>
              </w:rPr>
              <w:t>暂估</w:t>
            </w:r>
            <w:r>
              <w:rPr>
                <w:rFonts w:hint="eastAsia" w:asciiTheme="minorEastAsia" w:hAnsiTheme="minorEastAsia" w:eastAsiaTheme="minorEastAsia"/>
                <w:b/>
                <w:szCs w:val="21"/>
              </w:rPr>
              <w:t>工程量</w:t>
            </w:r>
          </w:p>
        </w:tc>
        <w:tc>
          <w:tcPr>
            <w:tcW w:w="1162" w:type="dxa"/>
            <w:tcBorders>
              <w:top w:val="single" w:color="000000" w:sz="8" w:space="0"/>
              <w:left w:val="nil"/>
              <w:bottom w:val="single" w:color="000000" w:sz="4" w:space="0"/>
              <w:right w:val="single" w:color="000000" w:sz="4" w:space="0"/>
            </w:tcBorders>
            <w:shd w:val="clear" w:color="000000" w:fill="FFFFFF"/>
            <w:vAlign w:val="center"/>
          </w:tcPr>
          <w:p w14:paraId="7E4F332E">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全费用综合单价</w:t>
            </w:r>
            <w:r>
              <w:rPr>
                <w:rFonts w:hint="eastAsia" w:asciiTheme="minorEastAsia" w:hAnsiTheme="minorEastAsia" w:eastAsiaTheme="minorEastAsia"/>
                <w:b/>
                <w:szCs w:val="21"/>
                <w:lang w:val="en-US" w:eastAsia="zh-CN"/>
              </w:rPr>
              <w:t>最高限价</w:t>
            </w:r>
            <w:r>
              <w:rPr>
                <w:rFonts w:hint="eastAsia" w:asciiTheme="minorEastAsia" w:hAnsiTheme="minorEastAsia" w:eastAsiaTheme="minorEastAsia"/>
                <w:b/>
                <w:szCs w:val="21"/>
              </w:rPr>
              <w:t>（元）</w:t>
            </w:r>
          </w:p>
        </w:tc>
      </w:tr>
      <w:tr w14:paraId="56B51DEA">
        <w:tblPrEx>
          <w:tblCellMar>
            <w:top w:w="0" w:type="dxa"/>
            <w:left w:w="108" w:type="dxa"/>
            <w:bottom w:w="0" w:type="dxa"/>
            <w:right w:w="108" w:type="dxa"/>
          </w:tblCellMar>
        </w:tblPrEx>
        <w:trPr>
          <w:trHeight w:val="1832" w:hRule="atLeast"/>
        </w:trPr>
        <w:tc>
          <w:tcPr>
            <w:tcW w:w="795" w:type="dxa"/>
            <w:tcBorders>
              <w:top w:val="nil"/>
              <w:left w:val="single" w:color="000000" w:sz="8" w:space="0"/>
              <w:bottom w:val="single" w:color="000000" w:sz="4" w:space="0"/>
              <w:right w:val="single" w:color="000000" w:sz="4" w:space="0"/>
            </w:tcBorders>
            <w:shd w:val="clear" w:color="auto" w:fill="auto"/>
            <w:vAlign w:val="center"/>
          </w:tcPr>
          <w:p w14:paraId="0AF7B5A0">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w:t>
            </w:r>
          </w:p>
        </w:tc>
        <w:tc>
          <w:tcPr>
            <w:tcW w:w="1264" w:type="dxa"/>
            <w:tcBorders>
              <w:top w:val="nil"/>
              <w:left w:val="nil"/>
              <w:bottom w:val="single" w:color="000000" w:sz="4" w:space="0"/>
              <w:right w:val="single" w:color="000000" w:sz="4" w:space="0"/>
            </w:tcBorders>
            <w:shd w:val="clear" w:color="auto" w:fill="auto"/>
            <w:vAlign w:val="center"/>
          </w:tcPr>
          <w:p w14:paraId="576FB235">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彩浆封层路面</w:t>
            </w:r>
          </w:p>
        </w:tc>
        <w:tc>
          <w:tcPr>
            <w:tcW w:w="3772" w:type="dxa"/>
            <w:tcBorders>
              <w:top w:val="nil"/>
              <w:left w:val="nil"/>
              <w:bottom w:val="single" w:color="000000" w:sz="4" w:space="0"/>
              <w:right w:val="single" w:color="000000" w:sz="4" w:space="0"/>
            </w:tcBorders>
            <w:shd w:val="clear" w:color="auto" w:fill="auto"/>
            <w:vAlign w:val="center"/>
          </w:tcPr>
          <w:p w14:paraId="7E722E71">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1、应用于沥青路面，厚度1.5mm</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2、全色系</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3、价格为完成此项工作的所有费用，包括但不限于为满足采购文件、验收规范规定施工所需的一切工序</w:t>
            </w:r>
          </w:p>
        </w:tc>
        <w:tc>
          <w:tcPr>
            <w:tcW w:w="858" w:type="dxa"/>
            <w:tcBorders>
              <w:top w:val="nil"/>
              <w:left w:val="nil"/>
              <w:bottom w:val="single" w:color="000000" w:sz="4" w:space="0"/>
              <w:right w:val="single" w:color="000000" w:sz="4" w:space="0"/>
            </w:tcBorders>
            <w:shd w:val="clear" w:color="auto" w:fill="auto"/>
            <w:vAlign w:val="center"/>
          </w:tcPr>
          <w:p w14:paraId="7A6690A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026" w:type="dxa"/>
            <w:tcBorders>
              <w:top w:val="nil"/>
              <w:left w:val="nil"/>
              <w:bottom w:val="single" w:color="000000" w:sz="4" w:space="0"/>
              <w:right w:val="single" w:color="000000" w:sz="4" w:space="0"/>
            </w:tcBorders>
            <w:shd w:val="clear" w:color="auto" w:fill="auto"/>
            <w:vAlign w:val="center"/>
          </w:tcPr>
          <w:p w14:paraId="2078A5F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200</w:t>
            </w:r>
          </w:p>
        </w:tc>
        <w:tc>
          <w:tcPr>
            <w:tcW w:w="1162" w:type="dxa"/>
            <w:tcBorders>
              <w:top w:val="nil"/>
              <w:left w:val="nil"/>
              <w:bottom w:val="single" w:color="000000" w:sz="4" w:space="0"/>
              <w:right w:val="single" w:color="000000" w:sz="4" w:space="0"/>
            </w:tcBorders>
            <w:shd w:val="clear" w:color="auto" w:fill="auto"/>
            <w:vAlign w:val="center"/>
          </w:tcPr>
          <w:p w14:paraId="5001B572">
            <w:pPr>
              <w:widowControl/>
              <w:jc w:val="center"/>
              <w:textAlignment w:val="bottom"/>
              <w:rPr>
                <w:rFonts w:asciiTheme="minorEastAsia" w:hAnsiTheme="minorEastAsia" w:eastAsiaTheme="minorEastAsia"/>
                <w:szCs w:val="21"/>
              </w:rPr>
            </w:pPr>
            <w:r>
              <w:rPr>
                <w:rFonts w:cs="Arial" w:asciiTheme="minorEastAsia" w:hAnsiTheme="minorEastAsia" w:eastAsiaTheme="minorEastAsia"/>
                <w:color w:val="000000"/>
                <w:kern w:val="0"/>
                <w:szCs w:val="21"/>
              </w:rPr>
              <w:t>129</w:t>
            </w:r>
          </w:p>
        </w:tc>
      </w:tr>
      <w:tr w14:paraId="0FE38C9D">
        <w:tblPrEx>
          <w:tblCellMar>
            <w:top w:w="0" w:type="dxa"/>
            <w:left w:w="108" w:type="dxa"/>
            <w:bottom w:w="0" w:type="dxa"/>
            <w:right w:w="108" w:type="dxa"/>
          </w:tblCellMar>
        </w:tblPrEx>
        <w:trPr>
          <w:trHeight w:val="2194" w:hRule="atLeast"/>
        </w:trPr>
        <w:tc>
          <w:tcPr>
            <w:tcW w:w="795" w:type="dxa"/>
            <w:tcBorders>
              <w:top w:val="nil"/>
              <w:left w:val="single" w:color="000000" w:sz="8" w:space="0"/>
              <w:bottom w:val="single" w:color="000000" w:sz="4" w:space="0"/>
              <w:right w:val="single" w:color="000000" w:sz="4" w:space="0"/>
            </w:tcBorders>
            <w:shd w:val="clear" w:color="auto" w:fill="auto"/>
            <w:vAlign w:val="center"/>
          </w:tcPr>
          <w:p w14:paraId="7021E7BC">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w:t>
            </w:r>
          </w:p>
        </w:tc>
        <w:tc>
          <w:tcPr>
            <w:tcW w:w="1264" w:type="dxa"/>
            <w:tcBorders>
              <w:top w:val="nil"/>
              <w:left w:val="nil"/>
              <w:bottom w:val="single" w:color="000000" w:sz="4" w:space="0"/>
              <w:right w:val="single" w:color="000000" w:sz="4" w:space="0"/>
            </w:tcBorders>
            <w:shd w:val="clear" w:color="auto" w:fill="auto"/>
            <w:vAlign w:val="center"/>
          </w:tcPr>
          <w:p w14:paraId="106B77C3">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彩浆封层路面</w:t>
            </w:r>
          </w:p>
        </w:tc>
        <w:tc>
          <w:tcPr>
            <w:tcW w:w="3772" w:type="dxa"/>
            <w:tcBorders>
              <w:top w:val="nil"/>
              <w:left w:val="nil"/>
              <w:bottom w:val="single" w:color="000000" w:sz="4" w:space="0"/>
              <w:right w:val="single" w:color="000000" w:sz="4" w:space="0"/>
            </w:tcBorders>
            <w:shd w:val="clear" w:color="auto" w:fill="auto"/>
            <w:vAlign w:val="center"/>
          </w:tcPr>
          <w:p w14:paraId="08CC8790">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1、应用于水泥砼路桥面的彩浆封层路面，厚度1.5mm</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2、全色系</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3、价格为完成此项工作的所有费用，包括但不限于为满足采购文件、验收规范规定施工所需的一切工序</w:t>
            </w:r>
          </w:p>
        </w:tc>
        <w:tc>
          <w:tcPr>
            <w:tcW w:w="858" w:type="dxa"/>
            <w:tcBorders>
              <w:top w:val="nil"/>
              <w:left w:val="nil"/>
              <w:bottom w:val="single" w:color="000000" w:sz="4" w:space="0"/>
              <w:right w:val="single" w:color="000000" w:sz="4" w:space="0"/>
            </w:tcBorders>
            <w:shd w:val="clear" w:color="auto" w:fill="auto"/>
            <w:vAlign w:val="center"/>
          </w:tcPr>
          <w:p w14:paraId="40C560D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026" w:type="dxa"/>
            <w:tcBorders>
              <w:top w:val="nil"/>
              <w:left w:val="nil"/>
              <w:bottom w:val="single" w:color="000000" w:sz="4" w:space="0"/>
              <w:right w:val="single" w:color="000000" w:sz="4" w:space="0"/>
            </w:tcBorders>
            <w:shd w:val="clear" w:color="auto" w:fill="auto"/>
            <w:vAlign w:val="center"/>
          </w:tcPr>
          <w:p w14:paraId="7EE60A8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62" w:type="dxa"/>
            <w:tcBorders>
              <w:top w:val="nil"/>
              <w:left w:val="nil"/>
              <w:bottom w:val="single" w:color="000000" w:sz="4" w:space="0"/>
              <w:right w:val="single" w:color="000000" w:sz="4" w:space="0"/>
            </w:tcBorders>
            <w:shd w:val="clear" w:color="auto" w:fill="auto"/>
            <w:vAlign w:val="center"/>
          </w:tcPr>
          <w:p w14:paraId="4D641F87">
            <w:pPr>
              <w:widowControl/>
              <w:jc w:val="center"/>
              <w:textAlignment w:val="bottom"/>
              <w:rPr>
                <w:rFonts w:asciiTheme="minorEastAsia" w:hAnsiTheme="minorEastAsia" w:eastAsiaTheme="minorEastAsia"/>
                <w:szCs w:val="21"/>
              </w:rPr>
            </w:pPr>
            <w:r>
              <w:rPr>
                <w:rFonts w:cs="Arial" w:asciiTheme="minorEastAsia" w:hAnsiTheme="minorEastAsia" w:eastAsiaTheme="minorEastAsia"/>
                <w:color w:val="000000"/>
                <w:kern w:val="0"/>
                <w:szCs w:val="21"/>
              </w:rPr>
              <w:t>133</w:t>
            </w:r>
          </w:p>
        </w:tc>
      </w:tr>
      <w:tr w14:paraId="5BA135BC">
        <w:tblPrEx>
          <w:tblCellMar>
            <w:top w:w="0" w:type="dxa"/>
            <w:left w:w="108" w:type="dxa"/>
            <w:bottom w:w="0" w:type="dxa"/>
            <w:right w:w="108" w:type="dxa"/>
          </w:tblCellMar>
        </w:tblPrEx>
        <w:trPr>
          <w:trHeight w:val="2194" w:hRule="atLeast"/>
        </w:trPr>
        <w:tc>
          <w:tcPr>
            <w:tcW w:w="795" w:type="dxa"/>
            <w:tcBorders>
              <w:top w:val="nil"/>
              <w:left w:val="single" w:color="000000" w:sz="8" w:space="0"/>
              <w:bottom w:val="single" w:color="000000" w:sz="4" w:space="0"/>
              <w:right w:val="single" w:color="000000" w:sz="4" w:space="0"/>
            </w:tcBorders>
            <w:shd w:val="clear" w:color="auto" w:fill="auto"/>
            <w:vAlign w:val="center"/>
          </w:tcPr>
          <w:p w14:paraId="2E31AFE5">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w:t>
            </w:r>
          </w:p>
        </w:tc>
        <w:tc>
          <w:tcPr>
            <w:tcW w:w="1264" w:type="dxa"/>
            <w:tcBorders>
              <w:top w:val="nil"/>
              <w:left w:val="nil"/>
              <w:bottom w:val="single" w:color="000000" w:sz="4" w:space="0"/>
              <w:right w:val="single" w:color="000000" w:sz="4" w:space="0"/>
            </w:tcBorders>
            <w:shd w:val="clear" w:color="auto" w:fill="auto"/>
            <w:vAlign w:val="center"/>
          </w:tcPr>
          <w:p w14:paraId="47248F9D">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匝道红色警示颗粒封层路面</w:t>
            </w:r>
          </w:p>
        </w:tc>
        <w:tc>
          <w:tcPr>
            <w:tcW w:w="3772" w:type="dxa"/>
            <w:tcBorders>
              <w:top w:val="nil"/>
              <w:left w:val="nil"/>
              <w:bottom w:val="single" w:color="000000" w:sz="4" w:space="0"/>
              <w:right w:val="single" w:color="000000" w:sz="4" w:space="0"/>
            </w:tcBorders>
            <w:shd w:val="clear" w:color="auto" w:fill="auto"/>
            <w:vAlign w:val="center"/>
          </w:tcPr>
          <w:p w14:paraId="182ADB74">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1、应用于高架匝道路面的红色警示颗粒封层路面，厚度3mm</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2、全色系</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3、价格为完成此项工作的所有费用，包括但不限于为满足采购文件、验收规范规定施工所需的一切工序</w:t>
            </w:r>
          </w:p>
        </w:tc>
        <w:tc>
          <w:tcPr>
            <w:tcW w:w="858" w:type="dxa"/>
            <w:tcBorders>
              <w:top w:val="nil"/>
              <w:left w:val="nil"/>
              <w:bottom w:val="single" w:color="000000" w:sz="4" w:space="0"/>
              <w:right w:val="single" w:color="000000" w:sz="4" w:space="0"/>
            </w:tcBorders>
            <w:shd w:val="clear" w:color="auto" w:fill="auto"/>
            <w:vAlign w:val="center"/>
          </w:tcPr>
          <w:p w14:paraId="6B8386C6">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026" w:type="dxa"/>
            <w:tcBorders>
              <w:top w:val="nil"/>
              <w:left w:val="nil"/>
              <w:bottom w:val="single" w:color="000000" w:sz="4" w:space="0"/>
              <w:right w:val="single" w:color="000000" w:sz="4" w:space="0"/>
            </w:tcBorders>
            <w:shd w:val="clear" w:color="auto" w:fill="auto"/>
            <w:vAlign w:val="center"/>
          </w:tcPr>
          <w:p w14:paraId="4CCB1AD5">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3000</w:t>
            </w:r>
          </w:p>
        </w:tc>
        <w:tc>
          <w:tcPr>
            <w:tcW w:w="1162" w:type="dxa"/>
            <w:tcBorders>
              <w:top w:val="nil"/>
              <w:left w:val="nil"/>
              <w:bottom w:val="single" w:color="000000" w:sz="4" w:space="0"/>
              <w:right w:val="single" w:color="000000" w:sz="4" w:space="0"/>
            </w:tcBorders>
            <w:shd w:val="clear" w:color="auto" w:fill="auto"/>
            <w:vAlign w:val="center"/>
          </w:tcPr>
          <w:p w14:paraId="4A6E989D">
            <w:pPr>
              <w:widowControl/>
              <w:ind w:firstLine="210" w:firstLineChars="100"/>
              <w:jc w:val="both"/>
              <w:textAlignment w:val="bottom"/>
              <w:rPr>
                <w:rFonts w:asciiTheme="minorEastAsia" w:hAnsiTheme="minorEastAsia" w:eastAsiaTheme="minorEastAsia"/>
                <w:szCs w:val="21"/>
              </w:rPr>
            </w:pPr>
            <w:r>
              <w:rPr>
                <w:rFonts w:cs="Arial" w:asciiTheme="minorEastAsia" w:hAnsiTheme="minorEastAsia" w:eastAsiaTheme="minorEastAsia"/>
                <w:color w:val="000000"/>
                <w:kern w:val="0"/>
                <w:szCs w:val="21"/>
              </w:rPr>
              <w:t>112</w:t>
            </w:r>
          </w:p>
        </w:tc>
      </w:tr>
      <w:tr w14:paraId="5495848C">
        <w:tblPrEx>
          <w:tblCellMar>
            <w:top w:w="0" w:type="dxa"/>
            <w:left w:w="108" w:type="dxa"/>
            <w:bottom w:w="0" w:type="dxa"/>
            <w:right w:w="108" w:type="dxa"/>
          </w:tblCellMar>
        </w:tblPrEx>
        <w:trPr>
          <w:trHeight w:val="546" w:hRule="atLeast"/>
        </w:trPr>
        <w:tc>
          <w:tcPr>
            <w:tcW w:w="795" w:type="dxa"/>
            <w:tcBorders>
              <w:top w:val="nil"/>
              <w:left w:val="single" w:color="000000" w:sz="8" w:space="0"/>
              <w:bottom w:val="single" w:color="000000" w:sz="4" w:space="0"/>
              <w:right w:val="single" w:color="000000" w:sz="4" w:space="0"/>
            </w:tcBorders>
            <w:shd w:val="clear" w:color="auto" w:fill="auto"/>
            <w:vAlign w:val="center"/>
          </w:tcPr>
          <w:p w14:paraId="166720C2">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　</w:t>
            </w:r>
          </w:p>
        </w:tc>
        <w:tc>
          <w:tcPr>
            <w:tcW w:w="1264" w:type="dxa"/>
            <w:tcBorders>
              <w:top w:val="nil"/>
              <w:left w:val="nil"/>
              <w:bottom w:val="single" w:color="000000" w:sz="4" w:space="0"/>
              <w:right w:val="single" w:color="000000" w:sz="4" w:space="0"/>
            </w:tcBorders>
            <w:shd w:val="clear" w:color="auto" w:fill="auto"/>
            <w:vAlign w:val="center"/>
          </w:tcPr>
          <w:p w14:paraId="580B202F">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合计</w:t>
            </w:r>
          </w:p>
        </w:tc>
        <w:tc>
          <w:tcPr>
            <w:tcW w:w="3772" w:type="dxa"/>
            <w:tcBorders>
              <w:top w:val="nil"/>
              <w:left w:val="nil"/>
              <w:bottom w:val="single" w:color="000000" w:sz="4" w:space="0"/>
              <w:right w:val="single" w:color="000000" w:sz="4" w:space="0"/>
            </w:tcBorders>
            <w:shd w:val="clear" w:color="auto" w:fill="auto"/>
            <w:vAlign w:val="center"/>
          </w:tcPr>
          <w:p w14:paraId="173F128D">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　</w:t>
            </w:r>
          </w:p>
        </w:tc>
        <w:tc>
          <w:tcPr>
            <w:tcW w:w="858" w:type="dxa"/>
            <w:tcBorders>
              <w:top w:val="nil"/>
              <w:left w:val="nil"/>
              <w:bottom w:val="single" w:color="000000" w:sz="4" w:space="0"/>
              <w:right w:val="single" w:color="000000" w:sz="4" w:space="0"/>
            </w:tcBorders>
            <w:shd w:val="clear" w:color="auto" w:fill="auto"/>
            <w:vAlign w:val="center"/>
          </w:tcPr>
          <w:p w14:paraId="2BB095EF">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　</w:t>
            </w:r>
          </w:p>
        </w:tc>
        <w:tc>
          <w:tcPr>
            <w:tcW w:w="1026" w:type="dxa"/>
            <w:tcBorders>
              <w:top w:val="nil"/>
              <w:left w:val="nil"/>
              <w:bottom w:val="single" w:color="000000" w:sz="4" w:space="0"/>
              <w:right w:val="single" w:color="000000" w:sz="4" w:space="0"/>
            </w:tcBorders>
            <w:shd w:val="clear" w:color="auto" w:fill="auto"/>
            <w:vAlign w:val="center"/>
          </w:tcPr>
          <w:p w14:paraId="6FDA26DB">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　</w:t>
            </w:r>
          </w:p>
        </w:tc>
        <w:tc>
          <w:tcPr>
            <w:tcW w:w="1162" w:type="dxa"/>
            <w:tcBorders>
              <w:top w:val="nil"/>
              <w:left w:val="nil"/>
              <w:bottom w:val="single" w:color="000000" w:sz="4" w:space="0"/>
              <w:right w:val="single" w:color="000000" w:sz="4" w:space="0"/>
            </w:tcBorders>
            <w:shd w:val="clear" w:color="auto" w:fill="auto"/>
            <w:vAlign w:val="center"/>
          </w:tcPr>
          <w:p w14:paraId="40AD1896">
            <w:pPr>
              <w:spacing w:line="360" w:lineRule="exact"/>
              <w:ind w:firstLine="480"/>
              <w:rPr>
                <w:rFonts w:asciiTheme="minorEastAsia" w:hAnsiTheme="minorEastAsia" w:eastAsiaTheme="minorEastAsia"/>
                <w:szCs w:val="21"/>
              </w:rPr>
            </w:pPr>
            <w:r>
              <w:rPr>
                <w:rFonts w:hint="eastAsia" w:asciiTheme="minorEastAsia" w:hAnsiTheme="minorEastAsia" w:eastAsiaTheme="minorEastAsia"/>
                <w:szCs w:val="21"/>
              </w:rPr>
              <w:t>　</w:t>
            </w:r>
          </w:p>
        </w:tc>
      </w:tr>
    </w:tbl>
    <w:p w14:paraId="7B5C981C">
      <w:pPr>
        <w:widowControl/>
        <w:spacing w:line="360" w:lineRule="auto"/>
        <w:ind w:right="223" w:rightChars="106" w:firstLine="482"/>
        <w:jc w:val="left"/>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报价说明：</w:t>
      </w:r>
    </w:p>
    <w:p w14:paraId="06A44499">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w:t>
      </w:r>
      <w:r>
        <w:rPr>
          <w:rFonts w:hint="eastAsia" w:cs="宋体" w:asciiTheme="minorEastAsia" w:hAnsiTheme="minorEastAsia" w:eastAsiaTheme="minorEastAsia"/>
          <w:b/>
          <w:color w:val="auto"/>
          <w:kern w:val="0"/>
          <w:sz w:val="24"/>
        </w:rPr>
        <w:t>本项目报价按下浮率进</w:t>
      </w:r>
      <w:r>
        <w:rPr>
          <w:rFonts w:hint="eastAsia" w:cs="宋体" w:asciiTheme="minorEastAsia" w:hAnsiTheme="minorEastAsia" w:eastAsiaTheme="minorEastAsia"/>
          <w:b/>
          <w:color w:val="auto"/>
          <w:kern w:val="0"/>
          <w:sz w:val="24"/>
          <w:highlight w:val="none"/>
        </w:rPr>
        <w:t>行</w:t>
      </w:r>
      <w:r>
        <w:rPr>
          <w:rFonts w:hint="eastAsia" w:cs="宋体" w:asciiTheme="minorEastAsia" w:hAnsiTheme="minorEastAsia" w:eastAsiaTheme="minorEastAsia"/>
          <w:b/>
          <w:color w:val="auto"/>
          <w:kern w:val="0"/>
          <w:sz w:val="24"/>
          <w:highlight w:val="none"/>
          <w:lang w:eastAsia="zh-CN"/>
        </w:rPr>
        <w:t>（</w:t>
      </w:r>
      <w:r>
        <w:rPr>
          <w:rFonts w:hint="eastAsia" w:cs="宋体" w:asciiTheme="minorEastAsia" w:hAnsiTheme="minorEastAsia" w:eastAsiaTheme="minorEastAsia"/>
          <w:b/>
          <w:color w:val="auto"/>
          <w:kern w:val="0"/>
          <w:sz w:val="24"/>
          <w:highlight w:val="none"/>
          <w:lang w:val="en-US" w:eastAsia="zh-CN"/>
        </w:rPr>
        <w:t>保留一位小数</w:t>
      </w:r>
      <w:r>
        <w:rPr>
          <w:rFonts w:hint="eastAsia" w:cs="宋体" w:asciiTheme="minorEastAsia" w:hAnsiTheme="minorEastAsia" w:eastAsiaTheme="minorEastAsia"/>
          <w:b/>
          <w:color w:val="auto"/>
          <w:kern w:val="0"/>
          <w:sz w:val="24"/>
          <w:highlight w:val="none"/>
          <w:lang w:eastAsia="zh-CN"/>
        </w:rPr>
        <w:t>）</w:t>
      </w:r>
      <w:r>
        <w:rPr>
          <w:rFonts w:hint="eastAsia" w:cs="宋体" w:asciiTheme="minorEastAsia" w:hAnsiTheme="minorEastAsia" w:eastAsiaTheme="minorEastAsia"/>
          <w:b/>
          <w:color w:val="auto"/>
          <w:kern w:val="0"/>
          <w:sz w:val="24"/>
          <w:highlight w:val="none"/>
        </w:rPr>
        <w:t>；</w:t>
      </w:r>
    </w:p>
    <w:p w14:paraId="07967EC9">
      <w:pPr>
        <w:widowControl/>
        <w:spacing w:line="360" w:lineRule="auto"/>
        <w:ind w:firstLine="480" w:firstLineChars="200"/>
        <w:jc w:val="left"/>
        <w:rPr>
          <w:rFonts w:cs="宋体" w:asciiTheme="minorEastAsia" w:hAnsiTheme="minorEastAsia" w:eastAsiaTheme="minorEastAsia"/>
          <w:color w:val="000000"/>
          <w:sz w:val="24"/>
        </w:rPr>
      </w:pPr>
      <w:bookmarkStart w:id="13" w:name="OLE_LINK1"/>
      <w:bookmarkStart w:id="14" w:name="OLE_LINK2"/>
      <w:r>
        <w:rPr>
          <w:rFonts w:hint="eastAsia" w:cs="宋体" w:asciiTheme="minorEastAsia" w:hAnsiTheme="minorEastAsia" w:eastAsiaTheme="minorEastAsia"/>
          <w:color w:val="000000"/>
          <w:sz w:val="24"/>
        </w:rPr>
        <w:t>2）超过</w:t>
      </w:r>
      <w:r>
        <w:rPr>
          <w:rFonts w:hint="eastAsia" w:cs="宋体" w:asciiTheme="minorEastAsia" w:hAnsiTheme="minorEastAsia" w:eastAsiaTheme="minorEastAsia"/>
          <w:sz w:val="24"/>
        </w:rPr>
        <w:t>最高投标限价</w:t>
      </w:r>
      <w:r>
        <w:rPr>
          <w:rFonts w:hint="eastAsia" w:cs="宋体" w:asciiTheme="minorEastAsia" w:hAnsiTheme="minorEastAsia" w:eastAsiaTheme="minorEastAsia"/>
          <w:color w:val="000000"/>
          <w:sz w:val="24"/>
        </w:rPr>
        <w:t>的按照无效报价处理；</w:t>
      </w:r>
    </w:p>
    <w:bookmarkEnd w:id="13"/>
    <w:bookmarkEnd w:id="14"/>
    <w:p w14:paraId="6A368401">
      <w:pPr>
        <w:widowControl/>
        <w:spacing w:line="360" w:lineRule="auto"/>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r>
        <w:rPr>
          <w:rFonts w:hint="eastAsia" w:cs="宋体" w:asciiTheme="minorEastAsia" w:hAnsiTheme="minorEastAsia" w:eastAsiaTheme="minorEastAsia"/>
          <w:b/>
          <w:bCs/>
          <w:sz w:val="24"/>
        </w:rPr>
        <w:t>除报价清单已列全费用综合单价以外本采购项目涉及的相关费用不再另行报价，投标供应商在报价时综合考虑；</w:t>
      </w:r>
    </w:p>
    <w:p w14:paraId="02F9EEAF">
      <w:pPr>
        <w:widowControl/>
        <w:spacing w:line="360" w:lineRule="auto"/>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4）数量为预估量，以实际发生数量为准，结算价原则上不得超过本项目的预算价，未经采购人同意超出项目预算金额的不予结算。</w:t>
      </w:r>
    </w:p>
    <w:p w14:paraId="46EFBF0A">
      <w:pPr>
        <w:spacing w:line="360" w:lineRule="auto"/>
        <w:ind w:firstLine="482" w:firstLineChars="200"/>
        <w:rPr>
          <w:rFonts w:ascii="宋体" w:hAnsi="宋体" w:cs="宋体"/>
          <w:b/>
          <w:bCs/>
          <w:kern w:val="0"/>
          <w:sz w:val="24"/>
        </w:rPr>
      </w:pPr>
      <w:r>
        <w:rPr>
          <w:rFonts w:hint="eastAsia" w:ascii="宋体" w:hAnsi="宋体" w:cs="宋体"/>
          <w:b/>
          <w:bCs/>
          <w:kern w:val="0"/>
          <w:sz w:val="24"/>
        </w:rPr>
        <w:t>（三）付款方式</w:t>
      </w:r>
    </w:p>
    <w:p w14:paraId="5A0AB6FF">
      <w:pPr>
        <w:widowControl/>
        <w:spacing w:before="100" w:after="100" w:line="360" w:lineRule="auto"/>
        <w:ind w:firstLine="482" w:firstLineChars="2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工程完工验收合格后，发包人支付至工程结算金额的50%，年底前支付至当年结算总额的80%，次年年底前付至前一年监理审核结算总额的97%，余款待缺陷责任期（24个月）结束后一个月内一次性支付（无息）。</w:t>
      </w:r>
    </w:p>
    <w:p w14:paraId="6E19D643">
      <w:pPr>
        <w:widowControl/>
        <w:spacing w:before="100" w:after="100" w:line="360" w:lineRule="auto"/>
        <w:ind w:firstLine="482" w:firstLineChars="2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中标供应商应按采购人资金支付流程，提交进度款申请材料并提供符合国家最新税法规定的增值税发票（9%）。</w:t>
      </w:r>
    </w:p>
    <w:p w14:paraId="27EE2CF6">
      <w:pPr>
        <w:widowControl/>
        <w:spacing w:before="100" w:after="100" w:line="360" w:lineRule="auto"/>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（四）履约保证金</w:t>
      </w:r>
    </w:p>
    <w:p w14:paraId="0987BFB6">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1、本项目成交后的履约保证金为项目成交价的5%（取整），成交单位的履约保证金须在成交通知书发出之日起至合同签订前汇入采购单位账户（应当以数字人民币、支票、汇票或者金融机构、担保机构出具的保函等非现金形式提交），成交单位凭成交通知书与采购单位签订合同。超期或未有协商，则视为自动放弃成交资格。</w:t>
      </w:r>
    </w:p>
    <w:p w14:paraId="0E564696">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2、服务期满后，成交人全部履约合同义务，经采购人验收合格无质量、进度等问题的，成交人提交相应的申请材料，经采购人确认后15个工作日内一次性退还履约保证金（扣除相关违约费用的剩余部分，不计息）；</w:t>
      </w:r>
    </w:p>
    <w:p w14:paraId="5928B195">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 xml:space="preserve">3、发生以下情况的，履约保证金不予退还或部分退还： </w:t>
      </w:r>
    </w:p>
    <w:p w14:paraId="43F7EFAF">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a.签订合同后，成交单位不履行合同义务的，采购单位有权全额扣除履约保证金，全额不予退还，同时采购单位亦有权终止合同，成交供应商还须承担相应的法律赔偿责任。</w:t>
      </w:r>
    </w:p>
    <w:p w14:paraId="128C1459">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b.成交单位在履约过程中发生违约行为，给采购单位造成损失的，采购单位有权在成交单位缴纳的履约保证金中予以扣款，以弥补采购单位经济损失，不足的部分成交单位另外补齐。</w:t>
      </w:r>
    </w:p>
    <w:p w14:paraId="0C69C989">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fldChar w:fldCharType="begin"/>
      </w:r>
      <w:r>
        <w:instrText xml:space="preserve"> HYPERLINK "http://www.ccgp-jiangsu.gov.cn/jisngsu/zlxz/)。" </w:instrText>
      </w:r>
      <w:r>
        <w:fldChar w:fldCharType="separate"/>
      </w:r>
      <w:r>
        <w:rPr>
          <w:rFonts w:hint="eastAsia" w:cs="宋体" w:asciiTheme="minorEastAsia" w:hAnsiTheme="minorEastAsia" w:eastAsiaTheme="minorEastAsia"/>
          <w:sz w:val="24"/>
          <w:szCs w:val="22"/>
        </w:rPr>
        <w:t>www.ccgp-jiangsu.gov.cn/jisngsu/zlxz/)。</w:t>
      </w:r>
      <w:r>
        <w:rPr>
          <w:rFonts w:hint="eastAsia" w:cs="宋体" w:asciiTheme="minorEastAsia" w:hAnsiTheme="minorEastAsia" w:eastAsiaTheme="minorEastAsia"/>
          <w:sz w:val="24"/>
          <w:szCs w:val="22"/>
        </w:rPr>
        <w:fldChar w:fldCharType="end"/>
      </w:r>
    </w:p>
    <w:p w14:paraId="1A78E0CB">
      <w:pPr>
        <w:spacing w:line="360" w:lineRule="auto"/>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5、采购人无正当理由逾期退还履约保证金的，则自逾期之日起向服务供应商支付违约金，违约金以逾期未还履约保证金为基数，按全国银行间同业拆借中心公布的一年期贷款市场报价利率计算。</w:t>
      </w:r>
    </w:p>
    <w:p w14:paraId="43D7D194">
      <w:pPr>
        <w:spacing w:line="460" w:lineRule="exact"/>
        <w:ind w:firstLine="480" w:firstLineChars="200"/>
        <w:rPr>
          <w:rFonts w:cs="宋体" w:asciiTheme="minorEastAsia" w:hAnsiTheme="minorEastAsia" w:eastAsiaTheme="minorEastAsia"/>
          <w:sz w:val="24"/>
          <w:szCs w:val="22"/>
        </w:rPr>
      </w:pPr>
    </w:p>
    <w:p w14:paraId="14ECD36C">
      <w:pPr>
        <w:pStyle w:val="10"/>
        <w:ind w:firstLine="480" w:firstLineChars="200"/>
        <w:rPr>
          <w:rFonts w:cs="宋体" w:asciiTheme="minorEastAsia" w:hAnsiTheme="minorEastAsia" w:eastAsiaTheme="minorEastAsia"/>
          <w:sz w:val="24"/>
        </w:rPr>
        <w:sectPr>
          <w:footerReference r:id="rId4" w:type="default"/>
          <w:pgSz w:w="11906" w:h="16838"/>
          <w:pgMar w:top="1134" w:right="1983" w:bottom="1134" w:left="1236" w:header="851" w:footer="992" w:gutter="0"/>
          <w:pgNumType w:fmt="numberInDash" w:start="4"/>
          <w:cols w:space="720" w:num="1"/>
          <w:docGrid w:type="lines" w:linePitch="312" w:charSpace="0"/>
        </w:sectPr>
      </w:pPr>
    </w:p>
    <w:p w14:paraId="261F459F">
      <w:pPr>
        <w:pageBreakBefore/>
        <w:adjustRightInd w:val="0"/>
        <w:snapToGrid w:val="0"/>
        <w:spacing w:line="360" w:lineRule="auto"/>
        <w:ind w:firstLine="720" w:firstLineChars="200"/>
        <w:jc w:val="center"/>
        <w:outlineLvl w:val="0"/>
        <w:rPr>
          <w:rFonts w:asciiTheme="minorEastAsia" w:hAnsiTheme="minorEastAsia" w:eastAsiaTheme="minorEastAsia"/>
          <w:bCs/>
          <w:sz w:val="36"/>
          <w:szCs w:val="36"/>
        </w:rPr>
      </w:pPr>
      <w:r>
        <w:rPr>
          <w:rFonts w:hint="eastAsia" w:asciiTheme="minorEastAsia" w:hAnsiTheme="minorEastAsia" w:eastAsiaTheme="minorEastAsia"/>
          <w:bCs/>
          <w:sz w:val="36"/>
          <w:szCs w:val="36"/>
        </w:rPr>
        <w:t>第四部 分开标和评标</w:t>
      </w:r>
    </w:p>
    <w:p w14:paraId="08179FA9">
      <w:pPr>
        <w:tabs>
          <w:tab w:val="left" w:pos="3585"/>
        </w:tabs>
        <w:snapToGrid w:val="0"/>
        <w:spacing w:line="460" w:lineRule="exact"/>
        <w:ind w:firstLine="463" w:firstLineChars="192"/>
        <w:rPr>
          <w:rFonts w:ascii="宋体" w:hAnsi="宋体" w:cs="宋体"/>
          <w:b/>
          <w:sz w:val="24"/>
        </w:rPr>
      </w:pPr>
      <w:r>
        <w:rPr>
          <w:rFonts w:hint="eastAsia" w:ascii="宋体" w:hAnsi="宋体" w:cs="宋体"/>
          <w:b/>
          <w:bCs/>
          <w:sz w:val="24"/>
        </w:rPr>
        <w:t>一、</w:t>
      </w:r>
      <w:r>
        <w:rPr>
          <w:rFonts w:hint="eastAsia" w:ascii="宋体" w:hAnsi="宋体" w:cs="宋体"/>
          <w:b/>
          <w:sz w:val="24"/>
        </w:rPr>
        <w:t>采购人组织开标。</w:t>
      </w:r>
    </w:p>
    <w:p w14:paraId="4DEB4386">
      <w:pPr>
        <w:tabs>
          <w:tab w:val="left" w:pos="3585"/>
        </w:tabs>
        <w:snapToGrid w:val="0"/>
        <w:spacing w:line="460" w:lineRule="exact"/>
        <w:ind w:firstLine="460" w:firstLineChars="192"/>
        <w:rPr>
          <w:rFonts w:ascii="宋体" w:hAnsi="宋体" w:cs="宋体"/>
          <w:sz w:val="24"/>
        </w:rPr>
      </w:pPr>
      <w:r>
        <w:rPr>
          <w:rFonts w:hint="eastAsia" w:ascii="宋体" w:hAnsi="宋体" w:cs="宋体"/>
          <w:sz w:val="24"/>
        </w:rPr>
        <w:t>比选人的法定代表人或授权人参加线上开标会。</w:t>
      </w:r>
    </w:p>
    <w:p w14:paraId="1C26B80B">
      <w:pPr>
        <w:snapToGrid w:val="0"/>
        <w:spacing w:line="460" w:lineRule="exact"/>
        <w:ind w:firstLine="570"/>
        <w:rPr>
          <w:rFonts w:ascii="宋体" w:hAnsi="宋体" w:cs="宋体"/>
          <w:bCs/>
          <w:sz w:val="24"/>
        </w:rPr>
      </w:pPr>
      <w:r>
        <w:rPr>
          <w:rFonts w:hint="eastAsia" w:ascii="宋体" w:hAnsi="宋体" w:cs="宋体"/>
          <w:b/>
          <w:bCs/>
          <w:sz w:val="24"/>
        </w:rPr>
        <w:t>二、</w:t>
      </w:r>
      <w:r>
        <w:rPr>
          <w:rFonts w:hint="eastAsia" w:ascii="宋体" w:hAnsi="宋体" w:cs="宋体"/>
          <w:b/>
          <w:sz w:val="24"/>
        </w:rPr>
        <w:t>评委会由</w:t>
      </w:r>
      <w:r>
        <w:rPr>
          <w:rFonts w:hint="eastAsia" w:ascii="宋体" w:hAnsi="宋体" w:cs="宋体"/>
          <w:b/>
          <w:bCs/>
          <w:sz w:val="24"/>
        </w:rPr>
        <w:t>有关专家和</w:t>
      </w:r>
      <w:r>
        <w:rPr>
          <w:rFonts w:hint="eastAsia" w:ascii="宋体" w:hAnsi="宋体" w:cs="宋体"/>
          <w:b/>
          <w:sz w:val="24"/>
        </w:rPr>
        <w:t>采购人代表</w:t>
      </w:r>
      <w:r>
        <w:rPr>
          <w:rFonts w:hint="eastAsia" w:ascii="宋体" w:hAnsi="宋体" w:cs="宋体"/>
          <w:b/>
          <w:bCs/>
          <w:sz w:val="24"/>
        </w:rPr>
        <w:t>组成</w:t>
      </w:r>
      <w:r>
        <w:rPr>
          <w:rFonts w:hint="eastAsia" w:ascii="宋体" w:hAnsi="宋体" w:cs="宋体"/>
          <w:sz w:val="24"/>
        </w:rPr>
        <w:t>，按照</w:t>
      </w:r>
      <w:r>
        <w:rPr>
          <w:rFonts w:hint="eastAsia" w:ascii="宋体" w:hAnsi="宋体" w:cs="宋体"/>
          <w:bCs/>
          <w:sz w:val="24"/>
        </w:rPr>
        <w:t>公平、公正、择优的原则进行</w:t>
      </w:r>
      <w:r>
        <w:rPr>
          <w:rFonts w:hint="eastAsia" w:ascii="宋体" w:hAnsi="宋体" w:cs="宋体"/>
          <w:sz w:val="24"/>
        </w:rPr>
        <w:t>独立</w:t>
      </w:r>
      <w:r>
        <w:rPr>
          <w:rFonts w:hint="eastAsia" w:ascii="宋体" w:hAnsi="宋体" w:cs="宋体"/>
          <w:bCs/>
          <w:sz w:val="24"/>
        </w:rPr>
        <w:t>评标。</w:t>
      </w:r>
    </w:p>
    <w:p w14:paraId="0A27BDD4">
      <w:pPr>
        <w:tabs>
          <w:tab w:val="left" w:pos="3585"/>
        </w:tabs>
        <w:snapToGrid w:val="0"/>
        <w:spacing w:line="460" w:lineRule="exact"/>
        <w:ind w:firstLine="460" w:firstLineChars="192"/>
        <w:rPr>
          <w:rFonts w:ascii="宋体" w:hAnsi="宋体" w:cs="宋体"/>
          <w:sz w:val="24"/>
        </w:rPr>
      </w:pPr>
      <w:r>
        <w:rPr>
          <w:rFonts w:hint="eastAsia" w:ascii="宋体" w:hAnsi="宋体" w:cs="宋体"/>
          <w:sz w:val="24"/>
        </w:rPr>
        <w:t>由采购人代表对比选人资格性、符合性审查，对未通过审查的供应商，应现场告知原因。评委会对合格供应商的比选响应文件进行评审。</w:t>
      </w:r>
    </w:p>
    <w:p w14:paraId="5479E4DC">
      <w:pPr>
        <w:snapToGrid w:val="0"/>
        <w:spacing w:line="460" w:lineRule="exact"/>
        <w:ind w:firstLine="482" w:firstLineChars="200"/>
        <w:rPr>
          <w:rFonts w:ascii="宋体" w:hAnsi="宋体" w:cs="宋体"/>
          <w:b/>
          <w:sz w:val="24"/>
        </w:rPr>
      </w:pPr>
      <w:r>
        <w:rPr>
          <w:rFonts w:hint="eastAsia" w:ascii="宋体" w:hAnsi="宋体" w:cs="宋体"/>
          <w:b/>
          <w:sz w:val="24"/>
        </w:rPr>
        <w:t>（一）评审内容</w:t>
      </w:r>
    </w:p>
    <w:p w14:paraId="4EEDDB75">
      <w:pPr>
        <w:snapToGrid w:val="0"/>
        <w:spacing w:line="460" w:lineRule="exact"/>
        <w:ind w:firstLine="480" w:firstLineChars="200"/>
        <w:rPr>
          <w:rFonts w:hint="eastAsia" w:ascii="宋体" w:hAnsi="宋体" w:eastAsia="宋体" w:cs="宋体"/>
          <w:sz w:val="24"/>
          <w:lang w:eastAsia="zh-CN"/>
        </w:rPr>
      </w:pPr>
      <w:r>
        <w:rPr>
          <w:rFonts w:hint="eastAsia" w:ascii="宋体" w:hAnsi="宋体" w:cs="宋体"/>
          <w:sz w:val="24"/>
        </w:rPr>
        <w:t>1.参选资格是否符合</w:t>
      </w:r>
      <w:r>
        <w:rPr>
          <w:rFonts w:hint="eastAsia" w:ascii="宋体" w:hAnsi="宋体" w:cs="宋体"/>
          <w:sz w:val="24"/>
          <w:lang w:eastAsia="zh-CN"/>
        </w:rPr>
        <w:t>；</w:t>
      </w:r>
    </w:p>
    <w:p w14:paraId="1CF86C78">
      <w:pPr>
        <w:snapToGrid w:val="0"/>
        <w:spacing w:line="460" w:lineRule="exact"/>
        <w:ind w:firstLine="480" w:firstLineChars="200"/>
        <w:rPr>
          <w:rFonts w:ascii="宋体" w:hAnsi="宋体" w:cs="宋体"/>
          <w:sz w:val="24"/>
        </w:rPr>
      </w:pPr>
      <w:r>
        <w:rPr>
          <w:rFonts w:hint="eastAsia" w:ascii="宋体" w:hAnsi="宋体" w:cs="宋体"/>
          <w:sz w:val="24"/>
        </w:rPr>
        <w:t>2.比选响应文件是否完整；</w:t>
      </w:r>
    </w:p>
    <w:p w14:paraId="1A841E41">
      <w:pPr>
        <w:snapToGrid w:val="0"/>
        <w:spacing w:line="460" w:lineRule="exact"/>
        <w:ind w:firstLine="480" w:firstLineChars="200"/>
        <w:rPr>
          <w:rFonts w:ascii="宋体" w:hAnsi="宋体" w:cs="宋体"/>
          <w:sz w:val="24"/>
        </w:rPr>
      </w:pPr>
      <w:r>
        <w:rPr>
          <w:rFonts w:hint="eastAsia" w:ascii="宋体" w:hAnsi="宋体" w:cs="宋体"/>
          <w:sz w:val="24"/>
        </w:rPr>
        <w:t>3.比选响应文件是否恰当地签署；</w:t>
      </w:r>
    </w:p>
    <w:p w14:paraId="7BEDC6DB">
      <w:pPr>
        <w:snapToGrid w:val="0"/>
        <w:spacing w:line="460" w:lineRule="exact"/>
        <w:ind w:firstLine="540"/>
        <w:rPr>
          <w:rFonts w:ascii="宋体" w:hAnsi="宋体" w:cs="宋体"/>
          <w:b/>
          <w:sz w:val="24"/>
        </w:rPr>
      </w:pPr>
      <w:r>
        <w:rPr>
          <w:rFonts w:hint="eastAsia" w:ascii="宋体" w:hAnsi="宋体" w:cs="宋体"/>
          <w:sz w:val="24"/>
        </w:rPr>
        <w:t>4.是否作出实质性响应（</w:t>
      </w:r>
      <w:r>
        <w:rPr>
          <w:rFonts w:hint="eastAsia" w:ascii="宋体" w:hAnsi="宋体" w:cs="宋体"/>
          <w:b/>
          <w:sz w:val="24"/>
        </w:rPr>
        <w:t>是否有实质性响应，只根据比选响应文件本身，而不寻求外部证据）；</w:t>
      </w:r>
    </w:p>
    <w:p w14:paraId="1640B769">
      <w:pPr>
        <w:snapToGrid w:val="0"/>
        <w:spacing w:line="460" w:lineRule="exact"/>
        <w:ind w:firstLine="480" w:firstLineChars="200"/>
        <w:rPr>
          <w:rFonts w:ascii="宋体" w:hAnsi="宋体" w:cs="宋体"/>
          <w:sz w:val="24"/>
        </w:rPr>
      </w:pPr>
      <w:r>
        <w:rPr>
          <w:rFonts w:hint="eastAsia" w:ascii="宋体" w:hAnsi="宋体" w:cs="宋体"/>
          <w:sz w:val="24"/>
        </w:rPr>
        <w:t>5.是否有计算错误。</w:t>
      </w:r>
    </w:p>
    <w:p w14:paraId="284143BE">
      <w:pPr>
        <w:snapToGrid w:val="0"/>
        <w:spacing w:line="460" w:lineRule="exact"/>
        <w:ind w:firstLine="482" w:firstLineChars="200"/>
        <w:rPr>
          <w:rFonts w:ascii="宋体" w:hAnsi="宋体" w:cs="宋体"/>
          <w:b/>
          <w:bCs/>
          <w:sz w:val="24"/>
        </w:rPr>
      </w:pPr>
      <w:r>
        <w:rPr>
          <w:rFonts w:hint="eastAsia" w:ascii="宋体" w:hAnsi="宋体" w:cs="宋体"/>
          <w:b/>
          <w:bCs/>
          <w:sz w:val="24"/>
        </w:rPr>
        <w:t>（二）相应的规定</w:t>
      </w:r>
    </w:p>
    <w:p w14:paraId="497B393A">
      <w:pPr>
        <w:snapToGrid w:val="0"/>
        <w:spacing w:line="460" w:lineRule="exact"/>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如果单价汇总金额与总价金额有出入，以单价金额计算结果为准；</w:t>
      </w:r>
    </w:p>
    <w:p w14:paraId="702E5206">
      <w:pPr>
        <w:snapToGrid w:val="0"/>
        <w:spacing w:line="460" w:lineRule="exact"/>
        <w:ind w:firstLine="480" w:firstLineChars="200"/>
        <w:rPr>
          <w:rFonts w:ascii="宋体" w:hAnsi="宋体" w:cs="宋体"/>
          <w:sz w:val="24"/>
        </w:rPr>
      </w:pPr>
      <w:r>
        <w:rPr>
          <w:rFonts w:hint="eastAsia" w:ascii="宋体" w:hAnsi="宋体" w:cs="宋体"/>
          <w:sz w:val="24"/>
        </w:rPr>
        <w:t>2.单价金额小数点有明显错位的，应以总价为准；</w:t>
      </w:r>
    </w:p>
    <w:p w14:paraId="0E85C6A5">
      <w:pPr>
        <w:snapToGrid w:val="0"/>
        <w:spacing w:line="460" w:lineRule="exact"/>
        <w:ind w:firstLine="480" w:firstLineChars="200"/>
        <w:rPr>
          <w:rFonts w:ascii="宋体" w:hAnsi="宋体" w:cs="宋体"/>
          <w:sz w:val="24"/>
        </w:rPr>
      </w:pPr>
      <w:r>
        <w:rPr>
          <w:rFonts w:hint="eastAsia" w:ascii="宋体" w:hAnsi="宋体" w:cs="宋体"/>
          <w:sz w:val="24"/>
        </w:rPr>
        <w:t>3.正本与副本有矛盾的，以正本为准；</w:t>
      </w:r>
    </w:p>
    <w:p w14:paraId="44E783C1">
      <w:pPr>
        <w:snapToGrid w:val="0"/>
        <w:spacing w:line="460" w:lineRule="exact"/>
        <w:ind w:firstLine="480" w:firstLineChars="200"/>
        <w:rPr>
          <w:rFonts w:ascii="宋体" w:hAnsi="宋体" w:cs="宋体"/>
          <w:sz w:val="24"/>
        </w:rPr>
      </w:pPr>
      <w:r>
        <w:rPr>
          <w:rFonts w:hint="eastAsia" w:ascii="宋体" w:hAnsi="宋体" w:cs="宋体"/>
          <w:sz w:val="24"/>
        </w:rPr>
        <w:t>4.若文件大写表示的数据与数字表示的有差别，以大写表示的数据为准。</w:t>
      </w:r>
    </w:p>
    <w:p w14:paraId="0F78C463">
      <w:pPr>
        <w:tabs>
          <w:tab w:val="left" w:pos="3585"/>
        </w:tabs>
        <w:snapToGrid w:val="0"/>
        <w:spacing w:line="460" w:lineRule="exact"/>
        <w:ind w:firstLine="482" w:firstLineChars="200"/>
        <w:rPr>
          <w:rFonts w:ascii="宋体" w:hAnsi="宋体" w:cs="宋体"/>
          <w:b/>
          <w:bCs/>
          <w:sz w:val="24"/>
        </w:rPr>
      </w:pPr>
      <w:r>
        <w:rPr>
          <w:rFonts w:hint="eastAsia" w:ascii="宋体" w:hAnsi="宋体" w:cs="宋体"/>
          <w:b/>
          <w:bCs/>
          <w:sz w:val="24"/>
        </w:rPr>
        <w:t>三、</w:t>
      </w:r>
      <w:r>
        <w:rPr>
          <w:rFonts w:hint="eastAsia" w:ascii="宋体" w:hAnsi="宋体" w:cs="宋体"/>
          <w:b/>
          <w:sz w:val="24"/>
        </w:rPr>
        <w:t>陈述、演示、</w:t>
      </w:r>
      <w:r>
        <w:rPr>
          <w:rFonts w:hint="eastAsia" w:ascii="宋体" w:hAnsi="宋体" w:cs="宋体"/>
          <w:b/>
          <w:bCs/>
          <w:sz w:val="24"/>
        </w:rPr>
        <w:t>答疑、澄清</w:t>
      </w:r>
    </w:p>
    <w:p w14:paraId="26F1960E">
      <w:pPr>
        <w:snapToGrid w:val="0"/>
        <w:spacing w:line="460" w:lineRule="exact"/>
        <w:ind w:firstLine="570"/>
        <w:rPr>
          <w:rFonts w:ascii="宋体" w:hAnsi="宋体" w:cs="宋体"/>
          <w:b/>
          <w:sz w:val="24"/>
        </w:rPr>
      </w:pPr>
      <w:r>
        <w:rPr>
          <w:rFonts w:hint="eastAsia" w:ascii="宋体" w:hAnsi="宋体" w:cs="宋体"/>
          <w:sz w:val="24"/>
          <w:shd w:val="clear" w:color="auto" w:fill="FFFFFF"/>
        </w:rPr>
        <w:t>如评委会认为有必要，比选人按评委会的要求作陈述、演示、</w:t>
      </w:r>
      <w:r>
        <w:rPr>
          <w:rFonts w:hint="eastAsia" w:ascii="宋体" w:hAnsi="宋体" w:cs="宋体"/>
          <w:sz w:val="24"/>
        </w:rPr>
        <w:t>答疑及澄清其比选内容。时间由评委会掌握。</w:t>
      </w:r>
    </w:p>
    <w:p w14:paraId="54E9B1AB">
      <w:pPr>
        <w:snapToGrid w:val="0"/>
        <w:spacing w:line="460" w:lineRule="exact"/>
        <w:ind w:firstLine="570"/>
        <w:rPr>
          <w:rFonts w:ascii="宋体" w:hAnsi="宋体" w:cs="宋体"/>
          <w:sz w:val="24"/>
        </w:rPr>
      </w:pPr>
      <w:r>
        <w:rPr>
          <w:rFonts w:hint="eastAsia" w:ascii="宋体" w:hAnsi="宋体" w:cs="宋体"/>
          <w:sz w:val="24"/>
        </w:rPr>
        <w:t>重要澄清答复应是书面的，但不得对比选内容进行实质性修改。</w:t>
      </w:r>
    </w:p>
    <w:p w14:paraId="0C1CE51F">
      <w:pPr>
        <w:tabs>
          <w:tab w:val="left" w:pos="6555"/>
          <w:tab w:val="right" w:pos="8306"/>
        </w:tabs>
        <w:snapToGrid w:val="0"/>
        <w:spacing w:line="460" w:lineRule="exact"/>
        <w:ind w:firstLine="482" w:firstLineChars="200"/>
        <w:rPr>
          <w:rFonts w:ascii="宋体" w:hAnsi="宋体" w:cs="宋体"/>
          <w:b/>
          <w:sz w:val="24"/>
        </w:rPr>
      </w:pPr>
      <w:r>
        <w:rPr>
          <w:rFonts w:hint="eastAsia" w:ascii="宋体" w:hAnsi="宋体" w:cs="宋体"/>
          <w:b/>
          <w:sz w:val="24"/>
        </w:rPr>
        <w:t>四、出现下列情形之一的，作无效比选处理;</w:t>
      </w:r>
    </w:p>
    <w:p w14:paraId="10D89349">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1.未按照采购文件规定要求签署、盖章的；</w:t>
      </w:r>
    </w:p>
    <w:p w14:paraId="1EAF5AF2">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2.不具备采购文件中规定的资格要求的；</w:t>
      </w:r>
    </w:p>
    <w:p w14:paraId="53DB84CB">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3.报价超过采购文件中规定的预算金额或者最高限价的；</w:t>
      </w:r>
    </w:p>
    <w:p w14:paraId="6E4D6E81">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4.比选响应文件含有采购人不能接受的附加条件的；</w:t>
      </w:r>
    </w:p>
    <w:p w14:paraId="5F429F45">
      <w:pPr>
        <w:snapToGrid w:val="0"/>
        <w:spacing w:line="460" w:lineRule="exact"/>
        <w:ind w:firstLine="570"/>
        <w:rPr>
          <w:rFonts w:ascii="宋体" w:hAnsi="宋体" w:cs="宋体"/>
          <w:sz w:val="24"/>
        </w:rPr>
      </w:pPr>
      <w:r>
        <w:rPr>
          <w:rFonts w:hint="eastAsia" w:ascii="宋体" w:hAnsi="宋体" w:cs="宋体"/>
          <w:sz w:val="24"/>
        </w:rPr>
        <w:t>5.不符合采购文件中规定的其他实质性要求的。</w:t>
      </w:r>
    </w:p>
    <w:p w14:paraId="51F80E49">
      <w:pPr>
        <w:snapToGrid w:val="0"/>
        <w:spacing w:line="460" w:lineRule="exact"/>
        <w:ind w:firstLine="570"/>
        <w:rPr>
          <w:rFonts w:ascii="宋体" w:hAnsi="宋体" w:cs="宋体"/>
          <w:b/>
          <w:sz w:val="24"/>
        </w:rPr>
      </w:pPr>
      <w:r>
        <w:rPr>
          <w:rFonts w:hint="eastAsia" w:ascii="宋体" w:hAnsi="宋体" w:cs="宋体"/>
          <w:b/>
          <w:sz w:val="24"/>
        </w:rPr>
        <w:t>五、出现下列情形之一的，作废标处理</w:t>
      </w:r>
    </w:p>
    <w:p w14:paraId="6827D83E">
      <w:pPr>
        <w:snapToGrid w:val="0"/>
        <w:spacing w:line="460" w:lineRule="exact"/>
        <w:ind w:firstLine="480" w:firstLineChars="200"/>
        <w:rPr>
          <w:rFonts w:ascii="宋体" w:hAnsi="宋体" w:cs="宋体"/>
          <w:b/>
          <w:sz w:val="24"/>
        </w:rPr>
      </w:pPr>
      <w:r>
        <w:rPr>
          <w:rFonts w:hint="eastAsia" w:ascii="宋体" w:hAnsi="宋体" w:cs="宋体"/>
          <w:sz w:val="24"/>
        </w:rPr>
        <w:t>1.符合条件的供应商或者对比选文件作实质响应的供应商不足3家的；</w:t>
      </w:r>
    </w:p>
    <w:p w14:paraId="680B2BD6">
      <w:pPr>
        <w:snapToGrid w:val="0"/>
        <w:spacing w:line="460" w:lineRule="exact"/>
        <w:ind w:firstLine="570"/>
        <w:rPr>
          <w:rFonts w:ascii="宋体" w:hAnsi="宋体" w:cs="宋体"/>
          <w:b/>
          <w:sz w:val="24"/>
        </w:rPr>
      </w:pPr>
      <w:r>
        <w:rPr>
          <w:rFonts w:hint="eastAsia" w:ascii="宋体" w:hAnsi="宋体" w:cs="宋体"/>
          <w:bCs/>
          <w:sz w:val="24"/>
        </w:rPr>
        <w:t>2</w:t>
      </w:r>
      <w:r>
        <w:rPr>
          <w:rFonts w:hint="eastAsia" w:ascii="宋体" w:hAnsi="宋体" w:cs="宋体"/>
          <w:b/>
          <w:sz w:val="24"/>
        </w:rPr>
        <w:t>.</w:t>
      </w:r>
      <w:r>
        <w:rPr>
          <w:rFonts w:hint="eastAsia" w:ascii="宋体" w:hAnsi="宋体" w:cs="宋体"/>
          <w:sz w:val="24"/>
        </w:rPr>
        <w:t>出现影响采购公正的违法违规行为的；</w:t>
      </w:r>
    </w:p>
    <w:p w14:paraId="00C72CD3">
      <w:pPr>
        <w:snapToGrid w:val="0"/>
        <w:spacing w:line="460" w:lineRule="exact"/>
        <w:ind w:firstLine="555"/>
        <w:rPr>
          <w:rFonts w:ascii="宋体" w:hAnsi="宋体" w:cs="宋体"/>
          <w:sz w:val="24"/>
        </w:rPr>
      </w:pPr>
      <w:r>
        <w:rPr>
          <w:rFonts w:hint="eastAsia" w:ascii="宋体" w:hAnsi="宋体" w:cs="宋体"/>
          <w:sz w:val="24"/>
        </w:rPr>
        <w:t>3.比选人的报价均超过了采购预算，采购人不能支付的；</w:t>
      </w:r>
    </w:p>
    <w:p w14:paraId="2D876C9E">
      <w:pPr>
        <w:snapToGrid w:val="0"/>
        <w:spacing w:line="460" w:lineRule="exact"/>
        <w:ind w:firstLine="555"/>
        <w:rPr>
          <w:rFonts w:ascii="宋体" w:hAnsi="宋体" w:cs="宋体"/>
          <w:sz w:val="24"/>
        </w:rPr>
      </w:pPr>
      <w:r>
        <w:rPr>
          <w:rFonts w:hint="eastAsia" w:ascii="宋体" w:hAnsi="宋体" w:cs="宋体"/>
          <w:sz w:val="24"/>
        </w:rPr>
        <w:t>4.因重大变故，采购任务取消的。</w:t>
      </w:r>
    </w:p>
    <w:p w14:paraId="729420A6">
      <w:pPr>
        <w:snapToGrid w:val="0"/>
        <w:spacing w:line="460" w:lineRule="exact"/>
        <w:ind w:firstLine="555"/>
        <w:rPr>
          <w:rFonts w:ascii="宋体" w:hAnsi="宋体" w:cs="宋体"/>
          <w:sz w:val="24"/>
        </w:rPr>
      </w:pPr>
      <w:r>
        <w:rPr>
          <w:rFonts w:hint="eastAsia" w:ascii="宋体" w:hAnsi="宋体" w:cs="宋体"/>
          <w:sz w:val="24"/>
        </w:rPr>
        <w:t>上述均保留评委会认定可以确定为无效比选或废标的其他情况。</w:t>
      </w:r>
    </w:p>
    <w:p w14:paraId="1FA79166">
      <w:pPr>
        <w:snapToGrid w:val="0"/>
        <w:spacing w:line="460" w:lineRule="exact"/>
        <w:ind w:firstLine="555"/>
        <w:rPr>
          <w:rFonts w:ascii="宋体" w:hAnsi="宋体" w:cs="宋体"/>
          <w:sz w:val="24"/>
        </w:rPr>
      </w:pPr>
      <w:r>
        <w:rPr>
          <w:rFonts w:hint="eastAsia" w:ascii="宋体" w:hAnsi="宋体" w:cs="宋体"/>
          <w:b/>
          <w:sz w:val="24"/>
        </w:rPr>
        <w:t>六、评审程序</w:t>
      </w:r>
    </w:p>
    <w:p w14:paraId="2ECC8058">
      <w:pPr>
        <w:snapToGrid w:val="0"/>
        <w:spacing w:line="460" w:lineRule="exact"/>
        <w:ind w:firstLine="555"/>
        <w:rPr>
          <w:rFonts w:ascii="宋体" w:hAnsi="宋体" w:cs="宋体"/>
          <w:b/>
          <w:sz w:val="24"/>
        </w:rPr>
      </w:pPr>
      <w:r>
        <w:rPr>
          <w:rFonts w:hint="eastAsia" w:ascii="宋体" w:hAnsi="宋体" w:cs="宋体"/>
          <w:b/>
          <w:sz w:val="24"/>
        </w:rPr>
        <w:t>资格审查→价格标评审→确定中标候选人</w:t>
      </w:r>
    </w:p>
    <w:p w14:paraId="52E375A4">
      <w:pPr>
        <w:snapToGrid w:val="0"/>
        <w:spacing w:line="460" w:lineRule="exact"/>
        <w:ind w:firstLine="555"/>
        <w:rPr>
          <w:rFonts w:ascii="宋体" w:hAnsi="宋体" w:cs="宋体"/>
          <w:b/>
          <w:sz w:val="24"/>
        </w:rPr>
      </w:pPr>
      <w:r>
        <w:rPr>
          <w:rFonts w:hint="eastAsia" w:ascii="宋体" w:hAnsi="宋体" w:cs="宋体"/>
          <w:b/>
          <w:sz w:val="24"/>
        </w:rPr>
        <w:t>七、资格审查</w:t>
      </w:r>
    </w:p>
    <w:p w14:paraId="54DAF627">
      <w:pPr>
        <w:spacing w:line="360" w:lineRule="auto"/>
        <w:ind w:firstLine="480" w:firstLineChars="200"/>
        <w:rPr>
          <w:rFonts w:ascii="宋体" w:hAnsi="宋体" w:cs="宋体"/>
          <w:sz w:val="24"/>
        </w:rPr>
      </w:pPr>
      <w:r>
        <w:rPr>
          <w:rFonts w:hint="eastAsia" w:ascii="宋体" w:hAnsi="宋体" w:cs="宋体"/>
          <w:sz w:val="24"/>
        </w:rPr>
        <w:t>1、采购人将委托评委会对各供应商的资格进行审查，审查通过方可参与项目的价格评审。</w:t>
      </w:r>
    </w:p>
    <w:p w14:paraId="046F6E73">
      <w:pPr>
        <w:spacing w:line="360" w:lineRule="auto"/>
        <w:ind w:firstLine="480" w:firstLineChars="200"/>
        <w:rPr>
          <w:rFonts w:ascii="宋体" w:hAnsi="宋体" w:cs="宋体"/>
          <w:sz w:val="24"/>
        </w:rPr>
      </w:pPr>
      <w:r>
        <w:rPr>
          <w:rFonts w:hint="eastAsia" w:ascii="宋体" w:hAnsi="宋体" w:cs="宋体"/>
          <w:sz w:val="24"/>
        </w:rPr>
        <w:t>2、资格审查合格的供应商进入评标。</w:t>
      </w:r>
    </w:p>
    <w:p w14:paraId="54A09E27">
      <w:pPr>
        <w:adjustRightInd w:val="0"/>
        <w:snapToGrid w:val="0"/>
        <w:spacing w:line="360" w:lineRule="auto"/>
        <w:ind w:firstLine="484" w:firstLineChars="202"/>
        <w:rPr>
          <w:rFonts w:cs="宋体" w:asciiTheme="minorEastAsia" w:hAnsiTheme="minorEastAsia" w:eastAsiaTheme="minorEastAsia"/>
          <w:sz w:val="24"/>
        </w:rPr>
      </w:pPr>
      <w:r>
        <w:rPr>
          <w:rFonts w:hint="eastAsia" w:ascii="宋体" w:hAnsi="宋体" w:cs="宋体"/>
          <w:sz w:val="24"/>
        </w:rPr>
        <w:t>3、资格审查标准</w:t>
      </w:r>
      <w:r>
        <w:rPr>
          <w:rFonts w:hint="eastAsia" w:cs="宋体" w:asciiTheme="minorEastAsia" w:hAnsiTheme="minorEastAsia" w:eastAsiaTheme="minorEastAsia"/>
          <w:sz w:val="24"/>
        </w:rPr>
        <w:t>：</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5B7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DBB3587">
            <w:pPr>
              <w:spacing w:line="420" w:lineRule="exact"/>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056B5A2A">
            <w:pPr>
              <w:spacing w:line="420" w:lineRule="exact"/>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6B7D938D">
            <w:pPr>
              <w:spacing w:line="420" w:lineRule="exact"/>
              <w:rPr>
                <w:rFonts w:cs="宋体" w:asciiTheme="minorEastAsia" w:hAnsiTheme="minorEastAsia" w:eastAsiaTheme="minorEastAsia"/>
                <w:sz w:val="24"/>
              </w:rPr>
            </w:pPr>
            <w:r>
              <w:rPr>
                <w:rFonts w:hint="eastAsia" w:cs="宋体" w:asciiTheme="minorEastAsia" w:hAnsiTheme="minorEastAsia" w:eastAsiaTheme="minorEastAsia"/>
                <w:sz w:val="24"/>
              </w:rPr>
              <w:t>标准：唯一性判断条件是与否（在对应的括号内打勾）</w:t>
            </w:r>
          </w:p>
        </w:tc>
      </w:tr>
      <w:tr w14:paraId="336D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078CE38">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65B0AE97">
            <w:pPr>
              <w:snapToGrid w:val="0"/>
              <w:spacing w:line="420" w:lineRule="exact"/>
              <w:jc w:val="lef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4A450FFB">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1533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F563DA">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245BAE83">
            <w:pPr>
              <w:snapToGrid w:val="0"/>
              <w:spacing w:line="420" w:lineRule="exact"/>
              <w:rPr>
                <w:rFonts w:cs="宋体"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color w:val="auto"/>
                <w:sz w:val="24"/>
                <w:szCs w:val="20"/>
                <w:highlight w:val="none"/>
                <w:lang w:val="zh-CN"/>
              </w:rPr>
              <w:t>及被授权人在该单位2025年</w:t>
            </w:r>
            <w:r>
              <w:rPr>
                <w:rFonts w:hint="eastAsia" w:cs="宋体" w:asciiTheme="minorEastAsia" w:hAnsiTheme="minorEastAsia" w:eastAsiaTheme="minorEastAsia"/>
                <w:color w:val="auto"/>
                <w:sz w:val="24"/>
                <w:szCs w:val="20"/>
                <w:highlight w:val="none"/>
              </w:rPr>
              <w:t>5</w:t>
            </w:r>
            <w:r>
              <w:rPr>
                <w:rFonts w:hint="eastAsia" w:cs="宋体" w:asciiTheme="minorEastAsia" w:hAnsiTheme="minorEastAsia" w:eastAsiaTheme="minorEastAsia"/>
                <w:color w:val="auto"/>
                <w:sz w:val="24"/>
                <w:szCs w:val="20"/>
                <w:highlight w:val="none"/>
                <w:lang w:val="zh-CN"/>
              </w:rPr>
              <w:t>月-2025年</w:t>
            </w:r>
            <w:r>
              <w:rPr>
                <w:rFonts w:hint="eastAsia" w:cs="宋体" w:asciiTheme="minorEastAsia" w:hAnsiTheme="minorEastAsia" w:eastAsiaTheme="minorEastAsia"/>
                <w:color w:val="auto"/>
                <w:sz w:val="24"/>
                <w:szCs w:val="20"/>
                <w:highlight w:val="none"/>
              </w:rPr>
              <w:t>7</w:t>
            </w:r>
            <w:r>
              <w:rPr>
                <w:rFonts w:hint="eastAsia" w:cs="宋体" w:asciiTheme="minorEastAsia" w:hAnsiTheme="minorEastAsia" w:eastAsiaTheme="minorEastAsia"/>
                <w:color w:val="auto"/>
                <w:sz w:val="24"/>
                <w:szCs w:val="20"/>
                <w:highlight w:val="none"/>
                <w:lang w:val="zh-CN"/>
              </w:rPr>
              <w:t>月</w:t>
            </w:r>
            <w:r>
              <w:rPr>
                <w:rFonts w:hint="eastAsia" w:cs="宋体" w:asciiTheme="minorEastAsia" w:hAnsiTheme="minorEastAsia" w:eastAsiaTheme="minorEastAsia"/>
                <w:color w:val="auto"/>
                <w:sz w:val="24"/>
                <w:szCs w:val="20"/>
                <w:highlight w:val="none"/>
              </w:rPr>
              <w:t>任意一个月</w:t>
            </w:r>
            <w:r>
              <w:rPr>
                <w:rFonts w:hint="eastAsia" w:cs="宋体" w:asciiTheme="minorEastAsia" w:hAnsiTheme="minorEastAsia" w:eastAsiaTheme="minorEastAsia"/>
                <w:color w:val="auto"/>
                <w:sz w:val="24"/>
                <w:szCs w:val="20"/>
                <w:highlight w:val="none"/>
                <w:lang w:val="zh-CN"/>
              </w:rPr>
              <w:t>的社保证明复印件加盖公章（</w:t>
            </w:r>
            <w:r>
              <w:rPr>
                <w:rFonts w:hint="eastAsia" w:cs="宋体" w:asciiTheme="minorEastAsia" w:hAnsiTheme="minorEastAsia" w:eastAsiaTheme="minorEastAsia"/>
                <w:color w:val="auto"/>
                <w:sz w:val="24"/>
                <w:szCs w:val="20"/>
                <w:highlight w:val="none"/>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340C7036">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D9D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33B7F0F">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63143200">
            <w:pPr>
              <w:spacing w:line="420" w:lineRule="exact"/>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szCs w:val="20"/>
                <w:lang w:val="zh-CN"/>
              </w:rPr>
              <w:t>供应商符合资格条件的声明函（</w:t>
            </w:r>
            <w:r>
              <w:rPr>
                <w:rFonts w:hint="eastAsia" w:cs="宋体" w:asciiTheme="minorEastAsia" w:hAnsiTheme="minorEastAsia" w:eastAsiaTheme="minorEastAsia"/>
                <w:color w:val="auto"/>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2B22C9DC">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1F85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370F2C0">
            <w:pPr>
              <w:spacing w:line="420" w:lineRule="exact"/>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22B4967C">
            <w:pPr>
              <w:spacing w:line="420" w:lineRule="exact"/>
              <w:jc w:val="left"/>
              <w:rPr>
                <w:rFonts w:hint="eastAsia" w:cs="宋体" w:asciiTheme="minorEastAsia" w:hAnsiTheme="minorEastAsia" w:eastAsiaTheme="minorEastAsia"/>
                <w:color w:val="auto"/>
                <w:sz w:val="24"/>
                <w:szCs w:val="20"/>
              </w:rPr>
            </w:pPr>
            <w:r>
              <w:rPr>
                <w:rFonts w:hint="eastAsia" w:ascii="宋体" w:hAnsi="宋体"/>
                <w:color w:val="auto"/>
                <w:sz w:val="24"/>
                <w:szCs w:val="22"/>
              </w:rPr>
              <w:t>未被“信用中国”网站（www.creditchina.gov.cn）列入失信被执行人、重大税收违法案件当事人名单、政府采购严重失信行为记录名单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3C3C4FD0">
            <w:pPr>
              <w:spacing w:line="42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7275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7E6CE7F">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6777" w:type="dxa"/>
            <w:tcBorders>
              <w:top w:val="single" w:color="auto" w:sz="4" w:space="0"/>
              <w:left w:val="single" w:color="auto" w:sz="4" w:space="0"/>
              <w:bottom w:val="single" w:color="auto" w:sz="4" w:space="0"/>
              <w:right w:val="single" w:color="auto" w:sz="4" w:space="0"/>
            </w:tcBorders>
            <w:noWrap/>
            <w:vAlign w:val="center"/>
          </w:tcPr>
          <w:p w14:paraId="59734482">
            <w:pPr>
              <w:spacing w:line="420" w:lineRule="exact"/>
              <w:jc w:val="left"/>
              <w:rPr>
                <w:rFonts w:cs="宋体" w:asciiTheme="minorEastAsia" w:hAnsiTheme="minorEastAsia" w:eastAsiaTheme="minorEastAsia"/>
                <w:color w:val="auto"/>
                <w:sz w:val="24"/>
                <w:szCs w:val="20"/>
                <w:lang w:val="zh-CN"/>
              </w:rPr>
            </w:pPr>
            <w:r>
              <w:rPr>
                <w:rFonts w:hint="eastAsia" w:cs="宋体" w:asciiTheme="minorEastAsia" w:hAnsiTheme="minorEastAsia" w:eastAsiaTheme="minorEastAsia"/>
                <w:color w:val="auto"/>
                <w:sz w:val="24"/>
                <w:szCs w:val="20"/>
                <w:lang w:val="zh-CN"/>
              </w:rPr>
              <w:t>具备建设主管部门颁发的市政公用工程施工总承包</w:t>
            </w:r>
            <w:r>
              <w:rPr>
                <w:rFonts w:hint="eastAsia" w:cs="宋体" w:asciiTheme="minorEastAsia" w:hAnsiTheme="minorEastAsia" w:eastAsiaTheme="minorEastAsia"/>
                <w:color w:val="auto"/>
                <w:sz w:val="24"/>
                <w:szCs w:val="20"/>
              </w:rPr>
              <w:t>叁</w:t>
            </w:r>
            <w:r>
              <w:rPr>
                <w:rFonts w:hint="eastAsia" w:cs="宋体" w:asciiTheme="minorEastAsia" w:hAnsiTheme="minorEastAsia" w:eastAsiaTheme="minorEastAsia"/>
                <w:color w:val="auto"/>
                <w:sz w:val="24"/>
                <w:szCs w:val="20"/>
                <w:lang w:val="zh-CN"/>
              </w:rPr>
              <w:t>级及以上资质证复印件加盖公章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0DDFE674">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3C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542E6D">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6777" w:type="dxa"/>
            <w:tcBorders>
              <w:top w:val="single" w:color="auto" w:sz="4" w:space="0"/>
              <w:left w:val="single" w:color="auto" w:sz="4" w:space="0"/>
              <w:bottom w:val="single" w:color="auto" w:sz="4" w:space="0"/>
              <w:right w:val="single" w:color="auto" w:sz="4" w:space="0"/>
            </w:tcBorders>
            <w:noWrap/>
            <w:vAlign w:val="center"/>
          </w:tcPr>
          <w:p w14:paraId="3E203BE2">
            <w:pPr>
              <w:spacing w:line="420" w:lineRule="exact"/>
              <w:jc w:val="left"/>
              <w:rPr>
                <w:rFonts w:cs="宋体" w:asciiTheme="minorEastAsia" w:hAnsiTheme="minorEastAsia" w:eastAsiaTheme="minorEastAsia"/>
                <w:color w:val="auto"/>
                <w:sz w:val="24"/>
                <w:szCs w:val="20"/>
                <w:lang w:val="zh-CN"/>
              </w:rPr>
            </w:pPr>
            <w:r>
              <w:rPr>
                <w:rFonts w:hint="eastAsia" w:ascii="宋体" w:hAnsi="宋体"/>
                <w:color w:val="auto"/>
                <w:sz w:val="24"/>
              </w:rPr>
              <w:t>企业具备安全产生条件，并取得有效的安全生产许可证复印件加盖公章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0FB3BF5E">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5A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C7015E1">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6777" w:type="dxa"/>
            <w:tcBorders>
              <w:top w:val="single" w:color="auto" w:sz="4" w:space="0"/>
              <w:left w:val="single" w:color="auto" w:sz="4" w:space="0"/>
              <w:bottom w:val="single" w:color="auto" w:sz="4" w:space="0"/>
              <w:right w:val="single" w:color="auto" w:sz="4" w:space="0"/>
            </w:tcBorders>
            <w:noWrap/>
            <w:vAlign w:val="center"/>
          </w:tcPr>
          <w:p w14:paraId="1FB8C73E">
            <w:pPr>
              <w:spacing w:line="420" w:lineRule="exact"/>
              <w:jc w:val="left"/>
              <w:rPr>
                <w:rFonts w:ascii="宋体" w:hAnsi="宋体"/>
                <w:color w:val="auto"/>
                <w:sz w:val="24"/>
                <w:highlight w:val="none"/>
              </w:rPr>
            </w:pPr>
            <w:r>
              <w:rPr>
                <w:rFonts w:hint="eastAsia" w:ascii="宋体" w:hAnsi="宋体"/>
                <w:color w:val="auto"/>
                <w:sz w:val="24"/>
                <w:highlight w:val="none"/>
              </w:rPr>
              <w:t>供应商拟派项目负责人须具备市政公用工程专业二级及以上注册建造师，同时具有安全生产考核合格证（B证），且为投标企业正式员工，提供</w:t>
            </w:r>
            <w:r>
              <w:rPr>
                <w:rFonts w:hint="eastAsia" w:cs="宋体" w:asciiTheme="minorEastAsia" w:hAnsiTheme="minorEastAsia" w:eastAsiaTheme="minorEastAsia"/>
                <w:color w:val="auto"/>
                <w:sz w:val="24"/>
                <w:szCs w:val="20"/>
                <w:highlight w:val="none"/>
                <w:lang w:val="zh-CN"/>
              </w:rPr>
              <w:t>在该单位2025年</w:t>
            </w:r>
            <w:r>
              <w:rPr>
                <w:rFonts w:hint="eastAsia" w:cs="宋体" w:asciiTheme="minorEastAsia" w:hAnsiTheme="minorEastAsia" w:eastAsiaTheme="minorEastAsia"/>
                <w:color w:val="auto"/>
                <w:sz w:val="24"/>
                <w:szCs w:val="20"/>
                <w:highlight w:val="none"/>
              </w:rPr>
              <w:t>5</w:t>
            </w:r>
            <w:r>
              <w:rPr>
                <w:rFonts w:hint="eastAsia" w:cs="宋体" w:asciiTheme="minorEastAsia" w:hAnsiTheme="minorEastAsia" w:eastAsiaTheme="minorEastAsia"/>
                <w:color w:val="auto"/>
                <w:sz w:val="24"/>
                <w:szCs w:val="20"/>
                <w:highlight w:val="none"/>
                <w:lang w:val="zh-CN"/>
              </w:rPr>
              <w:t>月-2025年</w:t>
            </w:r>
            <w:r>
              <w:rPr>
                <w:rFonts w:hint="eastAsia" w:cs="宋体" w:asciiTheme="minorEastAsia" w:hAnsiTheme="minorEastAsia" w:eastAsiaTheme="minorEastAsia"/>
                <w:color w:val="auto"/>
                <w:sz w:val="24"/>
                <w:szCs w:val="20"/>
                <w:highlight w:val="none"/>
              </w:rPr>
              <w:t>7</w:t>
            </w:r>
            <w:r>
              <w:rPr>
                <w:rFonts w:hint="eastAsia" w:cs="宋体" w:asciiTheme="minorEastAsia" w:hAnsiTheme="minorEastAsia" w:eastAsiaTheme="minorEastAsia"/>
                <w:color w:val="auto"/>
                <w:sz w:val="24"/>
                <w:szCs w:val="20"/>
                <w:highlight w:val="none"/>
                <w:lang w:val="zh-CN"/>
              </w:rPr>
              <w:t>月</w:t>
            </w:r>
            <w:r>
              <w:rPr>
                <w:rFonts w:hint="eastAsia" w:cs="宋体" w:asciiTheme="minorEastAsia" w:hAnsiTheme="minorEastAsia" w:eastAsiaTheme="minorEastAsia"/>
                <w:color w:val="auto"/>
                <w:sz w:val="24"/>
                <w:szCs w:val="20"/>
                <w:highlight w:val="none"/>
              </w:rPr>
              <w:t>任意一个月</w:t>
            </w:r>
            <w:r>
              <w:rPr>
                <w:rFonts w:hint="eastAsia" w:cs="宋体" w:asciiTheme="minorEastAsia" w:hAnsiTheme="minorEastAsia" w:eastAsiaTheme="minorEastAsia"/>
                <w:color w:val="auto"/>
                <w:sz w:val="24"/>
                <w:szCs w:val="20"/>
                <w:highlight w:val="none"/>
                <w:lang w:val="zh-CN"/>
              </w:rPr>
              <w:t>的社保证明复印件加盖公章。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CAF6931">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C33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8670EC4">
            <w:pPr>
              <w:spacing w:line="420" w:lineRule="exact"/>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8</w:t>
            </w:r>
          </w:p>
        </w:tc>
        <w:tc>
          <w:tcPr>
            <w:tcW w:w="6777" w:type="dxa"/>
            <w:tcBorders>
              <w:top w:val="single" w:color="auto" w:sz="4" w:space="0"/>
              <w:left w:val="single" w:color="auto" w:sz="4" w:space="0"/>
              <w:bottom w:val="single" w:color="auto" w:sz="4" w:space="0"/>
              <w:right w:val="single" w:color="auto" w:sz="4" w:space="0"/>
            </w:tcBorders>
            <w:noWrap/>
            <w:vAlign w:val="center"/>
          </w:tcPr>
          <w:p w14:paraId="5A843657">
            <w:pPr>
              <w:spacing w:line="420" w:lineRule="exact"/>
              <w:jc w:val="left"/>
              <w:rPr>
                <w:rFonts w:hint="eastAsia" w:ascii="宋体" w:hAnsi="宋体"/>
                <w:sz w:val="24"/>
              </w:rPr>
            </w:pPr>
            <w:r>
              <w:rPr>
                <w:rFonts w:hint="eastAsia" w:ascii="宋体" w:hAnsi="宋体"/>
                <w:b w:val="0"/>
                <w:bCs w:val="0"/>
                <w:sz w:val="24"/>
                <w:szCs w:val="24"/>
                <w:highlight w:val="none"/>
                <w:lang w:eastAsia="zh-CN"/>
              </w:rPr>
              <w:t>202</w:t>
            </w:r>
            <w:r>
              <w:rPr>
                <w:rFonts w:hint="eastAsia" w:ascii="宋体" w:hAnsi="宋体"/>
                <w:b w:val="0"/>
                <w:bCs w:val="0"/>
                <w:sz w:val="24"/>
                <w:szCs w:val="24"/>
                <w:highlight w:val="none"/>
                <w:lang w:val="en-US" w:eastAsia="zh-CN"/>
              </w:rPr>
              <w:t>2</w:t>
            </w:r>
            <w:r>
              <w:rPr>
                <w:rFonts w:hint="eastAsia" w:ascii="宋体" w:hAnsi="宋体"/>
                <w:b w:val="0"/>
                <w:bCs w:val="0"/>
                <w:sz w:val="24"/>
                <w:szCs w:val="24"/>
                <w:highlight w:val="none"/>
                <w:lang w:eastAsia="zh-CN"/>
              </w:rPr>
              <w:t>年1月</w:t>
            </w:r>
            <w:r>
              <w:rPr>
                <w:rFonts w:hint="eastAsia" w:ascii="宋体" w:hAnsi="宋体"/>
                <w:b w:val="0"/>
                <w:bCs w:val="0"/>
                <w:sz w:val="24"/>
                <w:szCs w:val="24"/>
                <w:highlight w:val="none"/>
                <w:lang w:val="en-US" w:eastAsia="zh-CN"/>
              </w:rPr>
              <w:t>1日</w:t>
            </w:r>
            <w:r>
              <w:rPr>
                <w:rFonts w:hint="eastAsia" w:ascii="宋体" w:hAnsi="宋体"/>
                <w:b w:val="0"/>
                <w:bCs w:val="0"/>
                <w:sz w:val="24"/>
                <w:szCs w:val="24"/>
                <w:highlight w:val="none"/>
                <w:lang w:eastAsia="zh-CN"/>
              </w:rPr>
              <w:t>至投标截止日（以“合同签订”日期为准）投标单位需</w:t>
            </w:r>
            <w:r>
              <w:rPr>
                <w:rFonts w:hint="eastAsia" w:ascii="宋体" w:hAnsi="宋体"/>
                <w:b w:val="0"/>
                <w:bCs w:val="0"/>
                <w:sz w:val="24"/>
                <w:szCs w:val="24"/>
                <w:highlight w:val="none"/>
                <w:lang w:val="en-US" w:eastAsia="zh-CN"/>
              </w:rPr>
              <w:t>提供</w:t>
            </w:r>
            <w:r>
              <w:rPr>
                <w:rFonts w:hint="eastAsia" w:ascii="宋体" w:hAnsi="宋体"/>
                <w:b w:val="0"/>
                <w:bCs w:val="0"/>
                <w:sz w:val="24"/>
                <w:szCs w:val="24"/>
                <w:highlight w:val="none"/>
                <w:lang w:eastAsia="zh-CN"/>
              </w:rPr>
              <w:t>承担过</w:t>
            </w:r>
            <w:r>
              <w:rPr>
                <w:rFonts w:hint="eastAsia" w:ascii="宋体" w:hAnsi="宋体"/>
                <w:b w:val="0"/>
                <w:bCs w:val="0"/>
                <w:sz w:val="24"/>
                <w:szCs w:val="24"/>
                <w:highlight w:val="none"/>
                <w:lang w:val="en-US" w:eastAsia="zh-CN"/>
              </w:rPr>
              <w:t>类似</w:t>
            </w:r>
            <w:r>
              <w:rPr>
                <w:rFonts w:hint="eastAsia" w:ascii="宋体" w:hAnsi="宋体"/>
                <w:b w:val="0"/>
                <w:bCs w:val="0"/>
                <w:sz w:val="24"/>
                <w:szCs w:val="24"/>
                <w:highlight w:val="none"/>
                <w:lang w:eastAsia="zh-CN"/>
              </w:rPr>
              <w:t>彩浆封层、颗粒封层施工项目</w:t>
            </w:r>
            <w:r>
              <w:rPr>
                <w:rFonts w:hint="eastAsia" w:ascii="宋体" w:hAnsi="宋体"/>
                <w:b w:val="0"/>
                <w:bCs w:val="0"/>
                <w:sz w:val="24"/>
                <w:szCs w:val="24"/>
                <w:highlight w:val="none"/>
                <w:lang w:val="en-US" w:eastAsia="zh-CN"/>
              </w:rPr>
              <w:t>相关</w:t>
            </w:r>
            <w:r>
              <w:rPr>
                <w:rFonts w:hint="eastAsia" w:ascii="宋体" w:hAnsi="宋体"/>
                <w:b w:val="0"/>
                <w:bCs w:val="0"/>
                <w:sz w:val="24"/>
                <w:szCs w:val="24"/>
                <w:highlight w:val="none"/>
                <w:lang w:eastAsia="zh-CN"/>
              </w:rPr>
              <w:t>的业绩。（提供合同复印件加盖公章及对应的至少一次进度款发票）</w:t>
            </w:r>
          </w:p>
        </w:tc>
        <w:tc>
          <w:tcPr>
            <w:tcW w:w="2324" w:type="dxa"/>
            <w:tcBorders>
              <w:top w:val="single" w:color="auto" w:sz="4" w:space="0"/>
              <w:left w:val="single" w:color="auto" w:sz="4" w:space="0"/>
              <w:bottom w:val="single" w:color="auto" w:sz="4" w:space="0"/>
              <w:right w:val="single" w:color="auto" w:sz="4" w:space="0"/>
            </w:tcBorders>
            <w:noWrap/>
            <w:vAlign w:val="center"/>
          </w:tcPr>
          <w:p w14:paraId="014C80BA">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6AE4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D3DF1C1">
            <w:pPr>
              <w:spacing w:line="420" w:lineRule="exact"/>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9</w:t>
            </w:r>
          </w:p>
        </w:tc>
        <w:tc>
          <w:tcPr>
            <w:tcW w:w="6777" w:type="dxa"/>
            <w:tcBorders>
              <w:top w:val="single" w:color="auto" w:sz="4" w:space="0"/>
              <w:left w:val="single" w:color="auto" w:sz="4" w:space="0"/>
              <w:bottom w:val="single" w:color="auto" w:sz="4" w:space="0"/>
              <w:right w:val="single" w:color="auto" w:sz="4" w:space="0"/>
            </w:tcBorders>
            <w:noWrap/>
            <w:vAlign w:val="center"/>
          </w:tcPr>
          <w:p w14:paraId="79052847">
            <w:pPr>
              <w:spacing w:line="420" w:lineRule="exact"/>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szCs w:val="20"/>
                <w:lang w:val="zh-CN"/>
              </w:rPr>
              <w:t>投标及履约承诺书（</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4A96023C">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bl>
    <w:p w14:paraId="73FA8E13">
      <w:pPr>
        <w:snapToGrid w:val="0"/>
        <w:spacing w:line="360" w:lineRule="auto"/>
        <w:ind w:firstLine="482" w:firstLineChars="200"/>
        <w:outlineLvl w:val="2"/>
        <w:rPr>
          <w:rFonts w:ascii="宋体" w:cs="宋体"/>
          <w:b/>
          <w:sz w:val="24"/>
        </w:rPr>
      </w:pPr>
      <w:r>
        <w:rPr>
          <w:rFonts w:hint="eastAsia" w:ascii="宋体" w:cs="宋体"/>
          <w:b/>
          <w:sz w:val="24"/>
        </w:rPr>
        <w:t>八、评标</w:t>
      </w:r>
    </w:p>
    <w:p w14:paraId="5CE3570D">
      <w:pPr>
        <w:snapToGrid w:val="0"/>
        <w:spacing w:line="360" w:lineRule="auto"/>
        <w:ind w:firstLine="482" w:firstLineChars="200"/>
        <w:outlineLvl w:val="2"/>
        <w:rPr>
          <w:rFonts w:ascii="宋体" w:cs="宋体"/>
          <w:b/>
          <w:sz w:val="24"/>
        </w:rPr>
      </w:pPr>
      <w:r>
        <w:rPr>
          <w:rFonts w:hint="eastAsia" w:ascii="宋体" w:cs="宋体"/>
          <w:b/>
          <w:sz w:val="24"/>
        </w:rPr>
        <w:t>（一）评标事项</w:t>
      </w:r>
    </w:p>
    <w:p w14:paraId="67F0E7CD">
      <w:pPr>
        <w:snapToGrid w:val="0"/>
        <w:spacing w:line="360" w:lineRule="auto"/>
        <w:ind w:firstLine="480" w:firstLineChars="200"/>
        <w:rPr>
          <w:rFonts w:ascii="宋体" w:cs="宋体"/>
          <w:sz w:val="24"/>
        </w:rPr>
      </w:pPr>
      <w:r>
        <w:rPr>
          <w:rFonts w:hint="eastAsia" w:ascii="宋体" w:cs="宋体"/>
          <w:sz w:val="24"/>
        </w:rPr>
        <w:t>1、评标时间：</w:t>
      </w:r>
      <w:r>
        <w:rPr>
          <w:rFonts w:hint="eastAsia" w:ascii="宋体" w:cs="宋体"/>
          <w:b/>
          <w:sz w:val="24"/>
          <w:u w:val="thick" w:color="FF0000"/>
        </w:rPr>
        <w:t>资格审查结束后当即开始</w:t>
      </w:r>
      <w:r>
        <w:rPr>
          <w:rFonts w:hint="eastAsia" w:ascii="宋体" w:cs="宋体"/>
          <w:sz w:val="24"/>
        </w:rPr>
        <w:t>。</w:t>
      </w:r>
    </w:p>
    <w:p w14:paraId="6F155EB5">
      <w:pPr>
        <w:adjustRightInd w:val="0"/>
        <w:snapToGrid w:val="0"/>
        <w:spacing w:line="360" w:lineRule="auto"/>
        <w:ind w:firstLine="484" w:firstLineChars="202"/>
        <w:rPr>
          <w:rFonts w:ascii="宋体" w:cs="宋体"/>
          <w:sz w:val="24"/>
        </w:rPr>
      </w:pPr>
      <w:r>
        <w:rPr>
          <w:rFonts w:hint="eastAsia" w:ascii="宋体" w:cs="宋体"/>
          <w:sz w:val="24"/>
        </w:rPr>
        <w:t>2、评委会负责具体的评标事务，并独立履行以下职责：</w:t>
      </w:r>
    </w:p>
    <w:p w14:paraId="22C8975C">
      <w:pPr>
        <w:adjustRightInd w:val="0"/>
        <w:snapToGrid w:val="0"/>
        <w:spacing w:line="360" w:lineRule="auto"/>
        <w:ind w:firstLine="484" w:firstLineChars="202"/>
        <w:rPr>
          <w:rFonts w:ascii="宋体" w:cs="宋体"/>
          <w:sz w:val="24"/>
        </w:rPr>
      </w:pPr>
      <w:r>
        <w:rPr>
          <w:rFonts w:hint="eastAsia" w:ascii="宋体" w:cs="宋体"/>
          <w:sz w:val="24"/>
        </w:rPr>
        <w:t>（1）响应文件是否符合采购文件的要求，并做出评价；</w:t>
      </w:r>
    </w:p>
    <w:p w14:paraId="44392187">
      <w:pPr>
        <w:adjustRightInd w:val="0"/>
        <w:snapToGrid w:val="0"/>
        <w:spacing w:line="360" w:lineRule="auto"/>
        <w:ind w:firstLine="484" w:firstLineChars="202"/>
        <w:rPr>
          <w:rFonts w:ascii="宋体" w:cs="宋体"/>
          <w:sz w:val="24"/>
        </w:rPr>
      </w:pPr>
      <w:r>
        <w:rPr>
          <w:rFonts w:hint="eastAsia" w:ascii="宋体" w:cs="宋体"/>
          <w:sz w:val="24"/>
        </w:rPr>
        <w:t>（2）可以要求供应商对响应文件有关事项做出解释或澄清；</w:t>
      </w:r>
    </w:p>
    <w:p w14:paraId="638D1E3F">
      <w:pPr>
        <w:adjustRightInd w:val="0"/>
        <w:snapToGrid w:val="0"/>
        <w:spacing w:line="360" w:lineRule="auto"/>
        <w:ind w:firstLine="484" w:firstLineChars="202"/>
        <w:rPr>
          <w:rFonts w:ascii="宋体" w:cs="宋体"/>
          <w:sz w:val="24"/>
        </w:rPr>
      </w:pPr>
      <w:r>
        <w:rPr>
          <w:rFonts w:hint="eastAsia" w:ascii="宋体" w:cs="宋体"/>
          <w:sz w:val="24"/>
        </w:rPr>
        <w:t>（3）按采购文件载明的方法</w:t>
      </w:r>
      <w:r>
        <w:rPr>
          <w:rFonts w:hint="eastAsia" w:ascii="宋体" w:cs="宋体"/>
          <w:b/>
          <w:sz w:val="24"/>
        </w:rPr>
        <w:t>，</w:t>
      </w:r>
      <w:r>
        <w:rPr>
          <w:rFonts w:hint="eastAsia" w:ascii="宋体" w:cs="宋体"/>
          <w:sz w:val="24"/>
        </w:rPr>
        <w:t>得分由高到低排列，推荐排名第一的供应商为本项目成交人；</w:t>
      </w:r>
    </w:p>
    <w:p w14:paraId="52500535">
      <w:pPr>
        <w:adjustRightInd w:val="0"/>
        <w:snapToGrid w:val="0"/>
        <w:spacing w:line="360" w:lineRule="auto"/>
        <w:ind w:firstLine="484" w:firstLineChars="202"/>
        <w:rPr>
          <w:rFonts w:ascii="宋体" w:cs="宋体"/>
          <w:sz w:val="24"/>
        </w:rPr>
      </w:pPr>
      <w:r>
        <w:rPr>
          <w:rFonts w:hint="eastAsia" w:ascii="宋体" w:cs="宋体"/>
          <w:sz w:val="24"/>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0339907">
      <w:pPr>
        <w:adjustRightInd w:val="0"/>
        <w:snapToGrid w:val="0"/>
        <w:spacing w:line="360" w:lineRule="auto"/>
        <w:ind w:firstLine="484" w:firstLineChars="202"/>
        <w:rPr>
          <w:rFonts w:ascii="宋体" w:cs="宋体"/>
          <w:sz w:val="24"/>
        </w:rPr>
      </w:pPr>
      <w:r>
        <w:rPr>
          <w:rFonts w:hint="eastAsia" w:ascii="宋体" w:cs="宋体"/>
          <w:sz w:val="24"/>
        </w:rPr>
        <w:t>（5）在响应文件的评审、澄清、评价和比较以及最终授予合同的过程中，供应商对采购单位和评委会成员有施加影响的任何行为，都将取消其可能的成交资格。</w:t>
      </w:r>
    </w:p>
    <w:p w14:paraId="4CC38877">
      <w:pPr>
        <w:adjustRightInd w:val="0"/>
        <w:snapToGrid w:val="0"/>
        <w:spacing w:line="360" w:lineRule="auto"/>
        <w:ind w:firstLine="484" w:firstLineChars="202"/>
        <w:rPr>
          <w:rFonts w:ascii="宋体" w:cs="宋体"/>
          <w:sz w:val="24"/>
        </w:rPr>
      </w:pPr>
      <w:r>
        <w:rPr>
          <w:rFonts w:hint="eastAsia" w:ascii="宋体" w:cs="宋体"/>
          <w:sz w:val="24"/>
        </w:rPr>
        <w:t>3、评委会成员应当履行下列义务：</w:t>
      </w:r>
    </w:p>
    <w:p w14:paraId="627AEFDC">
      <w:pPr>
        <w:adjustRightInd w:val="0"/>
        <w:snapToGrid w:val="0"/>
        <w:spacing w:line="360" w:lineRule="auto"/>
        <w:ind w:firstLine="484" w:firstLineChars="202"/>
        <w:rPr>
          <w:rFonts w:ascii="宋体" w:cs="宋体"/>
          <w:sz w:val="24"/>
        </w:rPr>
      </w:pPr>
      <w:r>
        <w:rPr>
          <w:rFonts w:hint="eastAsia" w:ascii="宋体" w:cs="宋体"/>
          <w:sz w:val="24"/>
        </w:rPr>
        <w:t>（1）遵纪守法，客观、公正、廉洁地履行职责；</w:t>
      </w:r>
    </w:p>
    <w:p w14:paraId="261AAB08">
      <w:pPr>
        <w:adjustRightInd w:val="0"/>
        <w:snapToGrid w:val="0"/>
        <w:spacing w:line="360" w:lineRule="auto"/>
        <w:ind w:firstLine="484" w:firstLineChars="202"/>
        <w:rPr>
          <w:rFonts w:ascii="宋体" w:cs="宋体"/>
          <w:sz w:val="24"/>
        </w:rPr>
      </w:pPr>
      <w:r>
        <w:rPr>
          <w:rFonts w:hint="eastAsia" w:ascii="宋体" w:cs="宋体"/>
          <w:sz w:val="24"/>
        </w:rPr>
        <w:t>（2）按照采购文件规定的方法进行，对评审与比较的意见承担个人责任；</w:t>
      </w:r>
    </w:p>
    <w:p w14:paraId="1DB89E48">
      <w:pPr>
        <w:adjustRightInd w:val="0"/>
        <w:snapToGrid w:val="0"/>
        <w:spacing w:line="360" w:lineRule="auto"/>
        <w:ind w:firstLine="484" w:firstLineChars="202"/>
        <w:rPr>
          <w:rFonts w:ascii="宋体" w:cs="宋体"/>
          <w:sz w:val="24"/>
        </w:rPr>
      </w:pPr>
      <w:r>
        <w:rPr>
          <w:rFonts w:hint="eastAsia" w:ascii="宋体" w:cs="宋体"/>
          <w:sz w:val="24"/>
        </w:rPr>
        <w:t>（3）对评审过程和结果，以及供应商的商业秘密保密；</w:t>
      </w:r>
    </w:p>
    <w:p w14:paraId="4F88A5ED">
      <w:pPr>
        <w:adjustRightInd w:val="0"/>
        <w:snapToGrid w:val="0"/>
        <w:spacing w:line="360" w:lineRule="auto"/>
        <w:ind w:firstLine="484" w:firstLineChars="202"/>
        <w:rPr>
          <w:rFonts w:ascii="宋体" w:cs="宋体"/>
          <w:sz w:val="24"/>
        </w:rPr>
      </w:pPr>
      <w:r>
        <w:rPr>
          <w:rFonts w:hint="eastAsia" w:ascii="宋体" w:cs="宋体"/>
          <w:sz w:val="24"/>
        </w:rPr>
        <w:t>（4）配合相关部门进行的投诉处理工作；</w:t>
      </w:r>
    </w:p>
    <w:p w14:paraId="126C92AB">
      <w:pPr>
        <w:adjustRightInd w:val="0"/>
        <w:snapToGrid w:val="0"/>
        <w:spacing w:line="360" w:lineRule="auto"/>
        <w:ind w:firstLine="484" w:firstLineChars="202"/>
        <w:rPr>
          <w:rFonts w:ascii="宋体" w:cs="宋体"/>
          <w:sz w:val="24"/>
        </w:rPr>
      </w:pPr>
      <w:r>
        <w:rPr>
          <w:rFonts w:hint="eastAsia" w:ascii="宋体" w:cs="宋体"/>
          <w:sz w:val="24"/>
        </w:rPr>
        <w:t>（5）配合采购单位答复供应商提出的质疑。</w:t>
      </w:r>
    </w:p>
    <w:p w14:paraId="3BB591E4">
      <w:pPr>
        <w:snapToGrid w:val="0"/>
        <w:spacing w:line="360" w:lineRule="auto"/>
        <w:ind w:firstLine="482" w:firstLineChars="200"/>
        <w:outlineLvl w:val="2"/>
        <w:rPr>
          <w:rFonts w:ascii="宋体" w:cs="宋体"/>
          <w:b/>
          <w:sz w:val="24"/>
        </w:rPr>
      </w:pPr>
      <w:r>
        <w:rPr>
          <w:rFonts w:hint="eastAsia" w:ascii="宋体" w:cs="宋体"/>
          <w:b/>
          <w:sz w:val="24"/>
        </w:rPr>
        <w:t>（二）评审方法</w:t>
      </w:r>
    </w:p>
    <w:p w14:paraId="226DD82D">
      <w:pPr>
        <w:snapToGrid w:val="0"/>
        <w:spacing w:line="360" w:lineRule="auto"/>
        <w:ind w:firstLine="484" w:firstLineChars="202"/>
        <w:rPr>
          <w:rFonts w:ascii="宋体" w:cs="宋体"/>
          <w:sz w:val="24"/>
        </w:rPr>
      </w:pPr>
      <w:r>
        <w:rPr>
          <w:rFonts w:hint="eastAsia" w:ascii="宋体" w:cs="宋体"/>
          <w:sz w:val="24"/>
        </w:rPr>
        <w:t>1、本项目采用</w:t>
      </w:r>
      <w:r>
        <w:rPr>
          <w:rFonts w:hint="eastAsia" w:ascii="宋体" w:cs="宋体"/>
          <w:b/>
          <w:bCs/>
          <w:sz w:val="24"/>
          <w:u w:val="single"/>
        </w:rPr>
        <w:t>合理低价法</w:t>
      </w:r>
      <w:r>
        <w:rPr>
          <w:rFonts w:hint="eastAsia" w:ascii="宋体" w:cs="宋体"/>
          <w:sz w:val="24"/>
        </w:rPr>
        <w:t>。即指以价格为主要因素确定成交人的评标方法。</w:t>
      </w:r>
    </w:p>
    <w:p w14:paraId="448C6B11">
      <w:pPr>
        <w:snapToGrid w:val="0"/>
        <w:spacing w:line="360" w:lineRule="auto"/>
        <w:ind w:firstLine="484" w:firstLineChars="202"/>
        <w:rPr>
          <w:rFonts w:ascii="宋体" w:cs="宋体"/>
          <w:sz w:val="24"/>
          <w:u w:val="thick" w:color="FF0000"/>
        </w:rPr>
      </w:pPr>
      <w:r>
        <w:rPr>
          <w:rFonts w:hint="eastAsia" w:ascii="宋体" w:cs="宋体"/>
          <w:sz w:val="24"/>
        </w:rPr>
        <w:t>2、</w:t>
      </w:r>
      <w:r>
        <w:rPr>
          <w:rFonts w:hint="eastAsia" w:ascii="宋体" w:cs="宋体"/>
          <w:b/>
          <w:bCs/>
          <w:sz w:val="24"/>
        </w:rPr>
        <w:t>报价以统一下浮率形式报价,约定下浮率为正数。报价须保留1位小数（例如下浮10.1%，10.5%），否则按四舍五入法进行修正后参与评审。</w:t>
      </w:r>
    </w:p>
    <w:p w14:paraId="6E369403">
      <w:pPr>
        <w:adjustRightInd w:val="0"/>
        <w:spacing w:line="360" w:lineRule="auto"/>
        <w:ind w:firstLine="480" w:firstLineChars="200"/>
        <w:rPr>
          <w:rFonts w:ascii="宋体" w:cs="宋体"/>
          <w:sz w:val="24"/>
        </w:rPr>
      </w:pPr>
      <w:r>
        <w:rPr>
          <w:rFonts w:hint="eastAsia" w:ascii="宋体" w:cs="宋体"/>
          <w:sz w:val="24"/>
        </w:rPr>
        <w:t>3、（1）评标基准价﹦所有有效报价算术平均值。</w:t>
      </w:r>
    </w:p>
    <w:p w14:paraId="12CDCB43">
      <w:pPr>
        <w:adjustRightInd w:val="0"/>
        <w:spacing w:line="360" w:lineRule="auto"/>
        <w:ind w:firstLine="840" w:firstLineChars="350"/>
        <w:rPr>
          <w:rFonts w:ascii="宋体" w:cs="宋体"/>
          <w:sz w:val="24"/>
        </w:rPr>
      </w:pPr>
      <w:r>
        <w:rPr>
          <w:rFonts w:hint="eastAsia" w:ascii="宋体" w:cs="宋体"/>
          <w:sz w:val="24"/>
        </w:rPr>
        <w:t>（2）投标人的投标下浮率与评标基准价相等的得100分，与评标基准价相比较，投标下浮率每高1%扣0.6分，投标下浮率每低1%扣0.9分。（偏离不足1%的，按照插入法计算得分，评分计算过程中的偏离率和分值计算结果均保留两位小数，第三位四舍五入）。</w:t>
      </w:r>
    </w:p>
    <w:p w14:paraId="1AF07B2B">
      <w:pPr>
        <w:adjustRightInd w:val="0"/>
        <w:spacing w:line="360" w:lineRule="auto"/>
        <w:ind w:firstLine="738" w:firstLineChars="350"/>
        <w:rPr>
          <w:rFonts w:ascii="宋体" w:cs="宋体"/>
          <w:szCs w:val="21"/>
        </w:rPr>
      </w:pPr>
      <w:r>
        <w:rPr>
          <w:rFonts w:hint="eastAsia" w:ascii="宋体" w:hAnsi="宋体" w:cs="宋体"/>
          <w:b/>
          <w:kern w:val="0"/>
          <w:szCs w:val="21"/>
        </w:rPr>
        <w:t>例如：只有 A、B、C 三家投标人，计算得分如下：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134"/>
        <w:gridCol w:w="1234"/>
        <w:gridCol w:w="1134"/>
        <w:gridCol w:w="2530"/>
      </w:tblGrid>
      <w:tr w14:paraId="7D31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3" w:type="dxa"/>
            <w:noWrap/>
            <w:vAlign w:val="center"/>
          </w:tcPr>
          <w:p w14:paraId="02550D14">
            <w:pPr>
              <w:spacing w:line="360" w:lineRule="exact"/>
              <w:rPr>
                <w:rFonts w:ascii="宋体" w:hAnsi="宋体"/>
                <w:b/>
                <w:kern w:val="0"/>
                <w:szCs w:val="21"/>
              </w:rPr>
            </w:pPr>
            <w:r>
              <w:rPr>
                <w:rFonts w:hint="eastAsia" w:ascii="宋体" w:hAnsi="宋体"/>
                <w:b/>
                <w:kern w:val="0"/>
                <w:szCs w:val="21"/>
              </w:rPr>
              <w:t>单位</w:t>
            </w:r>
          </w:p>
        </w:tc>
        <w:tc>
          <w:tcPr>
            <w:tcW w:w="1134" w:type="dxa"/>
            <w:noWrap/>
            <w:vAlign w:val="center"/>
          </w:tcPr>
          <w:p w14:paraId="372D5B4D">
            <w:pPr>
              <w:spacing w:line="360" w:lineRule="exact"/>
              <w:rPr>
                <w:rFonts w:ascii="宋体" w:hAnsi="宋体"/>
                <w:b/>
                <w:kern w:val="0"/>
                <w:szCs w:val="21"/>
              </w:rPr>
            </w:pPr>
            <w:r>
              <w:rPr>
                <w:rFonts w:hint="eastAsia" w:ascii="宋体" w:hAnsi="宋体"/>
                <w:b/>
                <w:kern w:val="0"/>
                <w:szCs w:val="21"/>
              </w:rPr>
              <w:t>投标报价（%）</w:t>
            </w:r>
          </w:p>
        </w:tc>
        <w:tc>
          <w:tcPr>
            <w:tcW w:w="1134" w:type="dxa"/>
            <w:noWrap/>
            <w:vAlign w:val="center"/>
          </w:tcPr>
          <w:p w14:paraId="79438E1B">
            <w:pPr>
              <w:spacing w:line="360" w:lineRule="exact"/>
              <w:rPr>
                <w:rFonts w:ascii="宋体" w:hAnsi="宋体"/>
                <w:b/>
                <w:kern w:val="0"/>
                <w:szCs w:val="21"/>
              </w:rPr>
            </w:pPr>
            <w:r>
              <w:rPr>
                <w:rFonts w:hint="eastAsia" w:ascii="宋体" w:hAnsi="宋体"/>
                <w:b/>
                <w:kern w:val="0"/>
                <w:szCs w:val="21"/>
              </w:rPr>
              <w:t>算术平均值A（%）</w:t>
            </w:r>
          </w:p>
        </w:tc>
        <w:tc>
          <w:tcPr>
            <w:tcW w:w="1234" w:type="dxa"/>
            <w:noWrap/>
            <w:vAlign w:val="center"/>
          </w:tcPr>
          <w:p w14:paraId="68D7BC34">
            <w:pPr>
              <w:spacing w:line="360" w:lineRule="exact"/>
              <w:rPr>
                <w:rFonts w:ascii="宋体" w:hAnsi="宋体"/>
                <w:b/>
                <w:kern w:val="0"/>
                <w:szCs w:val="21"/>
              </w:rPr>
            </w:pPr>
            <w:r>
              <w:rPr>
                <w:rFonts w:hint="eastAsia" w:ascii="宋体" w:hAnsi="宋体"/>
                <w:b/>
                <w:kern w:val="0"/>
                <w:szCs w:val="21"/>
              </w:rPr>
              <w:t>评标基准价（%）</w:t>
            </w:r>
          </w:p>
        </w:tc>
        <w:tc>
          <w:tcPr>
            <w:tcW w:w="1134" w:type="dxa"/>
            <w:noWrap/>
            <w:vAlign w:val="center"/>
          </w:tcPr>
          <w:p w14:paraId="5E0DDDEF">
            <w:pPr>
              <w:spacing w:line="360" w:lineRule="exact"/>
              <w:rPr>
                <w:rFonts w:ascii="宋体" w:hAnsi="宋体"/>
                <w:b/>
                <w:kern w:val="0"/>
                <w:szCs w:val="21"/>
              </w:rPr>
            </w:pPr>
            <w:r>
              <w:rPr>
                <w:rFonts w:hint="eastAsia" w:ascii="宋体" w:hAnsi="宋体"/>
                <w:b/>
                <w:kern w:val="0"/>
                <w:szCs w:val="21"/>
              </w:rPr>
              <w:t>偏差值（%）</w:t>
            </w:r>
          </w:p>
        </w:tc>
        <w:tc>
          <w:tcPr>
            <w:tcW w:w="2530" w:type="dxa"/>
            <w:noWrap/>
            <w:vAlign w:val="center"/>
          </w:tcPr>
          <w:p w14:paraId="7093066C">
            <w:pPr>
              <w:spacing w:line="360" w:lineRule="exact"/>
              <w:ind w:firstLine="482"/>
              <w:rPr>
                <w:rFonts w:ascii="宋体" w:hAnsi="宋体"/>
                <w:b/>
                <w:kern w:val="0"/>
                <w:szCs w:val="21"/>
              </w:rPr>
            </w:pPr>
            <w:r>
              <w:rPr>
                <w:rFonts w:hint="eastAsia" w:ascii="宋体" w:hAnsi="宋体"/>
                <w:b/>
                <w:kern w:val="0"/>
                <w:szCs w:val="21"/>
              </w:rPr>
              <w:t>报价得分</w:t>
            </w:r>
          </w:p>
        </w:tc>
      </w:tr>
      <w:tr w14:paraId="34F6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3" w:type="dxa"/>
            <w:noWrap/>
            <w:vAlign w:val="center"/>
          </w:tcPr>
          <w:p w14:paraId="2E7394EA">
            <w:pPr>
              <w:spacing w:line="360" w:lineRule="exact"/>
              <w:rPr>
                <w:rFonts w:ascii="宋体" w:hAnsi="宋体"/>
                <w:b/>
                <w:kern w:val="0"/>
                <w:szCs w:val="21"/>
              </w:rPr>
            </w:pPr>
            <w:r>
              <w:rPr>
                <w:rFonts w:hint="eastAsia" w:ascii="宋体" w:hAnsi="宋体"/>
                <w:b/>
                <w:kern w:val="0"/>
                <w:szCs w:val="21"/>
              </w:rPr>
              <w:t>单位A</w:t>
            </w:r>
          </w:p>
        </w:tc>
        <w:tc>
          <w:tcPr>
            <w:tcW w:w="1134" w:type="dxa"/>
            <w:noWrap/>
            <w:vAlign w:val="center"/>
          </w:tcPr>
          <w:p w14:paraId="03ABE396">
            <w:pPr>
              <w:spacing w:line="360" w:lineRule="exact"/>
              <w:ind w:right="13" w:rightChars="6"/>
              <w:rPr>
                <w:rFonts w:ascii="宋体" w:hAnsi="宋体"/>
                <w:b/>
                <w:spacing w:val="20"/>
                <w:kern w:val="24"/>
                <w:szCs w:val="21"/>
              </w:rPr>
            </w:pPr>
            <w:r>
              <w:rPr>
                <w:rFonts w:hint="eastAsia" w:ascii="宋体" w:hAnsi="宋体"/>
                <w:b/>
                <w:spacing w:val="20"/>
                <w:kern w:val="24"/>
                <w:szCs w:val="21"/>
              </w:rPr>
              <w:t>10.1</w:t>
            </w:r>
          </w:p>
        </w:tc>
        <w:tc>
          <w:tcPr>
            <w:tcW w:w="1134" w:type="dxa"/>
            <w:vMerge w:val="restart"/>
            <w:noWrap/>
            <w:vAlign w:val="center"/>
          </w:tcPr>
          <w:p w14:paraId="4D6C65BE">
            <w:pPr>
              <w:spacing w:line="360" w:lineRule="exact"/>
              <w:rPr>
                <w:rFonts w:ascii="宋体" w:hAnsi="宋体"/>
                <w:b/>
                <w:kern w:val="0"/>
                <w:szCs w:val="21"/>
              </w:rPr>
            </w:pPr>
            <w:r>
              <w:rPr>
                <w:rFonts w:hint="eastAsia" w:ascii="宋体" w:hAnsi="宋体"/>
                <w:b/>
                <w:spacing w:val="20"/>
                <w:kern w:val="24"/>
                <w:szCs w:val="21"/>
              </w:rPr>
              <w:t>10.57</w:t>
            </w:r>
          </w:p>
        </w:tc>
        <w:tc>
          <w:tcPr>
            <w:tcW w:w="1234" w:type="dxa"/>
            <w:vMerge w:val="restart"/>
            <w:noWrap/>
            <w:vAlign w:val="center"/>
          </w:tcPr>
          <w:p w14:paraId="43E32C2C">
            <w:pPr>
              <w:spacing w:line="360" w:lineRule="exact"/>
              <w:ind w:right="210" w:rightChars="100"/>
              <w:rPr>
                <w:rFonts w:ascii="宋体" w:hAnsi="宋体"/>
                <w:b/>
                <w:spacing w:val="20"/>
                <w:kern w:val="24"/>
                <w:szCs w:val="21"/>
              </w:rPr>
            </w:pPr>
            <w:r>
              <w:rPr>
                <w:rFonts w:hint="eastAsia" w:ascii="宋体" w:hAnsi="宋体"/>
                <w:b/>
                <w:spacing w:val="20"/>
                <w:kern w:val="24"/>
                <w:szCs w:val="21"/>
              </w:rPr>
              <w:t>10.57</w:t>
            </w:r>
          </w:p>
        </w:tc>
        <w:tc>
          <w:tcPr>
            <w:tcW w:w="1134" w:type="dxa"/>
            <w:noWrap/>
            <w:vAlign w:val="center"/>
          </w:tcPr>
          <w:p w14:paraId="45F93FD3">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-0.47</w:t>
            </w:r>
          </w:p>
        </w:tc>
        <w:tc>
          <w:tcPr>
            <w:tcW w:w="2530" w:type="dxa"/>
            <w:noWrap/>
            <w:vAlign w:val="center"/>
          </w:tcPr>
          <w:p w14:paraId="5400BC83">
            <w:pPr>
              <w:widowControl/>
              <w:spacing w:line="360" w:lineRule="exact"/>
              <w:rPr>
                <w:rFonts w:ascii="宋体" w:hAnsi="宋体"/>
                <w:b/>
                <w:kern w:val="0"/>
                <w:szCs w:val="21"/>
              </w:rPr>
            </w:pPr>
            <w:r>
              <w:rPr>
                <w:rFonts w:hint="eastAsia" w:ascii="宋体" w:hAnsi="宋体"/>
                <w:b/>
                <w:kern w:val="0"/>
                <w:szCs w:val="21"/>
              </w:rPr>
              <w:t>100+（-0.47*0.9）=99.58</w:t>
            </w:r>
          </w:p>
        </w:tc>
      </w:tr>
      <w:tr w14:paraId="7346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ign w:val="center"/>
          </w:tcPr>
          <w:p w14:paraId="46705CB2">
            <w:pPr>
              <w:spacing w:line="360" w:lineRule="exact"/>
              <w:rPr>
                <w:rFonts w:ascii="宋体" w:hAnsi="宋体"/>
                <w:b/>
                <w:kern w:val="0"/>
                <w:szCs w:val="21"/>
              </w:rPr>
            </w:pPr>
            <w:r>
              <w:rPr>
                <w:rFonts w:hint="eastAsia" w:ascii="宋体" w:hAnsi="宋体"/>
                <w:b/>
                <w:kern w:val="0"/>
                <w:szCs w:val="21"/>
              </w:rPr>
              <w:t>单位B</w:t>
            </w:r>
          </w:p>
        </w:tc>
        <w:tc>
          <w:tcPr>
            <w:tcW w:w="1134" w:type="dxa"/>
            <w:noWrap/>
            <w:vAlign w:val="center"/>
          </w:tcPr>
          <w:p w14:paraId="1CEB862D">
            <w:pPr>
              <w:spacing w:line="360" w:lineRule="exact"/>
              <w:ind w:right="13" w:rightChars="6"/>
              <w:rPr>
                <w:rFonts w:ascii="宋体" w:hAnsi="宋体"/>
                <w:b/>
                <w:spacing w:val="20"/>
                <w:kern w:val="24"/>
                <w:szCs w:val="21"/>
              </w:rPr>
            </w:pPr>
            <w:r>
              <w:rPr>
                <w:rFonts w:hint="eastAsia" w:ascii="宋体" w:hAnsi="宋体"/>
                <w:b/>
                <w:spacing w:val="20"/>
                <w:kern w:val="24"/>
                <w:szCs w:val="21"/>
              </w:rPr>
              <w:t>10.5</w:t>
            </w:r>
          </w:p>
        </w:tc>
        <w:tc>
          <w:tcPr>
            <w:tcW w:w="1134" w:type="dxa"/>
            <w:vMerge w:val="continue"/>
            <w:noWrap/>
            <w:vAlign w:val="center"/>
          </w:tcPr>
          <w:p w14:paraId="018B7FCF">
            <w:pPr>
              <w:spacing w:line="360" w:lineRule="exact"/>
              <w:ind w:right="210" w:rightChars="100" w:firstLine="562"/>
              <w:jc w:val="center"/>
              <w:rPr>
                <w:rFonts w:ascii="宋体" w:hAnsi="宋体"/>
                <w:b/>
                <w:spacing w:val="20"/>
                <w:kern w:val="24"/>
                <w:szCs w:val="21"/>
              </w:rPr>
            </w:pPr>
          </w:p>
        </w:tc>
        <w:tc>
          <w:tcPr>
            <w:tcW w:w="1234" w:type="dxa"/>
            <w:vMerge w:val="continue"/>
            <w:noWrap/>
            <w:vAlign w:val="center"/>
          </w:tcPr>
          <w:p w14:paraId="3C218DFA">
            <w:pPr>
              <w:spacing w:line="360" w:lineRule="exact"/>
              <w:ind w:right="210" w:rightChars="100" w:firstLine="562"/>
              <w:jc w:val="center"/>
              <w:rPr>
                <w:rFonts w:ascii="宋体" w:hAnsi="宋体"/>
                <w:b/>
                <w:spacing w:val="20"/>
                <w:kern w:val="24"/>
                <w:szCs w:val="21"/>
              </w:rPr>
            </w:pPr>
          </w:p>
        </w:tc>
        <w:tc>
          <w:tcPr>
            <w:tcW w:w="1134" w:type="dxa"/>
            <w:noWrap/>
            <w:vAlign w:val="center"/>
          </w:tcPr>
          <w:p w14:paraId="055624C0">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-0.07</w:t>
            </w:r>
          </w:p>
        </w:tc>
        <w:tc>
          <w:tcPr>
            <w:tcW w:w="2530" w:type="dxa"/>
            <w:noWrap/>
            <w:vAlign w:val="center"/>
          </w:tcPr>
          <w:p w14:paraId="2134A8AA">
            <w:pPr>
              <w:widowControl/>
              <w:spacing w:line="360" w:lineRule="exact"/>
              <w:rPr>
                <w:rFonts w:ascii="宋体" w:hAnsi="宋体"/>
                <w:b/>
                <w:kern w:val="0"/>
                <w:szCs w:val="21"/>
              </w:rPr>
            </w:pPr>
            <w:r>
              <w:rPr>
                <w:rFonts w:hint="eastAsia" w:ascii="宋体" w:hAnsi="宋体"/>
                <w:b/>
                <w:kern w:val="0"/>
                <w:szCs w:val="21"/>
              </w:rPr>
              <w:t>100+(-0.07*0.9)=99.94</w:t>
            </w:r>
          </w:p>
        </w:tc>
      </w:tr>
      <w:tr w14:paraId="63E4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93" w:type="dxa"/>
            <w:noWrap/>
            <w:vAlign w:val="center"/>
          </w:tcPr>
          <w:p w14:paraId="2C73144A">
            <w:pPr>
              <w:spacing w:line="360" w:lineRule="exact"/>
              <w:rPr>
                <w:rFonts w:ascii="宋体" w:hAnsi="宋体"/>
                <w:b/>
                <w:kern w:val="0"/>
                <w:szCs w:val="21"/>
              </w:rPr>
            </w:pPr>
            <w:r>
              <w:rPr>
                <w:rFonts w:hint="eastAsia" w:ascii="宋体" w:hAnsi="宋体"/>
                <w:b/>
                <w:kern w:val="0"/>
                <w:szCs w:val="21"/>
              </w:rPr>
              <w:t>单位C</w:t>
            </w:r>
          </w:p>
        </w:tc>
        <w:tc>
          <w:tcPr>
            <w:tcW w:w="1134" w:type="dxa"/>
            <w:noWrap/>
            <w:vAlign w:val="center"/>
          </w:tcPr>
          <w:p w14:paraId="72F8316A">
            <w:pPr>
              <w:spacing w:line="360" w:lineRule="exact"/>
              <w:ind w:right="13" w:rightChars="6"/>
              <w:rPr>
                <w:rFonts w:ascii="宋体" w:hAnsi="宋体"/>
                <w:b/>
                <w:spacing w:val="20"/>
                <w:kern w:val="24"/>
                <w:szCs w:val="21"/>
              </w:rPr>
            </w:pPr>
            <w:r>
              <w:rPr>
                <w:rFonts w:hint="eastAsia" w:ascii="宋体" w:hAnsi="宋体"/>
                <w:b/>
                <w:spacing w:val="20"/>
                <w:kern w:val="24"/>
                <w:szCs w:val="21"/>
              </w:rPr>
              <w:t>11.1</w:t>
            </w:r>
          </w:p>
        </w:tc>
        <w:tc>
          <w:tcPr>
            <w:tcW w:w="1134" w:type="dxa"/>
            <w:vMerge w:val="continue"/>
            <w:noWrap/>
            <w:vAlign w:val="center"/>
          </w:tcPr>
          <w:p w14:paraId="6AF90632">
            <w:pPr>
              <w:spacing w:line="360" w:lineRule="exact"/>
              <w:ind w:right="210" w:rightChars="100" w:firstLine="562"/>
              <w:jc w:val="center"/>
              <w:rPr>
                <w:rFonts w:ascii="宋体" w:hAnsi="宋体"/>
                <w:b/>
                <w:spacing w:val="20"/>
                <w:kern w:val="24"/>
                <w:szCs w:val="21"/>
              </w:rPr>
            </w:pPr>
          </w:p>
        </w:tc>
        <w:tc>
          <w:tcPr>
            <w:tcW w:w="1234" w:type="dxa"/>
            <w:vMerge w:val="continue"/>
            <w:noWrap/>
            <w:vAlign w:val="center"/>
          </w:tcPr>
          <w:p w14:paraId="66742CD1">
            <w:pPr>
              <w:spacing w:line="360" w:lineRule="exact"/>
              <w:ind w:right="210" w:rightChars="100" w:firstLine="562"/>
              <w:jc w:val="center"/>
              <w:rPr>
                <w:rFonts w:ascii="宋体" w:hAnsi="宋体"/>
                <w:b/>
                <w:spacing w:val="20"/>
                <w:kern w:val="24"/>
                <w:szCs w:val="21"/>
              </w:rPr>
            </w:pPr>
          </w:p>
        </w:tc>
        <w:tc>
          <w:tcPr>
            <w:tcW w:w="1134" w:type="dxa"/>
            <w:noWrap/>
            <w:vAlign w:val="center"/>
          </w:tcPr>
          <w:p w14:paraId="41B79F78">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0.53</w:t>
            </w:r>
          </w:p>
        </w:tc>
        <w:tc>
          <w:tcPr>
            <w:tcW w:w="2530" w:type="dxa"/>
            <w:noWrap/>
            <w:vAlign w:val="center"/>
          </w:tcPr>
          <w:p w14:paraId="348EAA01">
            <w:pPr>
              <w:widowControl/>
              <w:spacing w:line="360" w:lineRule="exact"/>
              <w:rPr>
                <w:rFonts w:ascii="宋体" w:hAnsi="宋体"/>
                <w:b/>
                <w:kern w:val="0"/>
                <w:szCs w:val="21"/>
              </w:rPr>
            </w:pPr>
            <w:r>
              <w:rPr>
                <w:rFonts w:hint="eastAsia" w:ascii="宋体" w:hAnsi="宋体"/>
                <w:b/>
                <w:kern w:val="0"/>
                <w:szCs w:val="21"/>
              </w:rPr>
              <w:t>100-0.53*0.6=99.68</w:t>
            </w:r>
          </w:p>
        </w:tc>
      </w:tr>
    </w:tbl>
    <w:p w14:paraId="32900A8D">
      <w:pPr>
        <w:ind w:firstLine="480"/>
        <w:rPr>
          <w:rFonts w:ascii="Calibri" w:hAnsi="Calibri"/>
          <w:sz w:val="24"/>
        </w:rPr>
      </w:pPr>
    </w:p>
    <w:p w14:paraId="43E4C8EA">
      <w:pPr>
        <w:snapToGrid w:val="0"/>
        <w:spacing w:line="360" w:lineRule="auto"/>
        <w:ind w:firstLine="484" w:firstLineChars="202"/>
        <w:rPr>
          <w:color w:val="auto"/>
          <w:highlight w:val="none"/>
        </w:rPr>
      </w:pPr>
      <w:r>
        <w:rPr>
          <w:rFonts w:hint="eastAsia" w:ascii="宋体" w:cs="宋体"/>
          <w:sz w:val="24"/>
        </w:rPr>
        <w:t>（1）本项目采用合理低价评标办法。</w:t>
      </w:r>
      <w:r>
        <w:rPr>
          <w:rFonts w:hint="eastAsia" w:ascii="宋体" w:hAnsi="宋体" w:cs="宋体"/>
          <w:b/>
          <w:color w:val="auto"/>
          <w:sz w:val="24"/>
          <w:highlight w:val="none"/>
          <w:u w:val="thick" w:color="FF0000"/>
        </w:rPr>
        <w:t>报价得分由高到低</w:t>
      </w:r>
      <w:r>
        <w:rPr>
          <w:rFonts w:hint="eastAsia" w:ascii="宋体" w:hAnsi="宋体" w:cs="宋体"/>
          <w:color w:val="auto"/>
          <w:sz w:val="24"/>
          <w:highlight w:val="none"/>
        </w:rPr>
        <w:t>按次序排列，推荐排名第一的供应商为本项目成交人。</w:t>
      </w:r>
    </w:p>
    <w:p w14:paraId="1F00E2DF">
      <w:pPr>
        <w:snapToGrid w:val="0"/>
        <w:spacing w:line="360" w:lineRule="auto"/>
        <w:ind w:firstLine="484" w:firstLineChars="202"/>
        <w:rPr>
          <w:rFonts w:ascii="宋体" w:cs="宋体"/>
          <w:color w:val="auto"/>
          <w:sz w:val="24"/>
          <w:highlight w:val="none"/>
        </w:rPr>
      </w:pPr>
      <w:r>
        <w:rPr>
          <w:rFonts w:hint="eastAsia" w:ascii="宋体" w:cs="宋体"/>
          <w:color w:val="auto"/>
          <w:sz w:val="24"/>
          <w:highlight w:val="none"/>
        </w:rPr>
        <w:t>（2）价格评审内容包括分析项目需求各产品单价是否合理，价格所含范围是否完整，有无重大错漏项。如果供应商的响应产品清单中有漏项并构成未实质性响应采购文件要求的，按无效投标处理。</w:t>
      </w:r>
    </w:p>
    <w:p w14:paraId="02EB1C85">
      <w:pPr>
        <w:snapToGrid w:val="0"/>
        <w:spacing w:line="360" w:lineRule="auto"/>
        <w:ind w:firstLine="487" w:firstLineChars="202"/>
        <w:rPr>
          <w:rFonts w:ascii="宋体" w:cs="宋体"/>
          <w:b/>
          <w:color w:val="auto"/>
          <w:sz w:val="24"/>
          <w:highlight w:val="none"/>
        </w:rPr>
      </w:pPr>
      <w:r>
        <w:rPr>
          <w:rFonts w:hint="eastAsia" w:ascii="宋体" w:cs="宋体"/>
          <w:b/>
          <w:color w:val="auto"/>
          <w:sz w:val="24"/>
          <w:highlight w:val="none"/>
        </w:rPr>
        <w:t>（3）说明：根据苏财购〔2025〕62号文件要求，出现下列情形之一的，评标委员会应当启动异常低价投标审查程序:</w:t>
      </w:r>
    </w:p>
    <w:p w14:paraId="54C94A0F">
      <w:pPr>
        <w:snapToGrid w:val="0"/>
        <w:spacing w:line="360" w:lineRule="auto"/>
        <w:ind w:firstLine="487" w:firstLineChars="202"/>
        <w:rPr>
          <w:rFonts w:ascii="宋体" w:cs="宋体"/>
          <w:b/>
          <w:color w:val="auto"/>
          <w:sz w:val="24"/>
          <w:highlight w:val="none"/>
        </w:rPr>
      </w:pPr>
      <w:r>
        <w:rPr>
          <w:rFonts w:hint="eastAsia" w:ascii="宋体" w:cs="宋体"/>
          <w:b/>
          <w:color w:val="auto"/>
          <w:sz w:val="24"/>
          <w:highlight w:val="none"/>
        </w:rPr>
        <w:t>①投标报价低于采购项目预算50%的，即投标(响应)报价&lt;采购项目预算x50%；</w:t>
      </w:r>
    </w:p>
    <w:p w14:paraId="0E74D3F4">
      <w:pPr>
        <w:snapToGrid w:val="0"/>
        <w:spacing w:line="360" w:lineRule="auto"/>
        <w:ind w:firstLine="487" w:firstLineChars="202"/>
        <w:rPr>
          <w:rFonts w:ascii="宋体" w:cs="宋体"/>
          <w:b/>
          <w:color w:val="auto"/>
          <w:sz w:val="24"/>
          <w:highlight w:val="none"/>
        </w:rPr>
      </w:pPr>
      <w:r>
        <w:rPr>
          <w:rFonts w:hint="eastAsia" w:ascii="宋体" w:cs="宋体"/>
          <w:b/>
          <w:color w:val="auto"/>
          <w:sz w:val="24"/>
          <w:highlight w:val="none"/>
        </w:rPr>
        <w:t>②投标报价低于采购项目最高限价45%的，即投标(响应)报价&lt;采购项目最高限价x45%；</w:t>
      </w:r>
    </w:p>
    <w:p w14:paraId="6C922581">
      <w:pPr>
        <w:snapToGrid w:val="0"/>
        <w:spacing w:line="360" w:lineRule="auto"/>
        <w:ind w:firstLine="487" w:firstLineChars="202"/>
        <w:rPr>
          <w:rFonts w:ascii="宋体" w:cs="宋体"/>
          <w:b/>
          <w:color w:val="auto"/>
          <w:sz w:val="24"/>
          <w:highlight w:val="none"/>
        </w:rPr>
      </w:pPr>
      <w:r>
        <w:rPr>
          <w:rFonts w:hint="eastAsia" w:ascii="宋体" w:cs="宋体"/>
          <w:b/>
          <w:color w:val="auto"/>
          <w:sz w:val="24"/>
          <w:highlight w:val="none"/>
        </w:rPr>
        <w:t>③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14264F5B">
      <w:pPr>
        <w:snapToGrid w:val="0"/>
        <w:spacing w:line="360" w:lineRule="auto"/>
        <w:ind w:firstLine="487" w:firstLineChars="202"/>
        <w:rPr>
          <w:rFonts w:ascii="宋体" w:cs="宋体"/>
          <w:b/>
          <w:color w:val="auto"/>
          <w:sz w:val="24"/>
          <w:highlight w:val="none"/>
        </w:rPr>
      </w:pPr>
      <w:r>
        <w:rPr>
          <w:rFonts w:hint="eastAsia" w:ascii="宋体" w:cs="宋体"/>
          <w:b/>
          <w:color w:val="auto"/>
          <w:sz w:val="24"/>
          <w:highlight w:val="none"/>
        </w:rPr>
        <w:t>投标供应商不提供书面说明、证明材料，或者提供的书面说明、证明材料不能证明其报价合理性的，评审委员会应当将其作为无效投标处理。审查相关情况应当在评审报告中进行记录。</w:t>
      </w:r>
    </w:p>
    <w:p w14:paraId="7219D848">
      <w:pPr>
        <w:snapToGrid w:val="0"/>
        <w:spacing w:line="360" w:lineRule="auto"/>
        <w:ind w:firstLine="480" w:firstLineChars="200"/>
        <w:rPr>
          <w:rFonts w:ascii="宋体" w:cs="宋体"/>
          <w:sz w:val="24"/>
        </w:rPr>
      </w:pPr>
      <w:r>
        <w:rPr>
          <w:rFonts w:hint="eastAsia" w:ascii="宋体" w:cs="宋体"/>
          <w:sz w:val="24"/>
        </w:rPr>
        <w:t>2、评委会对响应文件的判定，只依据响应文件内容本身，不依靠采购评审活动开始后的任何外来证明。</w:t>
      </w:r>
    </w:p>
    <w:p w14:paraId="298CFD3A">
      <w:pPr>
        <w:snapToGrid w:val="0"/>
        <w:spacing w:line="360" w:lineRule="auto"/>
        <w:ind w:firstLine="480" w:firstLineChars="200"/>
        <w:rPr>
          <w:rFonts w:ascii="宋体" w:cs="宋体"/>
          <w:sz w:val="24"/>
        </w:rPr>
      </w:pPr>
      <w:r>
        <w:rPr>
          <w:rFonts w:hint="eastAsia" w:ascii="宋体" w:cs="宋体"/>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3E24B5FC">
      <w:pPr>
        <w:adjustRightInd w:val="0"/>
        <w:snapToGrid w:val="0"/>
        <w:spacing w:line="360" w:lineRule="auto"/>
        <w:ind w:firstLine="480" w:firstLineChars="200"/>
        <w:rPr>
          <w:rFonts w:ascii="宋体" w:cs="宋体"/>
          <w:sz w:val="24"/>
        </w:rPr>
      </w:pPr>
      <w:r>
        <w:rPr>
          <w:rFonts w:hint="eastAsia" w:ascii="宋体" w:cs="宋体"/>
          <w:sz w:val="24"/>
        </w:rPr>
        <w:t>4、评委会对评标未尽情况有最终解释权，且对落标的供应商不做落标原因的解释。</w:t>
      </w:r>
    </w:p>
    <w:p w14:paraId="68575181">
      <w:pPr>
        <w:snapToGrid w:val="0"/>
        <w:spacing w:line="360" w:lineRule="auto"/>
        <w:ind w:firstLine="477" w:firstLineChars="198"/>
        <w:rPr>
          <w:rFonts w:ascii="宋体" w:hAnsi="宋体" w:cs="宋体"/>
          <w:b/>
          <w:sz w:val="24"/>
        </w:rPr>
      </w:pPr>
      <w:r>
        <w:rPr>
          <w:rFonts w:hint="eastAsia" w:ascii="宋体" w:hAnsi="宋体" w:cs="宋体"/>
          <w:b/>
          <w:sz w:val="24"/>
        </w:rPr>
        <w:t>九、其他注意事项</w:t>
      </w:r>
    </w:p>
    <w:p w14:paraId="52D0623A">
      <w:pPr>
        <w:snapToGrid w:val="0"/>
        <w:spacing w:line="360" w:lineRule="auto"/>
        <w:ind w:firstLine="570"/>
        <w:rPr>
          <w:rFonts w:ascii="宋体" w:hAnsi="宋体" w:cs="宋体"/>
          <w:sz w:val="24"/>
        </w:rPr>
      </w:pPr>
      <w:r>
        <w:rPr>
          <w:rFonts w:hint="eastAsia" w:ascii="宋体" w:hAnsi="宋体" w:cs="宋体"/>
          <w:sz w:val="24"/>
        </w:rPr>
        <w:t>1.在比选、开标时间，比选人不得向评委询问情况，不得进行旨在影响评标结果的活动。</w:t>
      </w:r>
    </w:p>
    <w:p w14:paraId="7CA6BB34">
      <w:pPr>
        <w:snapToGrid w:val="0"/>
        <w:spacing w:line="360" w:lineRule="auto"/>
        <w:ind w:firstLine="570"/>
        <w:rPr>
          <w:rFonts w:ascii="宋体" w:hAnsi="宋体" w:cs="宋体"/>
          <w:sz w:val="24"/>
        </w:rPr>
      </w:pPr>
      <w:r>
        <w:rPr>
          <w:rFonts w:hint="eastAsia" w:ascii="宋体" w:hAnsi="宋体" w:cs="宋体"/>
          <w:sz w:val="24"/>
        </w:rPr>
        <w:t>2.评委会不得向比选人解释落标原因。</w:t>
      </w:r>
    </w:p>
    <w:p w14:paraId="439E2D4A">
      <w:pPr>
        <w:snapToGrid w:val="0"/>
        <w:spacing w:line="360" w:lineRule="auto"/>
        <w:ind w:firstLine="570"/>
        <w:rPr>
          <w:rFonts w:ascii="宋体" w:hAnsi="宋体" w:cs="宋体"/>
          <w:sz w:val="24"/>
        </w:rPr>
      </w:pPr>
      <w:r>
        <w:rPr>
          <w:rFonts w:hint="eastAsia" w:ascii="宋体" w:hAnsi="宋体" w:cs="宋体"/>
          <w:sz w:val="24"/>
        </w:rPr>
        <w:t>3.在比选、评标过程中，如果比选人联合故意抬高报价或出现其他不正当行为，采购人有权中止比选或评标。</w:t>
      </w:r>
    </w:p>
    <w:p w14:paraId="3EFAAACE">
      <w:pPr>
        <w:snapToGrid w:val="0"/>
        <w:spacing w:line="360" w:lineRule="auto"/>
        <w:ind w:firstLine="570"/>
        <w:rPr>
          <w:rFonts w:ascii="宋体" w:hAnsi="宋体" w:cs="宋体"/>
          <w:sz w:val="24"/>
        </w:rPr>
      </w:pPr>
      <w:r>
        <w:rPr>
          <w:rFonts w:hint="eastAsia" w:ascii="宋体" w:hAnsi="宋体" w:cs="宋体"/>
          <w:sz w:val="24"/>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5C247FD7">
      <w:pPr>
        <w:adjustRightInd w:val="0"/>
        <w:snapToGrid w:val="0"/>
        <w:spacing w:line="360" w:lineRule="auto"/>
        <w:ind w:firstLine="472" w:firstLineChars="196"/>
        <w:rPr>
          <w:rFonts w:ascii="宋体" w:hAnsi="宋体" w:cs="宋体"/>
          <w:b/>
          <w:sz w:val="24"/>
        </w:rPr>
      </w:pPr>
      <w:r>
        <w:rPr>
          <w:rFonts w:hint="eastAsia" w:ascii="宋体" w:hAnsi="宋体" w:cs="宋体"/>
          <w:b/>
          <w:sz w:val="24"/>
        </w:rPr>
        <w:t>十、公告成交结果</w:t>
      </w:r>
    </w:p>
    <w:p w14:paraId="1DC54448">
      <w:pPr>
        <w:adjustRightInd w:val="0"/>
        <w:snapToGrid w:val="0"/>
        <w:spacing w:line="360" w:lineRule="auto"/>
        <w:ind w:firstLine="570"/>
        <w:rPr>
          <w:rFonts w:ascii="宋体" w:hAnsi="宋体" w:cs="宋体"/>
          <w:sz w:val="24"/>
        </w:rPr>
      </w:pPr>
      <w:r>
        <w:rPr>
          <w:rFonts w:hint="eastAsia" w:ascii="宋体" w:hAnsi="宋体" w:cs="宋体"/>
          <w:sz w:val="24"/>
        </w:rPr>
        <w:t>自确定成交供应商之日起2个工作日内，在“南通市住房和城乡建设局”官网公告成交结果，公告期限为1个工作日。</w:t>
      </w:r>
    </w:p>
    <w:p w14:paraId="2D399106">
      <w:pPr>
        <w:adjustRightInd w:val="0"/>
        <w:snapToGrid w:val="0"/>
        <w:spacing w:line="360" w:lineRule="auto"/>
        <w:ind w:firstLine="472" w:firstLineChars="196"/>
        <w:rPr>
          <w:rFonts w:ascii="宋体" w:hAnsi="宋体" w:cs="宋体"/>
          <w:b/>
          <w:bCs/>
          <w:sz w:val="24"/>
        </w:rPr>
      </w:pPr>
      <w:r>
        <w:rPr>
          <w:rFonts w:hint="eastAsia" w:ascii="宋体" w:hAnsi="宋体" w:cs="宋体"/>
          <w:b/>
          <w:sz w:val="24"/>
        </w:rPr>
        <w:t>十一、</w:t>
      </w:r>
      <w:r>
        <w:rPr>
          <w:rFonts w:hint="eastAsia" w:ascii="宋体" w:hAnsi="宋体" w:cs="宋体"/>
          <w:b/>
          <w:bCs/>
          <w:sz w:val="24"/>
        </w:rPr>
        <w:t>发放成交通知书</w:t>
      </w:r>
    </w:p>
    <w:p w14:paraId="4D70AF4B">
      <w:pPr>
        <w:adjustRightInd w:val="0"/>
        <w:snapToGrid w:val="0"/>
        <w:spacing w:line="360" w:lineRule="auto"/>
        <w:ind w:firstLine="600" w:firstLineChars="250"/>
        <w:rPr>
          <w:rFonts w:ascii="宋体" w:hAnsi="宋体" w:cs="宋体"/>
          <w:bCs/>
          <w:sz w:val="24"/>
        </w:rPr>
      </w:pPr>
      <w:r>
        <w:rPr>
          <w:rFonts w:hint="eastAsia" w:ascii="宋体" w:hAnsi="宋体" w:cs="宋体"/>
          <w:sz w:val="24"/>
        </w:rPr>
        <w:t>公告成交结果的同时，采购人</w:t>
      </w:r>
      <w:r>
        <w:rPr>
          <w:rFonts w:hint="eastAsia" w:ascii="宋体" w:hAnsi="宋体" w:cs="宋体"/>
          <w:bCs/>
          <w:sz w:val="24"/>
        </w:rPr>
        <w:t>向成交供应商发放成交通知书。联系电话：</w:t>
      </w:r>
      <w:r>
        <w:rPr>
          <w:rFonts w:hint="eastAsia" w:ascii="宋体" w:hAnsi="宋体" w:cs="宋体"/>
          <w:sz w:val="24"/>
        </w:rPr>
        <w:t>18912268973　</w:t>
      </w:r>
    </w:p>
    <w:p w14:paraId="4177ACF3">
      <w:pPr>
        <w:adjustRightInd w:val="0"/>
        <w:snapToGrid w:val="0"/>
        <w:spacing w:line="360" w:lineRule="auto"/>
        <w:ind w:firstLine="570"/>
        <w:rPr>
          <w:rFonts w:ascii="宋体" w:hAnsi="宋体" w:cs="宋体"/>
          <w:sz w:val="24"/>
        </w:rPr>
      </w:pPr>
      <w:r>
        <w:rPr>
          <w:rFonts w:hint="eastAsia" w:ascii="宋体" w:hAnsi="宋体" w:cs="宋体"/>
          <w:sz w:val="24"/>
        </w:rPr>
        <w:t>成交通知书发出后，采购人不得违法改变成交结果，成交供应商无正当理由不得放弃成交。</w:t>
      </w:r>
    </w:p>
    <w:p w14:paraId="3465BDA2">
      <w:pPr>
        <w:widowControl/>
        <w:spacing w:line="360" w:lineRule="auto"/>
        <w:ind w:firstLine="482" w:firstLineChars="200"/>
        <w:jc w:val="left"/>
        <w:rPr>
          <w:rFonts w:cs="宋体" w:asciiTheme="minorEastAsia" w:hAnsiTheme="minorEastAsia" w:eastAsiaTheme="minorEastAsia"/>
          <w:b/>
          <w:sz w:val="24"/>
        </w:rPr>
      </w:pPr>
    </w:p>
    <w:p w14:paraId="1776C111">
      <w:pPr>
        <w:adjustRightInd w:val="0"/>
        <w:snapToGrid w:val="0"/>
        <w:spacing w:line="360" w:lineRule="auto"/>
        <w:ind w:firstLine="720"/>
        <w:jc w:val="center"/>
        <w:rPr>
          <w:rFonts w:asciiTheme="minorEastAsia" w:hAnsiTheme="minorEastAsia" w:eastAsiaTheme="minorEastAsia"/>
          <w:bCs/>
          <w:sz w:val="36"/>
          <w:szCs w:val="36"/>
        </w:rPr>
      </w:pPr>
    </w:p>
    <w:p w14:paraId="5CC81966"/>
    <w:p w14:paraId="2EFF6BFD">
      <w:pPr>
        <w:adjustRightInd w:val="0"/>
        <w:snapToGrid w:val="0"/>
        <w:spacing w:line="360" w:lineRule="auto"/>
        <w:ind w:firstLine="720"/>
        <w:jc w:val="center"/>
        <w:outlineLvl w:val="0"/>
        <w:rPr>
          <w:rFonts w:hint="eastAsia" w:asciiTheme="minorEastAsia" w:hAnsiTheme="minorEastAsia" w:eastAsiaTheme="minorEastAsia"/>
          <w:bCs/>
          <w:sz w:val="36"/>
          <w:szCs w:val="36"/>
        </w:rPr>
      </w:pPr>
    </w:p>
    <w:p w14:paraId="49E1FF28">
      <w:pPr>
        <w:pStyle w:val="42"/>
        <w:ind w:left="0" w:leftChars="0" w:firstLine="0" w:firstLineChars="0"/>
        <w:rPr>
          <w:rFonts w:hint="eastAsia"/>
        </w:rPr>
      </w:pPr>
    </w:p>
    <w:p w14:paraId="3B8BAEC4">
      <w:pPr>
        <w:rPr>
          <w:rFonts w:hint="eastAsia"/>
        </w:rPr>
      </w:pPr>
    </w:p>
    <w:p w14:paraId="7E3A79C2">
      <w:pPr>
        <w:pStyle w:val="42"/>
        <w:ind w:firstLine="420"/>
        <w:rPr>
          <w:rFonts w:hint="eastAsia"/>
        </w:rPr>
      </w:pPr>
    </w:p>
    <w:p w14:paraId="586C8F61">
      <w:pPr>
        <w:adjustRightInd w:val="0"/>
        <w:snapToGrid w:val="0"/>
        <w:spacing w:line="360" w:lineRule="auto"/>
        <w:ind w:firstLine="720"/>
        <w:jc w:val="center"/>
        <w:outlineLvl w:val="0"/>
        <w:rPr>
          <w:rFonts w:asciiTheme="minorEastAsia" w:hAnsiTheme="minorEastAsia" w:eastAsiaTheme="minorEastAsia"/>
          <w:bCs/>
          <w:sz w:val="36"/>
          <w:szCs w:val="36"/>
        </w:rPr>
      </w:pPr>
      <w:r>
        <w:rPr>
          <w:rFonts w:hint="eastAsia" w:asciiTheme="minorEastAsia" w:hAnsiTheme="minorEastAsia" w:eastAsiaTheme="minorEastAsia"/>
          <w:bCs/>
          <w:sz w:val="36"/>
          <w:szCs w:val="36"/>
        </w:rPr>
        <w:t>第五部分 比选响应文件组成</w:t>
      </w:r>
    </w:p>
    <w:p w14:paraId="47406AA4">
      <w:pPr>
        <w:rPr>
          <w:rFonts w:hint="eastAsia"/>
        </w:rPr>
      </w:pPr>
    </w:p>
    <w:p w14:paraId="72F5EB25">
      <w:pPr>
        <w:snapToGrid w:val="0"/>
        <w:spacing w:line="360" w:lineRule="auto"/>
        <w:ind w:firstLine="556"/>
        <w:jc w:val="left"/>
        <w:rPr>
          <w:rFonts w:ascii="宋体" w:hAnsi="宋体" w:cs="宋体"/>
          <w:b/>
          <w:sz w:val="24"/>
        </w:rPr>
      </w:pPr>
      <w:r>
        <w:rPr>
          <w:rFonts w:hint="eastAsia" w:ascii="宋体" w:hAnsi="宋体" w:cs="宋体"/>
          <w:b/>
          <w:sz w:val="24"/>
        </w:rPr>
        <w:t>比选响应文件由资格审查证明文件、价格文件二部分组成。</w:t>
      </w:r>
      <w:r>
        <w:rPr>
          <w:rFonts w:hint="eastAsia" w:ascii="宋体" w:hAnsi="宋体" w:cs="宋体"/>
          <w:sz w:val="24"/>
        </w:rPr>
        <w:t>供应商提供的投标文件材料须字迹清晰。</w:t>
      </w:r>
      <w:r>
        <w:rPr>
          <w:rFonts w:hint="eastAsia" w:ascii="宋体" w:hAnsi="宋体" w:cs="宋体"/>
          <w:b/>
          <w:bCs/>
          <w:sz w:val="24"/>
        </w:rPr>
        <w:t>如投标文件字迹模糊，造成的废标或不得分等后果由供应商自行承担。</w:t>
      </w:r>
    </w:p>
    <w:p w14:paraId="49D51BED">
      <w:pPr>
        <w:pStyle w:val="59"/>
        <w:snapToGrid w:val="0"/>
        <w:spacing w:before="0" w:beforeAutospacing="0" w:after="0" w:afterAutospacing="0" w:line="360" w:lineRule="auto"/>
        <w:ind w:firstLine="482" w:firstLineChars="200"/>
        <w:contextualSpacing/>
        <w:rPr>
          <w:rFonts w:hAnsi="宋体"/>
          <w:b/>
        </w:rPr>
      </w:pPr>
      <w:r>
        <w:rPr>
          <w:rFonts w:hint="eastAsia" w:hAnsi="宋体"/>
          <w:b/>
        </w:rPr>
        <w:t>一、资格审查证明材料（不能出现报价，</w:t>
      </w:r>
      <w:r>
        <w:rPr>
          <w:rFonts w:hint="eastAsia" w:hAnsi="宋体"/>
          <w:b/>
          <w:bCs/>
        </w:rPr>
        <w:t>单独密封</w:t>
      </w:r>
      <w:r>
        <w:rPr>
          <w:rFonts w:hint="eastAsia" w:hAnsi="宋体"/>
          <w:b/>
        </w:rPr>
        <w:t>）：</w:t>
      </w:r>
    </w:p>
    <w:p w14:paraId="283FE838">
      <w:pPr>
        <w:pStyle w:val="59"/>
        <w:snapToGrid w:val="0"/>
        <w:spacing w:before="0" w:beforeAutospacing="0" w:after="0" w:afterAutospacing="0" w:line="360" w:lineRule="auto"/>
        <w:ind w:firstLine="480" w:firstLineChars="200"/>
        <w:contextualSpacing/>
      </w:pPr>
      <w:r>
        <w:rPr>
          <w:rFonts w:hint="eastAsia"/>
          <w:szCs w:val="20"/>
          <w:lang w:val="zh-CN"/>
        </w:rPr>
        <w:t>1.供应商符合资格条件的声明函（</w:t>
      </w:r>
      <w:r>
        <w:rPr>
          <w:rFonts w:hint="eastAsia"/>
          <w:szCs w:val="20"/>
        </w:rPr>
        <w:t>格式见附件</w:t>
      </w:r>
      <w:r>
        <w:rPr>
          <w:rFonts w:hint="eastAsia"/>
        </w:rPr>
        <w:t>）；</w:t>
      </w:r>
    </w:p>
    <w:p w14:paraId="2F0048C8">
      <w:pPr>
        <w:pStyle w:val="59"/>
        <w:snapToGrid w:val="0"/>
        <w:spacing w:before="0" w:beforeAutospacing="0" w:after="0" w:afterAutospacing="0" w:line="360" w:lineRule="auto"/>
        <w:ind w:firstLine="480" w:firstLineChars="200"/>
        <w:contextualSpacing/>
        <w:rPr>
          <w:rFonts w:hAnsi="宋体"/>
          <w:b/>
        </w:rPr>
      </w:pPr>
      <w:r>
        <w:rPr>
          <w:rFonts w:hint="eastAsia"/>
        </w:rPr>
        <w:t>2.</w:t>
      </w:r>
      <w:r>
        <w:rPr>
          <w:rFonts w:hint="eastAsia" w:cs="仿宋_GB2312"/>
        </w:rPr>
        <w:t>提供投标供应商的营业执照副本复印件加盖公章；</w:t>
      </w:r>
    </w:p>
    <w:p w14:paraId="15380CF2">
      <w:pPr>
        <w:spacing w:line="360" w:lineRule="auto"/>
        <w:ind w:firstLine="480" w:firstLineChars="200"/>
        <w:rPr>
          <w:rFonts w:ascii="宋体" w:hAnsi="宋体" w:cs="宋体"/>
          <w:sz w:val="24"/>
        </w:rPr>
      </w:pPr>
      <w:r>
        <w:rPr>
          <w:rFonts w:hint="eastAsia" w:ascii="宋体" w:cs="仿宋_GB2312"/>
          <w:sz w:val="24"/>
        </w:rPr>
        <w:t>3.</w:t>
      </w: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w:t>
      </w:r>
      <w:r>
        <w:rPr>
          <w:rFonts w:hint="eastAsia" w:cs="宋体" w:asciiTheme="minorEastAsia" w:hAnsiTheme="minorEastAsia" w:eastAsiaTheme="minorEastAsia"/>
          <w:color w:val="auto"/>
          <w:sz w:val="24"/>
          <w:szCs w:val="20"/>
          <w:highlight w:val="none"/>
          <w:lang w:val="zh-CN"/>
        </w:rPr>
        <w:t>位2025年</w:t>
      </w:r>
      <w:r>
        <w:rPr>
          <w:rFonts w:hint="eastAsia" w:cs="宋体" w:asciiTheme="minorEastAsia" w:hAnsiTheme="minorEastAsia" w:eastAsiaTheme="minorEastAsia"/>
          <w:color w:val="auto"/>
          <w:sz w:val="24"/>
          <w:szCs w:val="20"/>
          <w:highlight w:val="none"/>
        </w:rPr>
        <w:t>5</w:t>
      </w:r>
      <w:r>
        <w:rPr>
          <w:rFonts w:hint="eastAsia" w:cs="宋体" w:asciiTheme="minorEastAsia" w:hAnsiTheme="minorEastAsia" w:eastAsiaTheme="minorEastAsia"/>
          <w:color w:val="auto"/>
          <w:sz w:val="24"/>
          <w:szCs w:val="20"/>
          <w:highlight w:val="none"/>
          <w:lang w:val="zh-CN"/>
        </w:rPr>
        <w:t>月-2025年</w:t>
      </w:r>
      <w:r>
        <w:rPr>
          <w:rFonts w:hint="eastAsia" w:cs="宋体" w:asciiTheme="minorEastAsia" w:hAnsiTheme="minorEastAsia" w:eastAsiaTheme="minorEastAsia"/>
          <w:color w:val="auto"/>
          <w:sz w:val="24"/>
          <w:szCs w:val="20"/>
          <w:highlight w:val="none"/>
        </w:rPr>
        <w:t>7</w:t>
      </w:r>
      <w:r>
        <w:rPr>
          <w:rFonts w:hint="eastAsia" w:cs="宋体" w:asciiTheme="minorEastAsia" w:hAnsiTheme="minorEastAsia" w:eastAsiaTheme="minorEastAsia"/>
          <w:color w:val="auto"/>
          <w:sz w:val="24"/>
          <w:szCs w:val="20"/>
          <w:highlight w:val="none"/>
          <w:lang w:val="zh-CN"/>
        </w:rPr>
        <w:t>月</w:t>
      </w:r>
      <w:r>
        <w:rPr>
          <w:rFonts w:hint="eastAsia" w:cs="宋体" w:asciiTheme="minorEastAsia" w:hAnsiTheme="minorEastAsia" w:eastAsiaTheme="minorEastAsia"/>
          <w:color w:val="auto"/>
          <w:sz w:val="24"/>
          <w:szCs w:val="20"/>
          <w:highlight w:val="none"/>
        </w:rPr>
        <w:t>任意一个月</w:t>
      </w:r>
      <w:r>
        <w:rPr>
          <w:rFonts w:hint="eastAsia" w:cs="宋体" w:asciiTheme="minorEastAsia" w:hAnsiTheme="minorEastAsia" w:eastAsiaTheme="minorEastAsia"/>
          <w:sz w:val="24"/>
          <w:szCs w:val="20"/>
          <w:lang w:val="zh-CN"/>
        </w:rPr>
        <w:t>的社保证明复印件加盖公章</w:t>
      </w:r>
      <w:r>
        <w:rPr>
          <w:rFonts w:hint="eastAsia" w:ascii="宋体" w:cs="宋体"/>
          <w:sz w:val="24"/>
          <w:szCs w:val="20"/>
        </w:rPr>
        <w:t>（格式见附件）；</w:t>
      </w:r>
    </w:p>
    <w:p w14:paraId="4DA22B38">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sz w:val="24"/>
          <w:szCs w:val="22"/>
        </w:rPr>
        <w:t>未被“信用中国”网站（www.creditchina.gov.cn）列入失信被执行人、重大税收违法案件当事人名单、政府采购严重失信行为记录名单</w:t>
      </w:r>
      <w:r>
        <w:rPr>
          <w:rFonts w:hint="eastAsia" w:ascii="宋体" w:hAnsi="宋体" w:cs="宋体"/>
          <w:sz w:val="24"/>
        </w:rPr>
        <w:t>；</w:t>
      </w:r>
    </w:p>
    <w:p w14:paraId="7818B3F0">
      <w:pPr>
        <w:spacing w:line="360" w:lineRule="auto"/>
        <w:ind w:firstLine="480" w:firstLineChars="200"/>
        <w:rPr>
          <w:rFonts w:ascii="宋体" w:cs="宋体"/>
          <w:sz w:val="24"/>
          <w:szCs w:val="20"/>
          <w:lang w:val="zh-CN"/>
        </w:rPr>
      </w:pPr>
      <w:r>
        <w:rPr>
          <w:rFonts w:hint="eastAsia" w:ascii="宋体" w:hAnsi="宋体" w:cs="宋体"/>
          <w:sz w:val="24"/>
        </w:rPr>
        <w:t>5.提供投标供应商的由行政主管部门颁发的有效期内的安全生产许可证书复印件加</w:t>
      </w:r>
      <w:r>
        <w:rPr>
          <w:rFonts w:hint="eastAsia" w:ascii="宋体" w:cs="宋体"/>
          <w:sz w:val="24"/>
          <w:szCs w:val="20"/>
          <w:lang w:val="zh-CN"/>
        </w:rPr>
        <w:t>盖公章；</w:t>
      </w:r>
    </w:p>
    <w:p w14:paraId="689B2B7C">
      <w:pPr>
        <w:spacing w:line="360" w:lineRule="auto"/>
        <w:ind w:firstLine="480" w:firstLineChars="200"/>
        <w:rPr>
          <w:rFonts w:ascii="宋体" w:cs="宋体"/>
          <w:sz w:val="24"/>
          <w:szCs w:val="20"/>
          <w:lang w:val="zh-CN"/>
        </w:rPr>
      </w:pPr>
      <w:r>
        <w:rPr>
          <w:rFonts w:hint="eastAsia" w:ascii="宋体" w:cs="宋体"/>
          <w:sz w:val="24"/>
          <w:szCs w:val="20"/>
          <w:lang w:val="zh-CN"/>
        </w:rPr>
        <w:t>6.</w:t>
      </w:r>
      <w:r>
        <w:rPr>
          <w:rFonts w:hint="eastAsia" w:cs="宋体" w:asciiTheme="minorEastAsia" w:hAnsiTheme="minorEastAsia" w:eastAsiaTheme="minorEastAsia"/>
          <w:sz w:val="24"/>
          <w:szCs w:val="20"/>
          <w:lang w:val="zh-CN"/>
        </w:rPr>
        <w:t xml:space="preserve"> 具备建设主管部门颁发的市政公用工程施工总承包</w:t>
      </w:r>
      <w:r>
        <w:rPr>
          <w:rFonts w:hint="eastAsia" w:cs="宋体" w:asciiTheme="minorEastAsia" w:hAnsiTheme="minorEastAsia" w:eastAsiaTheme="minorEastAsia"/>
          <w:sz w:val="24"/>
          <w:szCs w:val="20"/>
        </w:rPr>
        <w:t>叁</w:t>
      </w:r>
      <w:r>
        <w:rPr>
          <w:rFonts w:hint="eastAsia" w:cs="宋体" w:asciiTheme="minorEastAsia" w:hAnsiTheme="minorEastAsia" w:eastAsiaTheme="minorEastAsia"/>
          <w:sz w:val="24"/>
          <w:szCs w:val="20"/>
          <w:lang w:val="zh-CN"/>
        </w:rPr>
        <w:t>级及以上资质证复印件加盖公章</w:t>
      </w:r>
      <w:r>
        <w:rPr>
          <w:rFonts w:hint="eastAsia" w:ascii="宋体" w:cs="宋体"/>
          <w:sz w:val="24"/>
          <w:szCs w:val="20"/>
          <w:lang w:val="zh-CN"/>
        </w:rPr>
        <w:t>；</w:t>
      </w:r>
    </w:p>
    <w:p w14:paraId="2D6E201B">
      <w:pPr>
        <w:spacing w:line="360" w:lineRule="auto"/>
        <w:ind w:firstLine="480" w:firstLineChars="200"/>
        <w:rPr>
          <w:rFonts w:hint="eastAsia" w:cs="宋体" w:asciiTheme="minorEastAsia" w:hAnsiTheme="minorEastAsia" w:eastAsiaTheme="minorEastAsia"/>
          <w:color w:val="auto"/>
          <w:sz w:val="24"/>
          <w:szCs w:val="20"/>
          <w:highlight w:val="none"/>
          <w:lang w:val="zh-CN"/>
        </w:rPr>
      </w:pPr>
      <w:r>
        <w:rPr>
          <w:rFonts w:hint="eastAsia" w:ascii="宋体" w:cs="宋体"/>
          <w:sz w:val="24"/>
          <w:szCs w:val="20"/>
          <w:lang w:val="zh-CN"/>
        </w:rPr>
        <w:t>7.</w:t>
      </w:r>
      <w:r>
        <w:rPr>
          <w:rFonts w:hint="eastAsia" w:ascii="宋体" w:hAnsi="宋体"/>
          <w:sz w:val="24"/>
        </w:rPr>
        <w:t xml:space="preserve"> 供应商拟派项目负责人须具备市政公用工程专业二级及以上</w:t>
      </w:r>
      <w:r>
        <w:rPr>
          <w:rFonts w:hint="eastAsia" w:ascii="宋体" w:hAnsi="宋体"/>
          <w:color w:val="auto"/>
          <w:sz w:val="24"/>
          <w:highlight w:val="none"/>
        </w:rPr>
        <w:t>注册建造师，同时具有安全生产考核合格证（B证），且为投标企业正式员工，提供</w:t>
      </w:r>
      <w:r>
        <w:rPr>
          <w:rFonts w:hint="eastAsia" w:cs="宋体" w:asciiTheme="minorEastAsia" w:hAnsiTheme="minorEastAsia" w:eastAsiaTheme="minorEastAsia"/>
          <w:color w:val="auto"/>
          <w:sz w:val="24"/>
          <w:szCs w:val="20"/>
          <w:highlight w:val="none"/>
          <w:lang w:val="zh-CN"/>
        </w:rPr>
        <w:t>在该单位2025年</w:t>
      </w:r>
      <w:r>
        <w:rPr>
          <w:rFonts w:hint="eastAsia" w:cs="宋体" w:asciiTheme="minorEastAsia" w:hAnsiTheme="minorEastAsia" w:eastAsiaTheme="minorEastAsia"/>
          <w:color w:val="auto"/>
          <w:sz w:val="24"/>
          <w:szCs w:val="20"/>
          <w:highlight w:val="none"/>
        </w:rPr>
        <w:t>5</w:t>
      </w:r>
      <w:r>
        <w:rPr>
          <w:rFonts w:hint="eastAsia" w:cs="宋体" w:asciiTheme="minorEastAsia" w:hAnsiTheme="minorEastAsia" w:eastAsiaTheme="minorEastAsia"/>
          <w:color w:val="auto"/>
          <w:sz w:val="24"/>
          <w:szCs w:val="20"/>
          <w:highlight w:val="none"/>
          <w:lang w:val="zh-CN"/>
        </w:rPr>
        <w:t>月-2025年</w:t>
      </w:r>
      <w:r>
        <w:rPr>
          <w:rFonts w:hint="eastAsia" w:cs="宋体" w:asciiTheme="minorEastAsia" w:hAnsiTheme="minorEastAsia" w:eastAsiaTheme="minorEastAsia"/>
          <w:color w:val="auto"/>
          <w:sz w:val="24"/>
          <w:szCs w:val="20"/>
          <w:highlight w:val="none"/>
        </w:rPr>
        <w:t>7</w:t>
      </w:r>
      <w:r>
        <w:rPr>
          <w:rFonts w:hint="eastAsia" w:cs="宋体" w:asciiTheme="minorEastAsia" w:hAnsiTheme="minorEastAsia" w:eastAsiaTheme="minorEastAsia"/>
          <w:color w:val="auto"/>
          <w:sz w:val="24"/>
          <w:szCs w:val="20"/>
          <w:highlight w:val="none"/>
          <w:lang w:val="zh-CN"/>
        </w:rPr>
        <w:t>月</w:t>
      </w:r>
      <w:r>
        <w:rPr>
          <w:rFonts w:hint="eastAsia" w:cs="宋体" w:asciiTheme="minorEastAsia" w:hAnsiTheme="minorEastAsia" w:eastAsiaTheme="minorEastAsia"/>
          <w:color w:val="auto"/>
          <w:sz w:val="24"/>
          <w:szCs w:val="20"/>
          <w:highlight w:val="none"/>
        </w:rPr>
        <w:t>任意一个月</w:t>
      </w:r>
      <w:r>
        <w:rPr>
          <w:rFonts w:hint="eastAsia" w:cs="宋体" w:asciiTheme="minorEastAsia" w:hAnsiTheme="minorEastAsia" w:eastAsiaTheme="minorEastAsia"/>
          <w:color w:val="auto"/>
          <w:sz w:val="24"/>
          <w:szCs w:val="20"/>
          <w:highlight w:val="none"/>
          <w:lang w:val="zh-CN"/>
        </w:rPr>
        <w:t>的社保证明复印件加盖公章；</w:t>
      </w:r>
    </w:p>
    <w:p w14:paraId="040751CD">
      <w:pPr>
        <w:pStyle w:val="42"/>
        <w:rPr>
          <w:rFonts w:hint="default" w:eastAsiaTheme="minorEastAsia"/>
          <w:lang w:val="en-US" w:eastAsia="zh-CN"/>
        </w:rPr>
      </w:pPr>
      <w:r>
        <w:rPr>
          <w:rFonts w:hint="eastAsia" w:cs="宋体" w:asciiTheme="minorEastAsia" w:hAnsiTheme="minorEastAsia" w:eastAsiaTheme="minorEastAsia"/>
          <w:sz w:val="24"/>
          <w:szCs w:val="20"/>
          <w:lang w:val="en-US" w:eastAsia="zh-CN"/>
        </w:rPr>
        <w:t>8.2022年1月1日至投标截止日（以“合同签订”日期为准）投标单位需提供承担过类似彩浆封层、颗粒封层施工项目相关的业绩。（提供合同复印件加盖公章及对应的至少一次进度款发票）；</w:t>
      </w:r>
    </w:p>
    <w:p w14:paraId="1E1B6658">
      <w:pPr>
        <w:spacing w:line="360" w:lineRule="auto"/>
        <w:ind w:firstLine="525" w:firstLineChars="250"/>
        <w:rPr>
          <w:rFonts w:ascii="宋体" w:hAnsi="宋体" w:cs="宋体"/>
          <w:sz w:val="24"/>
        </w:rPr>
      </w:pPr>
      <w:r>
        <w:rPr>
          <w:rFonts w:hint="eastAsia" w:ascii="宋体" w:hAnsi="宋体" w:cs="宋体"/>
          <w:lang w:val="en-US" w:eastAsia="zh-CN"/>
        </w:rPr>
        <w:t>9</w:t>
      </w:r>
      <w:r>
        <w:rPr>
          <w:rFonts w:hint="eastAsia" w:ascii="宋体" w:hAnsi="宋体" w:cs="宋体"/>
        </w:rPr>
        <w:t>.</w:t>
      </w:r>
      <w:r>
        <w:rPr>
          <w:rFonts w:hint="eastAsia" w:ascii="宋体" w:hAnsi="宋体" w:cs="宋体"/>
          <w:sz w:val="24"/>
        </w:rPr>
        <w:t>投标及履约承诺书</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3722C1DF">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.投标人根据比选文件要求认为需要提交的其他资料。</w:t>
      </w:r>
    </w:p>
    <w:p w14:paraId="495D4400">
      <w:pPr>
        <w:widowControl/>
        <w:snapToGrid w:val="0"/>
        <w:spacing w:line="360" w:lineRule="auto"/>
        <w:ind w:firstLine="482" w:firstLineChars="200"/>
        <w:jc w:val="left"/>
        <w:rPr>
          <w:rFonts w:ascii="宋体" w:hAnsi="宋体" w:cs="宋体"/>
          <w:b/>
          <w:bCs/>
          <w:sz w:val="24"/>
        </w:rPr>
      </w:pPr>
      <w:r>
        <w:rPr>
          <w:rFonts w:hint="eastAsia" w:ascii="宋体" w:hAnsi="宋体" w:cs="宋体"/>
          <w:b/>
          <w:bCs/>
          <w:sz w:val="24"/>
        </w:rPr>
        <w:t>二、价格响应文件（不得出现在资格审查部分，单独密封</w:t>
      </w:r>
      <w:r>
        <w:rPr>
          <w:rFonts w:hint="eastAsia" w:ascii="宋体" w:hAnsi="宋体" w:cs="宋体"/>
          <w:b/>
          <w:sz w:val="24"/>
        </w:rPr>
        <w:t>）</w:t>
      </w:r>
      <w:r>
        <w:rPr>
          <w:rFonts w:hint="eastAsia" w:ascii="宋体" w:hAnsi="宋体" w:cs="宋体"/>
          <w:b/>
          <w:bCs/>
          <w:sz w:val="24"/>
        </w:rPr>
        <w:t>：</w:t>
      </w:r>
    </w:p>
    <w:p w14:paraId="07BD766B">
      <w:pPr>
        <w:spacing w:line="360" w:lineRule="auto"/>
        <w:ind w:firstLine="480" w:firstLineChars="200"/>
        <w:rPr>
          <w:rFonts w:ascii="宋体" w:hAnsi="宋体" w:cs="宋体"/>
          <w:sz w:val="24"/>
        </w:rPr>
      </w:pPr>
      <w:r>
        <w:rPr>
          <w:rFonts w:hint="eastAsia" w:ascii="宋体" w:hAnsi="宋体" w:cs="宋体"/>
          <w:sz w:val="24"/>
        </w:rPr>
        <w:t>1.比选响应函</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00C02E5E">
      <w:pPr>
        <w:spacing w:line="360" w:lineRule="auto"/>
        <w:ind w:firstLine="480" w:firstLineChars="200"/>
        <w:rPr>
          <w:rFonts w:ascii="宋体" w:hAnsi="宋体" w:cs="宋体"/>
          <w:sz w:val="24"/>
        </w:rPr>
      </w:pPr>
      <w:r>
        <w:rPr>
          <w:rFonts w:hint="eastAsia" w:ascii="宋体" w:hAnsi="宋体" w:cs="宋体"/>
          <w:sz w:val="24"/>
        </w:rPr>
        <w:t>2.报价总表</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4AC0C363">
      <w:pPr>
        <w:tabs>
          <w:tab w:val="left" w:pos="2020"/>
          <w:tab w:val="center" w:pos="4535"/>
        </w:tabs>
        <w:spacing w:line="360" w:lineRule="auto"/>
        <w:ind w:firstLine="240" w:firstLineChars="100"/>
        <w:jc w:val="center"/>
        <w:rPr>
          <w:rFonts w:hint="eastAsia" w:asciiTheme="minorEastAsia" w:hAnsiTheme="minorEastAsia" w:eastAsiaTheme="minorEastAsia"/>
          <w:sz w:val="24"/>
        </w:rPr>
      </w:pPr>
    </w:p>
    <w:p w14:paraId="35FB5B98">
      <w:pPr>
        <w:pStyle w:val="42"/>
        <w:ind w:firstLine="420"/>
        <w:rPr>
          <w:rFonts w:hint="eastAsia"/>
        </w:rPr>
      </w:pPr>
    </w:p>
    <w:p w14:paraId="36E39FE5">
      <w:pPr>
        <w:rPr>
          <w:rFonts w:hint="eastAsia"/>
        </w:rPr>
      </w:pPr>
    </w:p>
    <w:p w14:paraId="062F963A">
      <w:pPr>
        <w:snapToGrid w:val="0"/>
        <w:spacing w:line="360" w:lineRule="auto"/>
        <w:jc w:val="left"/>
        <w:outlineLvl w:val="3"/>
        <w:rPr>
          <w:rFonts w:cs="宋体" w:asciiTheme="minorEastAsia" w:hAnsiTheme="minorEastAsia" w:eastAsiaTheme="minorEastAsia"/>
          <w:b/>
          <w:sz w:val="24"/>
        </w:rPr>
      </w:pPr>
    </w:p>
    <w:p w14:paraId="59F96B1D">
      <w:pPr>
        <w:pageBreakBefore/>
        <w:widowControl/>
        <w:snapToGrid w:val="0"/>
        <w:spacing w:line="360" w:lineRule="auto"/>
        <w:jc w:val="center"/>
        <w:textAlignment w:val="baseline"/>
        <w:rPr>
          <w:rFonts w:ascii="Calibri" w:hAnsi="Calibri"/>
          <w:b/>
          <w:sz w:val="32"/>
          <w:szCs w:val="32"/>
        </w:rPr>
      </w:pPr>
      <w:r>
        <w:rPr>
          <w:rFonts w:hint="eastAsia" w:ascii="Calibri" w:hAnsi="Calibri"/>
          <w:b/>
          <w:sz w:val="32"/>
          <w:szCs w:val="32"/>
        </w:rPr>
        <w:t>比选</w:t>
      </w:r>
      <w:r>
        <w:rPr>
          <w:rFonts w:ascii="Calibri" w:hAnsi="Calibri"/>
          <w:b/>
          <w:sz w:val="32"/>
          <w:szCs w:val="32"/>
        </w:rPr>
        <w:t>响应文件</w:t>
      </w:r>
      <w:r>
        <w:rPr>
          <w:rFonts w:hint="eastAsia" w:ascii="Calibri" w:hAnsi="Calibri"/>
          <w:b/>
          <w:sz w:val="32"/>
          <w:szCs w:val="32"/>
        </w:rPr>
        <w:t>相关格式</w:t>
      </w:r>
    </w:p>
    <w:p w14:paraId="33D302F5">
      <w:pPr>
        <w:spacing w:line="360" w:lineRule="auto"/>
        <w:jc w:val="left"/>
        <w:rPr>
          <w:rFonts w:hint="eastAsia" w:ascii="宋体" w:hAnsi="宋体" w:cs="宋体"/>
          <w:b/>
          <w:sz w:val="24"/>
        </w:rPr>
      </w:pPr>
    </w:p>
    <w:p w14:paraId="7790DF1B">
      <w:pPr>
        <w:spacing w:line="360" w:lineRule="auto"/>
        <w:jc w:val="left"/>
        <w:rPr>
          <w:rFonts w:ascii="宋体" w:hAnsi="宋体" w:cs="宋体"/>
          <w:b/>
          <w:sz w:val="24"/>
        </w:rPr>
      </w:pPr>
      <w:r>
        <w:rPr>
          <w:rFonts w:hint="eastAsia" w:ascii="宋体" w:hAnsi="宋体" w:cs="宋体"/>
          <w:b/>
          <w:sz w:val="24"/>
        </w:rPr>
        <w:t>（一）资格审查证明材料相关格式</w:t>
      </w:r>
    </w:p>
    <w:p w14:paraId="71014F3F">
      <w:pPr>
        <w:rPr>
          <w:rFonts w:ascii="宋体" w:hAnsi="宋体" w:cs="宋体"/>
          <w:b/>
          <w:bCs/>
          <w:sz w:val="24"/>
        </w:rPr>
      </w:pPr>
    </w:p>
    <w:p w14:paraId="7F8FC058">
      <w:pPr>
        <w:rPr>
          <w:rFonts w:ascii="宋体" w:hAnsi="宋体" w:cs="宋体"/>
          <w:b/>
          <w:bCs/>
          <w:sz w:val="24"/>
        </w:rPr>
      </w:pPr>
      <w:r>
        <w:rPr>
          <w:rFonts w:hint="eastAsia" w:ascii="宋体" w:hAnsi="宋体" w:cs="宋体"/>
          <w:b/>
          <w:bCs/>
          <w:sz w:val="24"/>
        </w:rPr>
        <w:t>附件1</w:t>
      </w:r>
    </w:p>
    <w:p w14:paraId="7101AF88">
      <w:pPr>
        <w:spacing w:line="360" w:lineRule="auto"/>
        <w:jc w:val="center"/>
        <w:rPr>
          <w:rFonts w:ascii="宋体" w:hAnsi="宋体" w:cs="宋体"/>
          <w:b/>
          <w:sz w:val="24"/>
        </w:rPr>
      </w:pPr>
    </w:p>
    <w:p w14:paraId="30EE4BDF">
      <w:pPr>
        <w:spacing w:line="360" w:lineRule="auto"/>
        <w:jc w:val="center"/>
        <w:rPr>
          <w:rFonts w:ascii="宋体" w:cs="宋体"/>
          <w:b/>
          <w:sz w:val="28"/>
          <w:szCs w:val="28"/>
        </w:rPr>
      </w:pPr>
      <w:r>
        <w:rPr>
          <w:rFonts w:hint="eastAsia" w:ascii="宋体" w:cs="宋体"/>
          <w:b/>
          <w:sz w:val="28"/>
          <w:szCs w:val="28"/>
        </w:rPr>
        <w:t>供应商符合资格条件的声明函</w:t>
      </w:r>
    </w:p>
    <w:p w14:paraId="571637AE">
      <w:pPr>
        <w:spacing w:line="480" w:lineRule="auto"/>
        <w:rPr>
          <w:rFonts w:ascii="宋体" w:cs="宋体"/>
          <w:b/>
          <w:bCs/>
          <w:sz w:val="44"/>
          <w:szCs w:val="44"/>
        </w:rPr>
      </w:pPr>
    </w:p>
    <w:p w14:paraId="2477FD51">
      <w:pPr>
        <w:spacing w:line="480" w:lineRule="auto"/>
        <w:ind w:firstLine="480" w:firstLineChars="200"/>
        <w:rPr>
          <w:rFonts w:ascii="宋体" w:cs="仿宋_GB2312"/>
          <w:b/>
          <w:bCs/>
          <w:sz w:val="24"/>
        </w:rPr>
      </w:pPr>
      <w:r>
        <w:rPr>
          <w:rFonts w:hint="eastAsia" w:ascii="宋体" w:cs="仿宋_GB2312"/>
          <w:bCs/>
          <w:sz w:val="24"/>
        </w:rPr>
        <w:t>我单位参加</w:t>
      </w:r>
      <w:r>
        <w:rPr>
          <w:rFonts w:hint="eastAsia" w:ascii="宋体" w:cs="仿宋_GB2312"/>
          <w:bCs/>
          <w:sz w:val="24"/>
          <w:szCs w:val="21"/>
        </w:rPr>
        <w:t>（项目名称）投标活动。针对采购文件规定做出如下声明：</w:t>
      </w:r>
    </w:p>
    <w:p w14:paraId="04F7CE82">
      <w:pPr>
        <w:spacing w:line="480" w:lineRule="auto"/>
        <w:ind w:firstLine="480" w:firstLineChars="200"/>
        <w:rPr>
          <w:rFonts w:ascii="宋体" w:cs="仿宋_GB2312"/>
          <w:sz w:val="24"/>
        </w:rPr>
      </w:pPr>
      <w:r>
        <w:rPr>
          <w:rFonts w:hint="eastAsia" w:ascii="宋体" w:cs="仿宋_GB2312"/>
          <w:bCs/>
          <w:sz w:val="24"/>
          <w:szCs w:val="21"/>
        </w:rPr>
        <w:t>1.我单位具有独立承担民事责任的能力；</w:t>
      </w:r>
    </w:p>
    <w:p w14:paraId="4C731E3A">
      <w:pPr>
        <w:spacing w:line="480" w:lineRule="auto"/>
        <w:ind w:firstLine="480" w:firstLineChars="200"/>
        <w:rPr>
          <w:rFonts w:ascii="宋体" w:cs="仿宋_GB2312"/>
          <w:sz w:val="24"/>
        </w:rPr>
      </w:pPr>
      <w:r>
        <w:rPr>
          <w:rFonts w:hint="eastAsia" w:ascii="宋体" w:cs="仿宋_GB2312"/>
          <w:sz w:val="24"/>
        </w:rPr>
        <w:t>2.我单位具有良好的商业信誉和健全的财务会计制度；</w:t>
      </w:r>
    </w:p>
    <w:p w14:paraId="75B0A8DF">
      <w:pPr>
        <w:spacing w:line="480" w:lineRule="auto"/>
        <w:ind w:firstLine="480" w:firstLineChars="200"/>
        <w:rPr>
          <w:rFonts w:ascii="宋体" w:cs="仿宋_GB2312"/>
          <w:sz w:val="24"/>
        </w:rPr>
      </w:pPr>
      <w:r>
        <w:rPr>
          <w:rFonts w:hint="eastAsia" w:ascii="宋体" w:cs="仿宋_GB2312"/>
          <w:sz w:val="24"/>
        </w:rPr>
        <w:t>3.我单位具有履行合同所必需的设备和专业技术能力；</w:t>
      </w:r>
    </w:p>
    <w:p w14:paraId="3637AD04">
      <w:pPr>
        <w:spacing w:line="480" w:lineRule="auto"/>
        <w:ind w:firstLine="480" w:firstLineChars="200"/>
        <w:rPr>
          <w:rFonts w:ascii="宋体" w:cs="仿宋_GB2312"/>
          <w:sz w:val="24"/>
        </w:rPr>
      </w:pPr>
      <w:r>
        <w:rPr>
          <w:rFonts w:hint="eastAsia" w:ascii="宋体" w:cs="仿宋_GB2312"/>
          <w:sz w:val="24"/>
        </w:rPr>
        <w:t>4.我单位有依法缴纳税收和社会保障资金的良好记录；</w:t>
      </w:r>
    </w:p>
    <w:p w14:paraId="6FC5057C">
      <w:pPr>
        <w:spacing w:line="480" w:lineRule="auto"/>
        <w:ind w:firstLine="480" w:firstLineChars="200"/>
        <w:rPr>
          <w:rFonts w:ascii="宋体" w:cs="仿宋_GB2312"/>
          <w:sz w:val="24"/>
        </w:rPr>
      </w:pPr>
      <w:r>
        <w:rPr>
          <w:rFonts w:hint="eastAsia" w:ascii="宋体" w:cs="仿宋_GB2312"/>
          <w:sz w:val="24"/>
        </w:rPr>
        <w:t>5.我单位满足法律、行政法规规定的其他条件。</w:t>
      </w:r>
    </w:p>
    <w:p w14:paraId="5270788E">
      <w:pPr>
        <w:spacing w:line="480" w:lineRule="auto"/>
        <w:ind w:firstLine="480" w:firstLineChars="200"/>
        <w:rPr>
          <w:rFonts w:ascii="宋体" w:cs="仿宋_GB2312"/>
          <w:sz w:val="24"/>
        </w:rPr>
      </w:pPr>
    </w:p>
    <w:p w14:paraId="7746550C">
      <w:pPr>
        <w:spacing w:line="480" w:lineRule="auto"/>
        <w:ind w:firstLine="480" w:firstLineChars="200"/>
        <w:rPr>
          <w:rFonts w:ascii="宋体" w:cs="仿宋_GB2312"/>
          <w:sz w:val="24"/>
        </w:rPr>
      </w:pPr>
    </w:p>
    <w:p w14:paraId="3CF09C69">
      <w:pPr>
        <w:spacing w:line="480" w:lineRule="auto"/>
        <w:ind w:firstLine="480" w:firstLineChars="200"/>
        <w:rPr>
          <w:rFonts w:ascii="宋体" w:cs="仿宋_GB2312"/>
          <w:bCs/>
          <w:sz w:val="24"/>
          <w:szCs w:val="21"/>
        </w:rPr>
      </w:pPr>
    </w:p>
    <w:p w14:paraId="1836FCE7">
      <w:pPr>
        <w:spacing w:line="360" w:lineRule="auto"/>
        <w:ind w:firstLine="480" w:firstLineChars="200"/>
        <w:rPr>
          <w:rFonts w:ascii="宋体" w:cs="仿宋_GB2312"/>
          <w:bCs/>
          <w:sz w:val="24"/>
          <w:szCs w:val="21"/>
        </w:rPr>
      </w:pPr>
    </w:p>
    <w:p w14:paraId="0DCD22EB">
      <w:pPr>
        <w:spacing w:line="360" w:lineRule="auto"/>
        <w:ind w:firstLine="480" w:firstLineChars="200"/>
        <w:rPr>
          <w:rFonts w:ascii="宋体" w:cs="仿宋_GB2312"/>
          <w:bCs/>
          <w:sz w:val="24"/>
          <w:szCs w:val="21"/>
        </w:rPr>
      </w:pPr>
    </w:p>
    <w:p w14:paraId="0686EBCA">
      <w:pPr>
        <w:spacing w:line="360" w:lineRule="auto"/>
        <w:ind w:firstLine="480" w:firstLineChars="200"/>
        <w:jc w:val="center"/>
        <w:rPr>
          <w:rFonts w:ascii="宋体" w:cs="仿宋_GB2312"/>
          <w:bCs/>
          <w:sz w:val="24"/>
          <w:szCs w:val="21"/>
        </w:rPr>
      </w:pPr>
      <w:r>
        <w:rPr>
          <w:rFonts w:hint="eastAsia" w:ascii="宋体" w:cs="仿宋_GB2312"/>
          <w:bCs/>
          <w:sz w:val="24"/>
          <w:szCs w:val="21"/>
        </w:rPr>
        <w:t xml:space="preserve">                                             声明人名称（公章）：</w:t>
      </w:r>
    </w:p>
    <w:p w14:paraId="6A17207D">
      <w:pPr>
        <w:spacing w:line="360" w:lineRule="auto"/>
        <w:ind w:firstLine="480" w:firstLineChars="200"/>
        <w:jc w:val="right"/>
        <w:rPr>
          <w:rFonts w:ascii="宋体" w:cs="仿宋_GB2312"/>
          <w:bCs/>
          <w:sz w:val="24"/>
          <w:szCs w:val="21"/>
        </w:rPr>
      </w:pPr>
    </w:p>
    <w:p w14:paraId="4D0BE66B">
      <w:pPr>
        <w:spacing w:line="360" w:lineRule="auto"/>
        <w:ind w:firstLine="480" w:firstLineChars="200"/>
        <w:jc w:val="right"/>
        <w:rPr>
          <w:rFonts w:ascii="宋体" w:cs="仿宋_GB2312"/>
          <w:bCs/>
          <w:sz w:val="24"/>
          <w:szCs w:val="21"/>
        </w:rPr>
      </w:pPr>
      <w:r>
        <w:rPr>
          <w:rFonts w:hint="eastAsia" w:ascii="宋体" w:cs="仿宋_GB2312"/>
          <w:bCs/>
          <w:sz w:val="24"/>
          <w:szCs w:val="21"/>
        </w:rPr>
        <w:t xml:space="preserve">                                 日期：  年  月  日</w:t>
      </w:r>
    </w:p>
    <w:p w14:paraId="2F98F040">
      <w:pPr>
        <w:spacing w:line="360" w:lineRule="auto"/>
        <w:jc w:val="center"/>
        <w:outlineLvl w:val="2"/>
        <w:rPr>
          <w:rFonts w:ascii="宋体" w:hAnsi="宋体" w:cs="宋体"/>
          <w:b/>
          <w:bCs/>
          <w:sz w:val="28"/>
          <w:szCs w:val="28"/>
        </w:rPr>
      </w:pPr>
      <w:r>
        <w:rPr>
          <w:rFonts w:ascii="宋体" w:hAnsi="宋体" w:cs="宋体"/>
          <w:b/>
          <w:bCs/>
          <w:sz w:val="28"/>
          <w:szCs w:val="28"/>
        </w:rPr>
        <w:br w:type="page"/>
      </w:r>
    </w:p>
    <w:p w14:paraId="2E7D570A">
      <w:pPr>
        <w:spacing w:line="360" w:lineRule="auto"/>
        <w:jc w:val="left"/>
        <w:outlineLvl w:val="2"/>
        <w:rPr>
          <w:rFonts w:ascii="宋体" w:hAnsi="宋体" w:cs="宋体"/>
          <w:b/>
          <w:bCs/>
          <w:sz w:val="28"/>
          <w:szCs w:val="28"/>
        </w:rPr>
      </w:pPr>
      <w:r>
        <w:rPr>
          <w:rFonts w:hint="eastAsia" w:ascii="宋体" w:hAnsi="宋体" w:cs="宋体"/>
          <w:b/>
          <w:bCs/>
          <w:sz w:val="28"/>
          <w:szCs w:val="28"/>
        </w:rPr>
        <w:t>附件2</w:t>
      </w:r>
    </w:p>
    <w:p w14:paraId="621777C3">
      <w:pPr>
        <w:spacing w:line="360" w:lineRule="auto"/>
        <w:jc w:val="center"/>
        <w:outlineLvl w:val="2"/>
        <w:rPr>
          <w:rFonts w:ascii="宋体" w:cs="宋体"/>
          <w:b/>
          <w:sz w:val="28"/>
          <w:szCs w:val="28"/>
        </w:rPr>
      </w:pPr>
      <w:r>
        <w:rPr>
          <w:rFonts w:hint="eastAsia" w:ascii="宋体" w:cs="宋体"/>
          <w:b/>
          <w:sz w:val="28"/>
          <w:szCs w:val="28"/>
        </w:rPr>
        <w:t>法定代表人身份证明</w:t>
      </w:r>
    </w:p>
    <w:p w14:paraId="355522E0">
      <w:pPr>
        <w:spacing w:line="480" w:lineRule="exact"/>
        <w:ind w:firstLine="480" w:firstLineChars="200"/>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7E4BFBA">
      <w:pPr>
        <w:spacing w:line="48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23BD375">
      <w:pPr>
        <w:spacing w:line="480" w:lineRule="exact"/>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性   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  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职  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联系方式：</w:t>
      </w:r>
    </w:p>
    <w:p w14:paraId="3276AF92">
      <w:pPr>
        <w:spacing w:line="48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的法定代表人。为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项目，签署上述招标申请文件、进行合同谈判、签署合同和处理与之有关的一切事务。</w:t>
      </w:r>
    </w:p>
    <w:p w14:paraId="140386AB">
      <w:pPr>
        <w:spacing w:line="480" w:lineRule="exact"/>
        <w:ind w:firstLine="480" w:firstLineChars="200"/>
        <w:rPr>
          <w:rFonts w:ascii="宋体" w:hAnsi="宋体" w:cs="宋体"/>
          <w:sz w:val="24"/>
        </w:rPr>
      </w:pPr>
    </w:p>
    <w:p w14:paraId="0230D948">
      <w:pPr>
        <w:spacing w:line="480" w:lineRule="exact"/>
        <w:ind w:firstLine="480" w:firstLineChars="200"/>
        <w:rPr>
          <w:rFonts w:ascii="宋体" w:hAnsi="宋体" w:cs="宋体"/>
          <w:sz w:val="24"/>
        </w:rPr>
      </w:pPr>
      <w:r>
        <w:rPr>
          <w:rFonts w:hint="eastAsia" w:ascii="宋体" w:hAnsi="宋体" w:cs="宋体"/>
          <w:sz w:val="24"/>
        </w:rPr>
        <w:t>特此证明</w:t>
      </w:r>
    </w:p>
    <w:p w14:paraId="29C12FB7">
      <w:pPr>
        <w:spacing w:line="480" w:lineRule="exact"/>
        <w:ind w:firstLine="480" w:firstLineChars="200"/>
        <w:rPr>
          <w:rFonts w:ascii="宋体" w:hAnsi="宋体" w:cs="宋体"/>
          <w:sz w:val="24"/>
        </w:rPr>
      </w:pPr>
    </w:p>
    <w:p w14:paraId="3934DBF6">
      <w:pPr>
        <w:spacing w:line="480" w:lineRule="exact"/>
        <w:ind w:firstLine="480" w:firstLineChars="200"/>
        <w:rPr>
          <w:rFonts w:ascii="宋体" w:hAnsi="宋体" w:cs="宋体"/>
          <w:sz w:val="24"/>
        </w:rPr>
      </w:pPr>
    </w:p>
    <w:p w14:paraId="67702D9B">
      <w:pPr>
        <w:spacing w:line="480" w:lineRule="exact"/>
        <w:ind w:firstLine="480" w:firstLineChars="200"/>
        <w:rPr>
          <w:rFonts w:ascii="宋体" w:hAnsi="宋体" w:cs="宋体"/>
          <w:sz w:val="24"/>
        </w:rPr>
      </w:pPr>
    </w:p>
    <w:p w14:paraId="7BB6C531">
      <w:pPr>
        <w:spacing w:line="480" w:lineRule="exact"/>
        <w:ind w:firstLine="480" w:firstLineChars="200"/>
        <w:rPr>
          <w:rFonts w:ascii="宋体" w:hAnsi="宋体" w:cs="宋体"/>
          <w:sz w:val="24"/>
        </w:rPr>
      </w:pPr>
      <w:r>
        <w:rPr>
          <w:rFonts w:hint="eastAsia" w:ascii="宋体" w:hAnsi="宋体" w:cs="宋体"/>
          <w:sz w:val="24"/>
        </w:rPr>
        <w:t>比选人：</w:t>
      </w:r>
      <w:r>
        <w:rPr>
          <w:rFonts w:hint="eastAsia" w:ascii="宋体" w:hAnsi="宋体" w:cs="宋体"/>
          <w:sz w:val="24"/>
          <w:u w:val="single"/>
        </w:rPr>
        <w:t>（盖章）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D00F896">
      <w:pPr>
        <w:spacing w:line="480" w:lineRule="exact"/>
        <w:ind w:firstLine="480" w:firstLineChars="200"/>
        <w:rPr>
          <w:rFonts w:ascii="宋体" w:hAnsi="宋体" w:cs="宋体"/>
          <w:sz w:val="24"/>
        </w:rPr>
      </w:pPr>
    </w:p>
    <w:p w14:paraId="2E8745F3">
      <w:pPr>
        <w:spacing w:line="480" w:lineRule="exac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日</w:t>
      </w:r>
    </w:p>
    <w:tbl>
      <w:tblPr>
        <w:tblStyle w:val="2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0390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677B7F9F">
            <w:pPr>
              <w:snapToGrid w:val="0"/>
              <w:spacing w:line="420" w:lineRule="exact"/>
              <w:ind w:left="193" w:firstLine="484" w:firstLineChars="202"/>
              <w:jc w:val="left"/>
              <w:rPr>
                <w:rFonts w:ascii="宋体" w:hAnsi="宋体" w:cs="宋体"/>
                <w:sz w:val="24"/>
              </w:rPr>
            </w:pPr>
          </w:p>
          <w:p w14:paraId="7FC29550">
            <w:pPr>
              <w:snapToGrid w:val="0"/>
              <w:spacing w:line="420" w:lineRule="exact"/>
              <w:jc w:val="center"/>
              <w:rPr>
                <w:rFonts w:ascii="宋体" w:hAnsi="宋体" w:cs="宋体"/>
                <w:b/>
                <w:bCs/>
                <w:sz w:val="24"/>
              </w:rPr>
            </w:pPr>
            <w:r>
              <w:rPr>
                <w:rFonts w:hint="eastAsia" w:ascii="宋体" w:hAnsi="宋体" w:cs="宋体"/>
                <w:b/>
                <w:bCs/>
                <w:sz w:val="24"/>
              </w:rPr>
              <w:t>法定代表人身份证（正、反面）复印件并加盖公章</w:t>
            </w:r>
            <w:r>
              <w:rPr>
                <w:rFonts w:hint="eastAsia" w:ascii="宋体" w:hAnsi="宋体" w:cs="宋体"/>
                <w:b/>
                <w:bCs/>
                <w:sz w:val="24"/>
                <w:u w:val="single"/>
              </w:rPr>
              <w:t>（黏贴此处）</w:t>
            </w:r>
          </w:p>
          <w:p w14:paraId="633A5523">
            <w:pPr>
              <w:snapToGrid w:val="0"/>
              <w:spacing w:line="420" w:lineRule="exact"/>
              <w:ind w:left="193"/>
              <w:jc w:val="left"/>
              <w:rPr>
                <w:rFonts w:ascii="宋体" w:hAnsi="宋体" w:cs="宋体"/>
                <w:b/>
                <w:bCs/>
                <w:sz w:val="24"/>
              </w:rPr>
            </w:pPr>
          </w:p>
          <w:p w14:paraId="1E44F520">
            <w:pPr>
              <w:snapToGrid w:val="0"/>
              <w:spacing w:line="420" w:lineRule="exact"/>
              <w:ind w:left="193"/>
              <w:jc w:val="left"/>
              <w:rPr>
                <w:rFonts w:ascii="宋体" w:hAnsi="宋体" w:cs="宋体"/>
                <w:b/>
                <w:bCs/>
                <w:sz w:val="24"/>
              </w:rPr>
            </w:pPr>
          </w:p>
          <w:p w14:paraId="4990C820">
            <w:pPr>
              <w:snapToGrid w:val="0"/>
              <w:spacing w:line="420" w:lineRule="exact"/>
              <w:ind w:left="193"/>
              <w:jc w:val="left"/>
              <w:rPr>
                <w:rFonts w:ascii="宋体" w:hAnsi="宋体" w:cs="宋体"/>
                <w:b/>
                <w:bCs/>
                <w:sz w:val="24"/>
              </w:rPr>
            </w:pPr>
          </w:p>
          <w:p w14:paraId="7527BD1E">
            <w:pPr>
              <w:snapToGrid w:val="0"/>
              <w:spacing w:line="420" w:lineRule="exact"/>
              <w:ind w:left="193" w:firstLine="484" w:firstLineChars="202"/>
              <w:jc w:val="left"/>
              <w:rPr>
                <w:rFonts w:ascii="宋体" w:hAnsi="宋体" w:cs="宋体"/>
                <w:sz w:val="24"/>
              </w:rPr>
            </w:pPr>
          </w:p>
        </w:tc>
      </w:tr>
    </w:tbl>
    <w:p w14:paraId="7535BDD4">
      <w:pPr>
        <w:snapToGrid w:val="0"/>
        <w:spacing w:line="360" w:lineRule="auto"/>
        <w:ind w:firstLine="480" w:firstLineChars="200"/>
        <w:rPr>
          <w:rFonts w:ascii="宋体" w:hAnsi="宋体" w:cs="宋体"/>
          <w:sz w:val="24"/>
        </w:rPr>
      </w:pPr>
    </w:p>
    <w:p w14:paraId="53313BDB">
      <w:pPr>
        <w:snapToGrid w:val="0"/>
        <w:spacing w:line="360" w:lineRule="auto"/>
        <w:ind w:firstLine="480" w:firstLineChars="200"/>
        <w:rPr>
          <w:rFonts w:ascii="宋体" w:hAnsi="宋体" w:cs="宋体"/>
          <w:sz w:val="24"/>
        </w:rPr>
      </w:pPr>
    </w:p>
    <w:p w14:paraId="732140A2">
      <w:pPr>
        <w:rPr>
          <w:rFonts w:ascii="宋体" w:hAnsi="宋体" w:cs="宋体"/>
          <w:b/>
          <w:bCs/>
          <w:sz w:val="28"/>
          <w:szCs w:val="28"/>
        </w:rPr>
      </w:pPr>
      <w:r>
        <w:rPr>
          <w:rFonts w:hint="eastAsia" w:ascii="宋体" w:hAnsi="宋体" w:cs="宋体"/>
          <w:b/>
          <w:sz w:val="24"/>
        </w:rPr>
        <w:br w:type="page"/>
      </w:r>
    </w:p>
    <w:p w14:paraId="6F3190BD">
      <w:pPr>
        <w:rPr>
          <w:rFonts w:ascii="宋体" w:hAnsi="宋体" w:cs="宋体"/>
          <w:b/>
          <w:bCs/>
          <w:sz w:val="28"/>
          <w:szCs w:val="28"/>
        </w:rPr>
      </w:pPr>
      <w:r>
        <w:rPr>
          <w:rFonts w:hint="eastAsia" w:ascii="宋体" w:hAnsi="宋体" w:cs="宋体"/>
          <w:b/>
          <w:bCs/>
          <w:sz w:val="28"/>
          <w:szCs w:val="28"/>
        </w:rPr>
        <w:t>附件3</w:t>
      </w:r>
    </w:p>
    <w:p w14:paraId="1EFC458C">
      <w:pPr>
        <w:spacing w:line="360" w:lineRule="auto"/>
        <w:jc w:val="center"/>
        <w:outlineLvl w:val="2"/>
        <w:rPr>
          <w:rFonts w:ascii="宋体" w:cs="宋体"/>
          <w:b/>
          <w:sz w:val="28"/>
          <w:szCs w:val="28"/>
        </w:rPr>
      </w:pPr>
      <w:r>
        <w:rPr>
          <w:rFonts w:hint="eastAsia" w:ascii="宋体" w:cs="宋体"/>
          <w:b/>
          <w:sz w:val="28"/>
          <w:szCs w:val="28"/>
        </w:rPr>
        <w:t>授权委托书（如需）</w:t>
      </w:r>
    </w:p>
    <w:p w14:paraId="6B313646">
      <w:pPr>
        <w:snapToGrid w:val="0"/>
        <w:spacing w:line="360" w:lineRule="auto"/>
        <w:rPr>
          <w:rFonts w:ascii="宋体" w:hAnsi="宋体" w:cs="宋体"/>
          <w:bCs/>
          <w:sz w:val="24"/>
        </w:rPr>
      </w:pPr>
    </w:p>
    <w:p w14:paraId="05C2157B">
      <w:pPr>
        <w:snapToGrid w:val="0"/>
        <w:spacing w:line="360" w:lineRule="auto"/>
        <w:rPr>
          <w:rFonts w:ascii="宋体" w:hAnsi="宋体" w:cs="宋体"/>
          <w:bCs/>
          <w:sz w:val="24"/>
        </w:rPr>
      </w:pPr>
      <w:r>
        <w:rPr>
          <w:rFonts w:hint="eastAsia" w:ascii="宋体" w:hAnsi="宋体" w:cs="宋体"/>
          <w:bCs/>
          <w:sz w:val="24"/>
        </w:rPr>
        <w:t>南通市市政设施管理处 ：</w:t>
      </w:r>
    </w:p>
    <w:p w14:paraId="02C08A0A">
      <w:pPr>
        <w:spacing w:line="560" w:lineRule="exact"/>
        <w:ind w:firstLine="480" w:firstLineChars="200"/>
        <w:rPr>
          <w:rFonts w:ascii="宋体" w:hAnsi="宋体" w:cs="宋体"/>
          <w:sz w:val="24"/>
        </w:rPr>
      </w:pPr>
      <w:r>
        <w:rPr>
          <w:rFonts w:hint="eastAsia" w:ascii="宋体" w:hAnsi="宋体" w:cs="宋体"/>
          <w:sz w:val="24"/>
        </w:rPr>
        <w:t>本授权书宣告，在下面签字的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以法定代表人身份代表本单位授权：</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为本单位的合法授权代表，授权其在 </w:t>
      </w:r>
      <w:r>
        <w:rPr>
          <w:rFonts w:hint="eastAsia" w:ascii="宋体" w:hAnsi="宋体" w:cs="宋体"/>
          <w:sz w:val="24"/>
          <w:u w:val="single"/>
        </w:rPr>
        <w:t xml:space="preserve">    项目</w:t>
      </w:r>
      <w:r>
        <w:rPr>
          <w:rFonts w:hint="eastAsia" w:ascii="宋体" w:hAnsi="宋体" w:cs="宋体"/>
          <w:sz w:val="24"/>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7AA3CA9D">
      <w:pPr>
        <w:spacing w:line="560" w:lineRule="exact"/>
        <w:ind w:firstLine="480" w:firstLineChars="200"/>
        <w:rPr>
          <w:rFonts w:ascii="宋体" w:hAnsi="宋体" w:cs="宋体"/>
          <w:sz w:val="24"/>
        </w:rPr>
      </w:pPr>
      <w:r>
        <w:rPr>
          <w:rFonts w:hint="eastAsia" w:ascii="宋体" w:hAnsi="宋体" w:cs="宋体"/>
          <w:sz w:val="24"/>
        </w:rPr>
        <w:t>本委托书限期自年月日起至年月日止。</w:t>
      </w:r>
    </w:p>
    <w:p w14:paraId="6309266C">
      <w:pPr>
        <w:spacing w:line="560" w:lineRule="exact"/>
        <w:ind w:firstLine="480" w:firstLineChars="200"/>
        <w:rPr>
          <w:rFonts w:ascii="宋体" w:hAnsi="宋体" w:cs="宋体"/>
          <w:sz w:val="24"/>
        </w:rPr>
      </w:pPr>
      <w:r>
        <w:rPr>
          <w:rFonts w:hint="eastAsia" w:ascii="宋体" w:hAnsi="宋体" w:cs="宋体"/>
          <w:sz w:val="24"/>
        </w:rPr>
        <w:t>授权代表无权转让委托权，特此委托。</w:t>
      </w:r>
    </w:p>
    <w:p w14:paraId="7D5B891B">
      <w:pPr>
        <w:spacing w:line="560" w:lineRule="exact"/>
        <w:ind w:firstLine="480" w:firstLineChars="200"/>
        <w:rPr>
          <w:rFonts w:ascii="宋体" w:hAnsi="宋体" w:cs="宋体"/>
          <w:sz w:val="24"/>
        </w:rPr>
      </w:pPr>
      <w:r>
        <w:rPr>
          <w:rFonts w:hint="eastAsia" w:ascii="宋体" w:hAnsi="宋体" w:cs="宋体"/>
          <w:sz w:val="24"/>
        </w:rPr>
        <w:t>比选人：(全称、盖章)</w:t>
      </w:r>
    </w:p>
    <w:p w14:paraId="6C06F923">
      <w:pPr>
        <w:spacing w:line="560" w:lineRule="exact"/>
        <w:ind w:firstLine="480" w:firstLineChars="200"/>
        <w:rPr>
          <w:rFonts w:ascii="宋体" w:hAnsi="宋体" w:cs="宋体"/>
          <w:sz w:val="24"/>
          <w:u w:val="single"/>
        </w:rPr>
      </w:pPr>
      <w:r>
        <w:rPr>
          <w:rFonts w:hint="eastAsia" w:ascii="宋体" w:hAnsi="宋体" w:cs="宋体"/>
          <w:sz w:val="24"/>
        </w:rPr>
        <w:t>法定代表人姓名：</w:t>
      </w:r>
    </w:p>
    <w:p w14:paraId="4FF14683">
      <w:pPr>
        <w:spacing w:line="560" w:lineRule="exact"/>
        <w:ind w:firstLine="480" w:firstLineChars="200"/>
        <w:rPr>
          <w:rFonts w:ascii="宋体" w:hAnsi="宋体" w:cs="宋体"/>
          <w:sz w:val="24"/>
          <w:u w:val="single"/>
        </w:rPr>
      </w:pPr>
      <w:r>
        <w:rPr>
          <w:rFonts w:hint="eastAsia" w:ascii="宋体" w:hAnsi="宋体" w:cs="宋体"/>
          <w:sz w:val="24"/>
        </w:rPr>
        <w:t>授权委托人：</w:t>
      </w:r>
    </w:p>
    <w:p w14:paraId="3AA7B54D">
      <w:pPr>
        <w:spacing w:line="560" w:lineRule="exact"/>
        <w:ind w:firstLine="480" w:firstLineChars="200"/>
        <w:rPr>
          <w:rFonts w:ascii="宋体" w:hAnsi="宋体" w:cs="宋体"/>
          <w:sz w:val="24"/>
          <w:u w:val="single"/>
        </w:rPr>
      </w:pPr>
      <w:r>
        <w:rPr>
          <w:rFonts w:hint="eastAsia" w:ascii="宋体" w:hAnsi="宋体" w:cs="宋体"/>
          <w:sz w:val="24"/>
        </w:rPr>
        <w:t>联系方式：</w:t>
      </w:r>
    </w:p>
    <w:p w14:paraId="54BFB1CB">
      <w:pPr>
        <w:spacing w:line="560" w:lineRule="exact"/>
        <w:ind w:firstLine="480" w:firstLineChars="200"/>
        <w:rPr>
          <w:rFonts w:ascii="宋体" w:hAnsi="宋体" w:cs="宋体"/>
          <w:sz w:val="24"/>
          <w:u w:val="single"/>
        </w:rPr>
      </w:pPr>
      <w:r>
        <w:rPr>
          <w:rFonts w:hint="eastAsia" w:ascii="宋体" w:hAnsi="宋体" w:cs="宋体"/>
          <w:sz w:val="24"/>
        </w:rPr>
        <w:t>日    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7FB3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7847" w:type="dxa"/>
          </w:tcPr>
          <w:p w14:paraId="0D1226D4">
            <w:pPr>
              <w:snapToGrid w:val="0"/>
              <w:spacing w:line="420" w:lineRule="exact"/>
              <w:ind w:firstLine="484" w:firstLineChars="202"/>
              <w:jc w:val="left"/>
              <w:rPr>
                <w:rFonts w:ascii="宋体" w:hAnsi="宋体" w:cs="宋体"/>
                <w:sz w:val="24"/>
              </w:rPr>
            </w:pPr>
          </w:p>
          <w:p w14:paraId="4C18E1D8">
            <w:pPr>
              <w:snapToGrid w:val="0"/>
              <w:spacing w:line="420" w:lineRule="exact"/>
              <w:jc w:val="center"/>
              <w:rPr>
                <w:rFonts w:ascii="宋体" w:hAnsi="宋体" w:cs="宋体"/>
                <w:b/>
                <w:bCs/>
                <w:sz w:val="24"/>
              </w:rPr>
            </w:pPr>
            <w:r>
              <w:rPr>
                <w:rFonts w:hint="eastAsia" w:ascii="宋体" w:hAnsi="宋体" w:cs="宋体"/>
                <w:b/>
                <w:bCs/>
                <w:sz w:val="24"/>
              </w:rPr>
              <w:t>授权委托人身份证（正、反面）复印件并加盖公章</w:t>
            </w:r>
            <w:r>
              <w:rPr>
                <w:rFonts w:hint="eastAsia" w:ascii="宋体" w:hAnsi="宋体" w:cs="宋体"/>
                <w:b/>
                <w:bCs/>
                <w:sz w:val="24"/>
                <w:u w:val="single"/>
              </w:rPr>
              <w:t>（黏贴此处，原件备查）</w:t>
            </w:r>
          </w:p>
          <w:p w14:paraId="0EF6A1B4">
            <w:pPr>
              <w:snapToGrid w:val="0"/>
              <w:spacing w:line="420" w:lineRule="exact"/>
              <w:jc w:val="center"/>
              <w:rPr>
                <w:rFonts w:ascii="宋体" w:hAnsi="宋体" w:cs="宋体"/>
                <w:b/>
                <w:bCs/>
                <w:sz w:val="24"/>
              </w:rPr>
            </w:pPr>
          </w:p>
          <w:p w14:paraId="20CDA6DB">
            <w:pPr>
              <w:snapToGrid w:val="0"/>
              <w:spacing w:line="420" w:lineRule="exact"/>
              <w:jc w:val="center"/>
              <w:rPr>
                <w:rFonts w:ascii="宋体" w:hAnsi="宋体" w:cs="宋体"/>
                <w:b/>
                <w:bCs/>
                <w:sz w:val="24"/>
              </w:rPr>
            </w:pPr>
          </w:p>
          <w:p w14:paraId="7A74C56A">
            <w:pPr>
              <w:snapToGrid w:val="0"/>
              <w:spacing w:line="420" w:lineRule="exact"/>
              <w:jc w:val="center"/>
              <w:rPr>
                <w:rFonts w:ascii="宋体" w:hAnsi="宋体" w:cs="宋体"/>
                <w:sz w:val="24"/>
              </w:rPr>
            </w:pPr>
          </w:p>
          <w:p w14:paraId="4F753F09">
            <w:pPr>
              <w:snapToGrid w:val="0"/>
              <w:spacing w:line="420" w:lineRule="exact"/>
              <w:jc w:val="center"/>
              <w:rPr>
                <w:rFonts w:ascii="宋体" w:hAnsi="宋体" w:cs="宋体"/>
                <w:sz w:val="24"/>
              </w:rPr>
            </w:pPr>
          </w:p>
        </w:tc>
      </w:tr>
    </w:tbl>
    <w:p w14:paraId="71D18AF8">
      <w:pPr>
        <w:spacing w:line="600" w:lineRule="exact"/>
        <w:rPr>
          <w:rFonts w:ascii="宋体" w:hAnsi="宋体" w:cs="宋体"/>
          <w:b/>
          <w:sz w:val="24"/>
        </w:rPr>
      </w:pPr>
    </w:p>
    <w:p w14:paraId="0CF4F0CA">
      <w:pPr>
        <w:widowControl/>
        <w:adjustRightInd w:val="0"/>
        <w:snapToGrid w:val="0"/>
        <w:spacing w:after="200" w:line="480" w:lineRule="exact"/>
        <w:ind w:firstLine="480" w:firstLineChars="200"/>
        <w:rPr>
          <w:rFonts w:ascii="宋体" w:hAnsi="宋体" w:cs="仿宋"/>
          <w:color w:val="auto"/>
          <w:kern w:val="0"/>
          <w:sz w:val="24"/>
          <w:highlight w:val="none"/>
        </w:rPr>
      </w:pPr>
      <w:r>
        <w:rPr>
          <w:rFonts w:hint="eastAsia" w:ascii="宋体" w:hAnsi="宋体" w:cs="仿宋"/>
          <w:kern w:val="0"/>
          <w:sz w:val="24"/>
        </w:rPr>
        <w:t>附：被委托授权人应为投标响应供应商在职人员，递交授权委托书时须提供被委托授权人在该单</w:t>
      </w:r>
      <w:r>
        <w:rPr>
          <w:rFonts w:hint="eastAsia" w:ascii="宋体" w:hAnsi="宋体" w:cs="仿宋"/>
          <w:color w:val="auto"/>
          <w:kern w:val="0"/>
          <w:sz w:val="24"/>
          <w:highlight w:val="none"/>
        </w:rPr>
        <w:t>位自</w:t>
      </w:r>
      <w:r>
        <w:rPr>
          <w:rFonts w:hint="eastAsia" w:ascii="宋体" w:hAnsi="宋体" w:cs="宋体"/>
          <w:color w:val="auto"/>
          <w:sz w:val="24"/>
          <w:highlight w:val="none"/>
        </w:rPr>
        <w:t>2025年5月-2025年7月任意一个月的社保证明复印件加盖公章</w:t>
      </w:r>
      <w:r>
        <w:rPr>
          <w:rFonts w:hint="eastAsia" w:ascii="宋体" w:hAnsi="宋体" w:cs="仿宋"/>
          <w:color w:val="auto"/>
          <w:kern w:val="0"/>
          <w:sz w:val="24"/>
          <w:highlight w:val="none"/>
        </w:rPr>
        <w:t>，否则作无效处理。</w:t>
      </w:r>
    </w:p>
    <w:p w14:paraId="23A15E48">
      <w:pPr>
        <w:keepNext/>
        <w:keepLines/>
        <w:spacing w:before="340" w:after="330" w:line="578" w:lineRule="auto"/>
        <w:outlineLvl w:val="0"/>
        <w:rPr>
          <w:rFonts w:ascii="宋体" w:hAnsi="宋体" w:cs="宋体"/>
          <w:b/>
          <w:bCs/>
          <w:color w:val="auto"/>
          <w:kern w:val="44"/>
          <w:sz w:val="28"/>
          <w:szCs w:val="28"/>
          <w:highlight w:val="none"/>
        </w:rPr>
        <w:sectPr>
          <w:footerReference r:id="rId5" w:type="default"/>
          <w:pgSz w:w="11905" w:h="16838"/>
          <w:pgMar w:top="1361" w:right="1304" w:bottom="1361" w:left="1361" w:header="850" w:footer="850" w:gutter="0"/>
          <w:pgNumType w:start="1"/>
          <w:cols w:space="720" w:num="1"/>
          <w:docGrid w:linePitch="286" w:charSpace="0"/>
        </w:sectPr>
      </w:pPr>
    </w:p>
    <w:p w14:paraId="4AE6FF17">
      <w:pPr>
        <w:rPr>
          <w:rFonts w:ascii="宋体" w:hAnsi="宋体" w:cs="宋体"/>
          <w:b/>
          <w:bCs/>
          <w:sz w:val="28"/>
          <w:szCs w:val="28"/>
        </w:rPr>
      </w:pPr>
      <w:r>
        <w:rPr>
          <w:rFonts w:hint="eastAsia" w:ascii="宋体" w:hAnsi="宋体" w:cs="宋体"/>
          <w:b/>
          <w:bCs/>
          <w:sz w:val="28"/>
          <w:szCs w:val="28"/>
        </w:rPr>
        <w:t>附件4</w:t>
      </w:r>
    </w:p>
    <w:p w14:paraId="21F8FF9F">
      <w:pPr>
        <w:spacing w:line="360" w:lineRule="auto"/>
        <w:jc w:val="left"/>
        <w:rPr>
          <w:rFonts w:ascii="宋体" w:cs="仿宋_GB2312"/>
          <w:sz w:val="32"/>
          <w:szCs w:val="32"/>
        </w:rPr>
      </w:pPr>
    </w:p>
    <w:p w14:paraId="1F2A8F04">
      <w:pPr>
        <w:spacing w:line="360" w:lineRule="auto"/>
        <w:jc w:val="center"/>
        <w:outlineLvl w:val="2"/>
        <w:rPr>
          <w:rFonts w:ascii="宋体" w:cs="宋体"/>
          <w:b/>
          <w:sz w:val="28"/>
          <w:szCs w:val="28"/>
        </w:rPr>
      </w:pPr>
      <w:r>
        <w:rPr>
          <w:rFonts w:hint="eastAsia" w:ascii="宋体" w:cs="宋体"/>
          <w:b/>
          <w:sz w:val="28"/>
          <w:szCs w:val="28"/>
        </w:rPr>
        <w:t>无重大违法记录声明</w:t>
      </w:r>
    </w:p>
    <w:p w14:paraId="0E756E01">
      <w:pPr>
        <w:snapToGrid w:val="0"/>
        <w:spacing w:line="360" w:lineRule="auto"/>
        <w:rPr>
          <w:rFonts w:ascii="宋体" w:cs="宋体"/>
          <w:bCs/>
          <w:sz w:val="24"/>
        </w:rPr>
      </w:pPr>
      <w:r>
        <w:rPr>
          <w:rFonts w:hint="eastAsia" w:ascii="宋体" w:cs="宋体"/>
          <w:bCs/>
          <w:sz w:val="24"/>
        </w:rPr>
        <w:t>南通市市政设施管理处 ：</w:t>
      </w:r>
    </w:p>
    <w:p w14:paraId="6FB90B9E">
      <w:pPr>
        <w:snapToGrid w:val="0"/>
        <w:spacing w:line="360" w:lineRule="auto"/>
        <w:ind w:firstLine="480" w:firstLineChars="200"/>
        <w:rPr>
          <w:rFonts w:ascii="宋体" w:cs="宋体"/>
          <w:sz w:val="24"/>
        </w:rPr>
      </w:pPr>
      <w:r>
        <w:rPr>
          <w:rFonts w:hint="eastAsia" w:ascii="宋体" w:cs="宋体"/>
          <w:sz w:val="24"/>
        </w:rPr>
        <w:t>我公司郑重声明：参加本次采购活动前</w:t>
      </w:r>
      <w:r>
        <w:rPr>
          <w:rFonts w:hint="eastAsia" w:ascii="宋体" w:cs="宋体"/>
          <w:sz w:val="24"/>
          <w:u w:val="single"/>
        </w:rPr>
        <w:t xml:space="preserve"> 3 </w:t>
      </w:r>
      <w:r>
        <w:rPr>
          <w:rFonts w:hint="eastAsia" w:ascii="宋体" w:cs="宋体"/>
          <w:sz w:val="24"/>
        </w:rPr>
        <w:t>年内，我公司在经营活动中</w:t>
      </w:r>
      <w:r>
        <w:rPr>
          <w:rFonts w:hint="eastAsia" w:ascii="宋体" w:cs="宋体"/>
          <w:b/>
          <w:bCs/>
          <w:sz w:val="24"/>
          <w:u w:val="single"/>
        </w:rPr>
        <w:t>有/没有</w:t>
      </w:r>
      <w:r>
        <w:rPr>
          <w:rFonts w:hint="eastAsia" w:ascii="宋体" w:cs="宋体"/>
          <w:sz w:val="24"/>
        </w:rPr>
        <w:t>因违法经营受到刑事处罚或者责令停产停业、吊销许可证或者执照、较大数额罚款等行政处罚。</w:t>
      </w:r>
    </w:p>
    <w:p w14:paraId="44A1B5E0">
      <w:pPr>
        <w:snapToGrid w:val="0"/>
        <w:spacing w:line="360" w:lineRule="auto"/>
        <w:ind w:firstLine="480" w:firstLineChars="200"/>
        <w:rPr>
          <w:rFonts w:ascii="宋体" w:cs="宋体"/>
          <w:sz w:val="24"/>
        </w:rPr>
      </w:pPr>
      <w:r>
        <w:rPr>
          <w:rFonts w:hint="eastAsia" w:ascii="宋体" w:cs="宋体"/>
          <w:sz w:val="24"/>
        </w:rPr>
        <w:t>在投标截止时间节点，没有被“信用江苏”“信用中国”网站列入失信被执行人、重大税收违法案件当事人名单、采购严重违法失信行为记录名单。</w:t>
      </w:r>
    </w:p>
    <w:p w14:paraId="200CF1F0">
      <w:pPr>
        <w:snapToGrid w:val="0"/>
        <w:spacing w:line="360" w:lineRule="auto"/>
        <w:ind w:firstLine="200"/>
        <w:rPr>
          <w:rFonts w:ascii="宋体" w:cs="宋体"/>
          <w:sz w:val="24"/>
        </w:rPr>
      </w:pPr>
    </w:p>
    <w:p w14:paraId="55604FFA">
      <w:pPr>
        <w:snapToGrid w:val="0"/>
        <w:spacing w:line="480" w:lineRule="auto"/>
        <w:ind w:right="720" w:firstLine="480" w:firstLineChars="200"/>
        <w:contextualSpacing/>
        <w:jc w:val="right"/>
        <w:rPr>
          <w:rFonts w:ascii="宋体" w:cs="宋体"/>
          <w:sz w:val="24"/>
          <w:u w:val="single"/>
        </w:rPr>
      </w:pPr>
      <w:r>
        <w:rPr>
          <w:rFonts w:hint="eastAsia" w:ascii="宋体" w:cs="宋体"/>
          <w:sz w:val="24"/>
        </w:rPr>
        <w:t>法定代表人或授权委托人签字：</w:t>
      </w:r>
    </w:p>
    <w:p w14:paraId="1B305396">
      <w:pPr>
        <w:snapToGrid w:val="0"/>
        <w:spacing w:line="480" w:lineRule="auto"/>
        <w:ind w:right="720" w:firstLine="480" w:firstLineChars="200"/>
        <w:contextualSpacing/>
        <w:jc w:val="right"/>
        <w:rPr>
          <w:rFonts w:ascii="宋体" w:cs="宋体"/>
          <w:sz w:val="24"/>
        </w:rPr>
      </w:pPr>
      <w:r>
        <w:rPr>
          <w:rFonts w:hint="eastAsia" w:ascii="宋体" w:cs="宋体"/>
          <w:sz w:val="24"/>
        </w:rPr>
        <w:t>供应商名称（盖章）：</w:t>
      </w:r>
    </w:p>
    <w:p w14:paraId="1640037F">
      <w:pPr>
        <w:snapToGrid w:val="0"/>
        <w:spacing w:line="360" w:lineRule="auto"/>
        <w:ind w:firstLine="480" w:firstLineChars="200"/>
        <w:jc w:val="center"/>
        <w:rPr>
          <w:rFonts w:ascii="宋体" w:cs="宋体"/>
          <w:sz w:val="24"/>
        </w:rPr>
      </w:pPr>
      <w:r>
        <w:rPr>
          <w:rFonts w:hint="eastAsia" w:ascii="宋体" w:cs="宋体"/>
          <w:sz w:val="24"/>
        </w:rPr>
        <w:t>日期：</w:t>
      </w:r>
    </w:p>
    <w:p w14:paraId="198CF1F6">
      <w:pPr>
        <w:widowControl/>
        <w:jc w:val="left"/>
        <w:rPr>
          <w:rFonts w:ascii="宋体" w:hAnsi="宋体" w:cs="仿宋_GB2312"/>
          <w:b/>
          <w:bCs/>
          <w:sz w:val="32"/>
          <w:szCs w:val="32"/>
          <w:lang w:bidi="zh-CN"/>
        </w:rPr>
      </w:pPr>
      <w:r>
        <w:rPr>
          <w:rFonts w:ascii="宋体" w:hAnsi="宋体" w:cs="仿宋_GB2312"/>
          <w:b/>
          <w:bCs/>
          <w:sz w:val="32"/>
          <w:szCs w:val="32"/>
          <w:lang w:bidi="zh-CN"/>
        </w:rPr>
        <w:br w:type="page"/>
      </w:r>
    </w:p>
    <w:p w14:paraId="7C27D67D">
      <w:pPr>
        <w:rPr>
          <w:rFonts w:ascii="宋体" w:hAnsi="宋体" w:cs="宋体"/>
          <w:b/>
          <w:bCs/>
          <w:sz w:val="28"/>
          <w:szCs w:val="28"/>
        </w:rPr>
      </w:pPr>
      <w:r>
        <w:rPr>
          <w:rFonts w:hint="eastAsia" w:ascii="宋体" w:hAnsi="宋体" w:cs="宋体"/>
          <w:b/>
          <w:bCs/>
          <w:sz w:val="28"/>
          <w:szCs w:val="28"/>
        </w:rPr>
        <w:t>附件5</w:t>
      </w:r>
    </w:p>
    <w:p w14:paraId="708D0535">
      <w:pPr>
        <w:spacing w:line="360" w:lineRule="auto"/>
        <w:jc w:val="center"/>
        <w:rPr>
          <w:rFonts w:ascii="宋体" w:hAnsi="宋体" w:cs="仿宋_GB2312"/>
          <w:b/>
          <w:bCs/>
          <w:sz w:val="32"/>
          <w:szCs w:val="32"/>
          <w:lang w:bidi="zh-CN"/>
        </w:rPr>
      </w:pPr>
    </w:p>
    <w:p w14:paraId="742957D1">
      <w:pPr>
        <w:spacing w:line="360" w:lineRule="auto"/>
        <w:jc w:val="center"/>
        <w:outlineLvl w:val="2"/>
        <w:rPr>
          <w:rFonts w:ascii="宋体" w:cs="宋体"/>
          <w:b/>
          <w:sz w:val="28"/>
          <w:szCs w:val="28"/>
        </w:rPr>
      </w:pPr>
      <w:r>
        <w:rPr>
          <w:rFonts w:hint="eastAsia" w:ascii="宋体" w:cs="宋体"/>
          <w:b/>
          <w:sz w:val="28"/>
          <w:szCs w:val="28"/>
        </w:rPr>
        <w:t>投标及履约承诺书</w:t>
      </w:r>
    </w:p>
    <w:p w14:paraId="327F6F31">
      <w:pPr>
        <w:spacing w:line="360" w:lineRule="auto"/>
        <w:jc w:val="left"/>
        <w:rPr>
          <w:rFonts w:ascii="Calibri" w:hAnsi="Calibri"/>
          <w:sz w:val="24"/>
          <w:u w:val="single"/>
        </w:rPr>
      </w:pPr>
    </w:p>
    <w:p w14:paraId="1E8BAD3D">
      <w:pPr>
        <w:spacing w:line="360" w:lineRule="auto"/>
        <w:jc w:val="left"/>
        <w:rPr>
          <w:rFonts w:ascii="Calibri" w:hAnsi="Calibri"/>
          <w:b/>
          <w:bCs/>
          <w:sz w:val="24"/>
        </w:rPr>
      </w:pPr>
      <w:r>
        <w:rPr>
          <w:rFonts w:hint="eastAsia" w:ascii="Calibri" w:hAnsi="Calibri"/>
          <w:sz w:val="24"/>
          <w:u w:val="single"/>
        </w:rPr>
        <w:t>南通市市政设施管理处</w:t>
      </w:r>
      <w:r>
        <w:rPr>
          <w:rFonts w:ascii="Calibri" w:hAnsi="Calibri"/>
          <w:sz w:val="24"/>
        </w:rPr>
        <w:t>：</w:t>
      </w:r>
    </w:p>
    <w:p w14:paraId="16BFAEF3">
      <w:pPr>
        <w:spacing w:line="360" w:lineRule="auto"/>
        <w:ind w:firstLine="480" w:firstLineChars="200"/>
        <w:jc w:val="left"/>
        <w:rPr>
          <w:rFonts w:ascii="Calibri" w:hAnsi="Calibri"/>
          <w:sz w:val="24"/>
        </w:rPr>
      </w:pPr>
      <w:r>
        <w:rPr>
          <w:rFonts w:ascii="Calibri" w:hAnsi="Calibri"/>
          <w:sz w:val="24"/>
        </w:rPr>
        <w:t>我单位</w:t>
      </w:r>
      <w:r>
        <w:rPr>
          <w:rFonts w:ascii="Calibri" w:hAnsi="Calibri"/>
          <w:sz w:val="24"/>
          <w:u w:val="single"/>
        </w:rPr>
        <w:t>（供应商名称）</w:t>
      </w:r>
      <w:r>
        <w:rPr>
          <w:rFonts w:ascii="Calibri" w:hAnsi="Calibri"/>
          <w:sz w:val="24"/>
        </w:rPr>
        <w:t>郑重</w:t>
      </w:r>
      <w:r>
        <w:rPr>
          <w:rFonts w:hint="eastAsia" w:ascii="Calibri" w:hAnsi="Calibri"/>
          <w:sz w:val="24"/>
        </w:rPr>
        <w:t>承诺</w:t>
      </w:r>
      <w:r>
        <w:rPr>
          <w:rFonts w:ascii="Calibri" w:hAnsi="Calibri"/>
          <w:sz w:val="24"/>
        </w:rPr>
        <w:t>：</w:t>
      </w:r>
    </w:p>
    <w:p w14:paraId="4CD9BE23">
      <w:pPr>
        <w:spacing w:line="360" w:lineRule="auto"/>
        <w:ind w:firstLine="480" w:firstLineChars="200"/>
        <w:rPr>
          <w:rFonts w:ascii="宋体" w:hAnsi="宋体" w:cs="宋体"/>
          <w:szCs w:val="21"/>
        </w:rPr>
      </w:pPr>
      <w:r>
        <w:rPr>
          <w:rFonts w:hint="eastAsia" w:ascii="宋体" w:hAnsi="宋体"/>
          <w:sz w:val="24"/>
        </w:rPr>
        <w:t>1、在本次招投标活动中，不存在《中华人民共和国政府采购法实施条例》 第七十二条、第七十四条 阐述的相关情形、投标人的单位负责人为同一人或者存在控股、管理关系的不同单位，参加同一标段投标或者未划分标段的同一招标项目投标情形。</w:t>
      </w:r>
      <w:r>
        <w:rPr>
          <w:rFonts w:ascii="Calibri" w:hAnsi="Calibri"/>
          <w:sz w:val="24"/>
        </w:rPr>
        <w:t>若与</w:t>
      </w:r>
      <w:r>
        <w:rPr>
          <w:rFonts w:hint="eastAsia" w:ascii="Calibri" w:hAnsi="Calibri"/>
          <w:sz w:val="24"/>
        </w:rPr>
        <w:t>实际</w:t>
      </w:r>
      <w:r>
        <w:rPr>
          <w:rFonts w:ascii="Calibri" w:hAnsi="Calibri"/>
          <w:sz w:val="24"/>
        </w:rPr>
        <w:t>情况不符，</w:t>
      </w:r>
      <w:r>
        <w:rPr>
          <w:rFonts w:hint="eastAsia" w:ascii="Calibri" w:hAnsi="Calibri"/>
          <w:sz w:val="24"/>
        </w:rPr>
        <w:t>我单位</w:t>
      </w:r>
      <w:r>
        <w:rPr>
          <w:rFonts w:ascii="Calibri" w:hAnsi="Calibri"/>
          <w:sz w:val="24"/>
        </w:rPr>
        <w:t>愿意承担由此而产生的一切后果</w:t>
      </w:r>
      <w:r>
        <w:rPr>
          <w:rFonts w:hint="eastAsia" w:ascii="Calibri" w:hAnsi="Calibri"/>
          <w:sz w:val="24"/>
        </w:rPr>
        <w:t>；</w:t>
      </w:r>
    </w:p>
    <w:p w14:paraId="40074143">
      <w:pPr>
        <w:spacing w:line="360" w:lineRule="auto"/>
        <w:ind w:firstLine="480" w:firstLineChars="200"/>
        <w:jc w:val="left"/>
        <w:rPr>
          <w:rFonts w:ascii="Calibri" w:hAnsi="Calibri"/>
          <w:sz w:val="24"/>
        </w:rPr>
      </w:pPr>
      <w:r>
        <w:rPr>
          <w:rFonts w:hint="eastAsia" w:ascii="宋体" w:hAnsi="宋体"/>
          <w:sz w:val="24"/>
        </w:rPr>
        <w:t>2、我单位在中标后充分响应</w:t>
      </w:r>
      <w:r>
        <w:rPr>
          <w:rFonts w:hint="eastAsia" w:ascii="宋体" w:hAnsi="宋体"/>
          <w:sz w:val="24"/>
          <w:highlight w:val="none"/>
          <w:lang w:val="en-US" w:eastAsia="zh-CN"/>
        </w:rPr>
        <w:t>比选文件</w:t>
      </w:r>
      <w:r>
        <w:rPr>
          <w:rFonts w:hint="eastAsia" w:ascii="宋体" w:hAnsi="宋体"/>
          <w:sz w:val="24"/>
          <w:highlight w:val="none"/>
        </w:rPr>
        <w:t>“项</w:t>
      </w:r>
      <w:r>
        <w:rPr>
          <w:rFonts w:hint="eastAsia" w:ascii="宋体" w:hAnsi="宋体"/>
          <w:sz w:val="24"/>
        </w:rPr>
        <w:t>目需求”中各项要求，保质、保量、按时向采购人提供优质服务；</w:t>
      </w:r>
    </w:p>
    <w:p w14:paraId="6581B979">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3、在合同期内如因自身原因不能履行投标承诺，采购人为保证工作进度可立即通知第三方供应。如因不可抗拒力导致无法履约的，我单位将以书面形式向采购人作出说明，否则作违约处理；</w:t>
      </w:r>
    </w:p>
    <w:p w14:paraId="019FC4A3">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4、在合同期内需无条件配合采购人在数量、质量、服务、安全文明施工等方面的各项检查、抽查工作，并承担由此配合产生的费用。如在检查过程中发现不符合的情况，我单位接受相应处罚，并承担因此造成采购人相应工程项目中的所有损失。</w:t>
      </w:r>
    </w:p>
    <w:p w14:paraId="78D92EA8">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5、我单位承诺本项目最终结算金额严格控制在预算价以内，如发生超支，超支部分由我单位自行承担。</w:t>
      </w:r>
    </w:p>
    <w:p w14:paraId="3D3E9FF7">
      <w:pPr>
        <w:tabs>
          <w:tab w:val="left" w:pos="2020"/>
          <w:tab w:val="center" w:pos="4535"/>
        </w:tabs>
        <w:spacing w:line="360" w:lineRule="auto"/>
        <w:ind w:firstLine="480" w:firstLineChars="200"/>
        <w:rPr>
          <w:rFonts w:ascii="宋体" w:hAnsi="宋体" w:cs="宋体"/>
          <w:sz w:val="24"/>
        </w:rPr>
      </w:pPr>
    </w:p>
    <w:p w14:paraId="4F0067C7">
      <w:pPr>
        <w:tabs>
          <w:tab w:val="left" w:pos="2020"/>
          <w:tab w:val="center" w:pos="4535"/>
        </w:tabs>
        <w:spacing w:line="360" w:lineRule="auto"/>
        <w:ind w:firstLine="480" w:firstLineChars="200"/>
        <w:rPr>
          <w:rFonts w:ascii="宋体" w:hAnsi="宋体" w:cs="宋体"/>
          <w:sz w:val="24"/>
        </w:rPr>
      </w:pPr>
    </w:p>
    <w:p w14:paraId="088CD905">
      <w:pPr>
        <w:spacing w:line="360" w:lineRule="auto"/>
        <w:ind w:firstLine="2289" w:firstLineChars="950"/>
        <w:jc w:val="right"/>
        <w:rPr>
          <w:rFonts w:ascii="Calibri" w:hAnsi="Calibri"/>
          <w:b/>
          <w:sz w:val="24"/>
        </w:rPr>
      </w:pPr>
    </w:p>
    <w:p w14:paraId="0F94DADD">
      <w:pPr>
        <w:spacing w:line="360" w:lineRule="auto"/>
        <w:ind w:firstLine="3480" w:firstLineChars="1450"/>
        <w:jc w:val="right"/>
        <w:rPr>
          <w:rFonts w:ascii="Calibri" w:hAnsi="Calibri"/>
          <w:sz w:val="24"/>
        </w:rPr>
      </w:pPr>
      <w:r>
        <w:rPr>
          <w:rFonts w:hint="eastAsia" w:ascii="Calibri" w:hAnsi="Calibri"/>
          <w:sz w:val="24"/>
        </w:rPr>
        <w:t>承诺人</w:t>
      </w:r>
      <w:r>
        <w:rPr>
          <w:rFonts w:ascii="Calibri" w:hAnsi="Calibri"/>
          <w:sz w:val="24"/>
        </w:rPr>
        <w:t>：（公章）</w:t>
      </w:r>
    </w:p>
    <w:p w14:paraId="722FDFDA">
      <w:pPr>
        <w:tabs>
          <w:tab w:val="left" w:pos="2020"/>
          <w:tab w:val="center" w:pos="4535"/>
        </w:tabs>
        <w:ind w:firstLine="240" w:firstLineChars="100"/>
        <w:jc w:val="right"/>
        <w:rPr>
          <w:rFonts w:ascii="宋体" w:hAnsi="宋体" w:cs="宋体"/>
          <w:sz w:val="24"/>
        </w:rPr>
      </w:pPr>
      <w:r>
        <w:rPr>
          <w:rFonts w:hint="eastAsia" w:ascii="宋体" w:hAnsi="宋体" w:cs="宋体"/>
          <w:sz w:val="24"/>
        </w:rPr>
        <w:t>法定代表人：（签字或盖章）</w:t>
      </w:r>
    </w:p>
    <w:p w14:paraId="660A83DC">
      <w:pPr>
        <w:tabs>
          <w:tab w:val="left" w:pos="2020"/>
          <w:tab w:val="center" w:pos="4535"/>
        </w:tabs>
        <w:ind w:firstLine="240" w:firstLineChars="100"/>
        <w:jc w:val="right"/>
        <w:rPr>
          <w:rFonts w:ascii="宋体" w:hAnsi="宋体" w:cs="宋体"/>
          <w:sz w:val="24"/>
        </w:rPr>
      </w:pPr>
    </w:p>
    <w:p w14:paraId="600D3731">
      <w:pPr>
        <w:tabs>
          <w:tab w:val="left" w:pos="2020"/>
          <w:tab w:val="center" w:pos="4535"/>
        </w:tabs>
        <w:ind w:firstLine="240" w:firstLineChars="100"/>
        <w:jc w:val="right"/>
        <w:rPr>
          <w:rFonts w:ascii="宋体" w:hAnsi="宋体" w:cs="宋体"/>
          <w:sz w:val="24"/>
        </w:rPr>
      </w:pPr>
      <w:r>
        <w:rPr>
          <w:rFonts w:hint="eastAsia" w:ascii="宋体" w:hAnsi="宋体" w:cs="宋体"/>
          <w:sz w:val="24"/>
        </w:rPr>
        <w:t>时间：  年  月   日</w:t>
      </w:r>
    </w:p>
    <w:p w14:paraId="2CCE2D9B">
      <w:pPr>
        <w:tabs>
          <w:tab w:val="left" w:pos="2020"/>
          <w:tab w:val="center" w:pos="4535"/>
        </w:tabs>
        <w:ind w:firstLine="240" w:firstLineChars="100"/>
        <w:jc w:val="right"/>
        <w:rPr>
          <w:rFonts w:ascii="宋体" w:hAnsi="宋体" w:cs="宋体"/>
          <w:sz w:val="24"/>
        </w:rPr>
      </w:pPr>
    </w:p>
    <w:p w14:paraId="3F68497B">
      <w:pPr>
        <w:spacing w:after="120"/>
        <w:ind w:left="420" w:leftChars="200" w:firstLine="420" w:firstLineChars="200"/>
      </w:pPr>
    </w:p>
    <w:p w14:paraId="6314AFF2">
      <w:pPr>
        <w:spacing w:line="520" w:lineRule="exact"/>
        <w:ind w:firstLine="539" w:firstLineChars="184"/>
        <w:rPr>
          <w:rFonts w:ascii="宋体"/>
          <w:b/>
          <w:spacing w:val="6"/>
          <w:sz w:val="28"/>
        </w:rPr>
      </w:pPr>
    </w:p>
    <w:p w14:paraId="51ECF934">
      <w:pPr>
        <w:rPr>
          <w:rFonts w:hint="eastAsia" w:ascii="宋体" w:hAnsi="宋体" w:cs="宋体"/>
          <w:b/>
          <w:bCs/>
          <w:sz w:val="28"/>
          <w:szCs w:val="28"/>
        </w:rPr>
      </w:pPr>
      <w:bookmarkStart w:id="15" w:name="_Hlk89675716"/>
    </w:p>
    <w:p w14:paraId="28B3808F">
      <w:pPr>
        <w:rPr>
          <w:rFonts w:ascii="宋体" w:hAnsi="宋体" w:cs="宋体"/>
          <w:b/>
          <w:bCs/>
          <w:sz w:val="28"/>
          <w:szCs w:val="28"/>
        </w:rPr>
      </w:pPr>
      <w:r>
        <w:rPr>
          <w:rFonts w:hint="eastAsia" w:ascii="宋体" w:hAnsi="宋体" w:cs="宋体"/>
          <w:b/>
          <w:bCs/>
          <w:sz w:val="28"/>
          <w:szCs w:val="28"/>
        </w:rPr>
        <w:t>附件6</w:t>
      </w:r>
    </w:p>
    <w:p w14:paraId="55F13383">
      <w:pPr>
        <w:spacing w:line="360" w:lineRule="auto"/>
        <w:jc w:val="center"/>
        <w:outlineLvl w:val="2"/>
        <w:rPr>
          <w:rFonts w:ascii="宋体" w:hAnsi="宋体" w:cs="宋体"/>
          <w:b/>
          <w:sz w:val="24"/>
        </w:rPr>
      </w:pPr>
      <w:r>
        <w:rPr>
          <w:rFonts w:hint="eastAsia" w:ascii="宋体" w:hAnsi="宋体" w:cs="宋体"/>
          <w:b/>
          <w:sz w:val="24"/>
        </w:rPr>
        <w:t>比选响应函（格式不得变动）</w:t>
      </w:r>
    </w:p>
    <w:p w14:paraId="2920397C">
      <w:pPr>
        <w:snapToGrid w:val="0"/>
        <w:spacing w:line="360" w:lineRule="auto"/>
        <w:rPr>
          <w:rFonts w:ascii="宋体" w:hAnsi="宋体" w:cs="宋体"/>
          <w:sz w:val="24"/>
        </w:rPr>
      </w:pPr>
      <w:r>
        <w:rPr>
          <w:rFonts w:hint="eastAsia" w:ascii="宋体" w:hAnsi="宋体" w:cs="宋体"/>
          <w:sz w:val="24"/>
        </w:rPr>
        <w:t>南通市市政设施管理处 ：</w:t>
      </w:r>
    </w:p>
    <w:p w14:paraId="097C1033">
      <w:pPr>
        <w:snapToGrid w:val="0"/>
        <w:spacing w:line="360" w:lineRule="auto"/>
        <w:ind w:firstLine="480" w:firstLineChars="200"/>
        <w:rPr>
          <w:rFonts w:ascii="宋体" w:hAnsi="宋体" w:cs="宋体"/>
          <w:sz w:val="24"/>
        </w:rPr>
      </w:pPr>
      <w:r>
        <w:rPr>
          <w:rFonts w:hint="eastAsia" w:ascii="宋体" w:hAnsi="宋体" w:cs="宋体"/>
          <w:sz w:val="24"/>
        </w:rPr>
        <w:t>依据贵单位组织的</w:t>
      </w:r>
      <w:r>
        <w:rPr>
          <w:rFonts w:hint="eastAsia" w:ascii="宋体" w:hAnsi="宋体" w:cs="宋体"/>
          <w:sz w:val="24"/>
          <w:u w:val="single"/>
        </w:rPr>
        <w:t>南通市市政设施管理处2025年度彩浆封层、颗粒封层项目</w:t>
      </w:r>
      <w:r>
        <w:rPr>
          <w:rFonts w:hint="eastAsia" w:ascii="宋体" w:hAnsi="宋体" w:cs="宋体"/>
          <w:sz w:val="24"/>
        </w:rPr>
        <w:t>比选的邀请，我方授权</w:t>
      </w:r>
      <w:r>
        <w:rPr>
          <w:rFonts w:hint="eastAsia" w:ascii="宋体" w:hAnsi="宋体" w:cs="宋体"/>
          <w:sz w:val="24"/>
          <w:u w:val="single"/>
        </w:rPr>
        <w:t>（姓名）（职务）</w:t>
      </w:r>
      <w:r>
        <w:rPr>
          <w:rFonts w:hint="eastAsia" w:ascii="宋体" w:hAnsi="宋体" w:cs="宋体"/>
          <w:sz w:val="24"/>
        </w:rPr>
        <w:t>为全权代表参加该项目的比选工作，全权处理本次比选的有关事宜。同时，我公司声明如下：</w:t>
      </w:r>
    </w:p>
    <w:p w14:paraId="1C1E3E24">
      <w:pPr>
        <w:snapToGrid w:val="0"/>
        <w:spacing w:line="360" w:lineRule="auto"/>
        <w:ind w:firstLine="480" w:firstLineChars="20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1C3002D9">
      <w:pPr>
        <w:snapToGrid w:val="0"/>
        <w:spacing w:line="360" w:lineRule="auto"/>
        <w:ind w:firstLine="480" w:firstLineChars="200"/>
        <w:rPr>
          <w:rFonts w:ascii="宋体" w:hAnsi="宋体" w:cs="宋体"/>
          <w:sz w:val="24"/>
        </w:rPr>
      </w:pPr>
      <w:r>
        <w:rPr>
          <w:rFonts w:hint="eastAsia" w:ascii="宋体" w:hAnsi="宋体" w:cs="宋体"/>
          <w:sz w:val="24"/>
        </w:rPr>
        <w:t>2.我公司已经详细阅读了比选文件的全部内容，我方已完全清晰理解比选文件的要求，不存在任何含糊不清和误解之处，同意放弃对比选文件所表述的内容提出异议和质疑的权利。</w:t>
      </w:r>
    </w:p>
    <w:p w14:paraId="1BF6093B">
      <w:pPr>
        <w:snapToGrid w:val="0"/>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14:paraId="14A6B163">
      <w:pPr>
        <w:snapToGrid w:val="0"/>
        <w:spacing w:line="360" w:lineRule="auto"/>
        <w:ind w:firstLine="480" w:firstLineChars="200"/>
        <w:rPr>
          <w:rFonts w:ascii="宋体" w:hAnsi="宋体" w:cs="宋体"/>
          <w:sz w:val="24"/>
        </w:rPr>
      </w:pPr>
      <w:r>
        <w:rPr>
          <w:rFonts w:hint="eastAsia" w:ascii="宋体" w:hAnsi="宋体" w:cs="宋体"/>
          <w:sz w:val="24"/>
        </w:rPr>
        <w:t>4.我公司承诺在本次比选响应中提供的一切文件，无论是原件还是复印件均真实有效，绝无任何虚假、伪造和夸大的成份。否则，愿承担相应的后果和法律责任。</w:t>
      </w:r>
    </w:p>
    <w:p w14:paraId="67E20EF3">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我公司尊重比选小组所作的评定结果，同时清楚理解到报价最低（下浮率最高）并非意味着必定获得成交资格。</w:t>
      </w:r>
    </w:p>
    <w:p w14:paraId="714BC27C">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一旦成交，我方将根据比选文件的规定，严格履行合同规定的责任和义务，并保证在比选文件中规定的时间期限内完成合同项目。</w:t>
      </w:r>
    </w:p>
    <w:p w14:paraId="095D9509">
      <w:pPr>
        <w:wordWrap w:val="0"/>
        <w:spacing w:line="360" w:lineRule="auto"/>
        <w:ind w:firstLine="2640" w:firstLineChars="1100"/>
        <w:jc w:val="right"/>
        <w:rPr>
          <w:rFonts w:ascii="宋体" w:hAnsi="宋体" w:cs="宋体"/>
          <w:kern w:val="0"/>
          <w:sz w:val="24"/>
          <w:u w:val="single"/>
        </w:rPr>
      </w:pPr>
      <w:r>
        <w:rPr>
          <w:rFonts w:hint="eastAsia" w:ascii="宋体" w:hAnsi="宋体" w:cs="宋体"/>
          <w:kern w:val="0"/>
          <w:sz w:val="24"/>
        </w:rPr>
        <w:t>比选人名</w:t>
      </w:r>
      <w:r>
        <w:rPr>
          <w:rFonts w:hint="eastAsia" w:ascii="宋体" w:hAnsi="宋体" w:cs="宋体"/>
          <w:kern w:val="0"/>
          <w:sz w:val="24"/>
          <w:lang w:val="zh-CN"/>
        </w:rPr>
        <w:t>称(盖公章)：</w:t>
      </w:r>
    </w:p>
    <w:p w14:paraId="10748222">
      <w:pPr>
        <w:wordWrap w:val="0"/>
        <w:spacing w:line="360" w:lineRule="auto"/>
        <w:ind w:firstLine="2640" w:firstLineChars="1100"/>
        <w:jc w:val="right"/>
        <w:rPr>
          <w:rFonts w:ascii="宋体" w:hAnsi="宋体" w:cs="宋体"/>
          <w:sz w:val="24"/>
          <w:u w:val="single"/>
        </w:rPr>
      </w:pPr>
      <w:r>
        <w:rPr>
          <w:rFonts w:hint="eastAsia" w:ascii="宋体" w:hAnsi="宋体" w:cs="宋体"/>
          <w:kern w:val="0"/>
          <w:sz w:val="24"/>
          <w:lang w:val="zh-CN"/>
        </w:rPr>
        <w:t>法定代表人（签字或盖章）：</w:t>
      </w:r>
    </w:p>
    <w:p w14:paraId="0E7545C9">
      <w:pPr>
        <w:jc w:val="right"/>
        <w:rPr>
          <w:rFonts w:ascii="宋体" w:hAnsi="宋体" w:cs="宋体"/>
          <w:b/>
          <w:bCs/>
          <w:sz w:val="28"/>
          <w:szCs w:val="28"/>
        </w:rPr>
      </w:pPr>
      <w:r>
        <w:rPr>
          <w:rFonts w:hint="eastAsia" w:ascii="宋体" w:hAnsi="宋体" w:cs="宋体"/>
          <w:kern w:val="0"/>
          <w:sz w:val="24"/>
          <w:lang w:val="zh-CN"/>
        </w:rPr>
        <w:t>时间：  年  月   日</w:t>
      </w:r>
      <w:r>
        <w:rPr>
          <w:rFonts w:hint="eastAsia" w:ascii="宋体" w:hAnsi="宋体" w:cs="宋体"/>
          <w:sz w:val="28"/>
          <w:szCs w:val="28"/>
        </w:rPr>
        <w:br w:type="page"/>
      </w:r>
      <w:bookmarkEnd w:id="15"/>
    </w:p>
    <w:p w14:paraId="40DA6A4C">
      <w:pPr>
        <w:rPr>
          <w:rFonts w:ascii="宋体" w:hAnsi="宋体" w:cs="宋体"/>
          <w:b/>
          <w:bCs/>
          <w:sz w:val="28"/>
          <w:szCs w:val="28"/>
        </w:rPr>
      </w:pPr>
      <w:r>
        <w:rPr>
          <w:rFonts w:hint="eastAsia" w:ascii="宋体" w:hAnsi="宋体" w:cs="宋体"/>
          <w:b/>
          <w:bCs/>
          <w:sz w:val="28"/>
          <w:szCs w:val="28"/>
        </w:rPr>
        <w:t>附件7</w:t>
      </w:r>
    </w:p>
    <w:p w14:paraId="3F9AA553">
      <w:pPr>
        <w:adjustRightInd w:val="0"/>
        <w:snapToGrid w:val="0"/>
        <w:spacing w:line="360" w:lineRule="auto"/>
        <w:rPr>
          <w:rFonts w:hint="eastAsia" w:cs="宋体" w:asciiTheme="minorEastAsia" w:hAnsiTheme="minorEastAsia" w:eastAsiaTheme="minorEastAsia"/>
          <w:b/>
          <w:kern w:val="0"/>
          <w:sz w:val="28"/>
          <w:szCs w:val="28"/>
          <w:lang w:val="en-US" w:eastAsia="zh-CN"/>
        </w:rPr>
      </w:pPr>
    </w:p>
    <w:p w14:paraId="4A34EB0A">
      <w:pPr>
        <w:tabs>
          <w:tab w:val="left" w:pos="0"/>
        </w:tabs>
        <w:adjustRightInd w:val="0"/>
        <w:snapToGrid w:val="0"/>
        <w:spacing w:line="360" w:lineRule="auto"/>
        <w:ind w:left="420" w:leftChars="200" w:firstLine="643"/>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报 价</w:t>
      </w:r>
      <w:r>
        <w:rPr>
          <w:rFonts w:hint="eastAsia" w:cs="仿宋_GB2312" w:asciiTheme="minorEastAsia" w:hAnsiTheme="minorEastAsia" w:eastAsiaTheme="minorEastAsia"/>
          <w:b/>
          <w:bCs/>
          <w:sz w:val="32"/>
          <w:szCs w:val="32"/>
          <w:lang w:val="en-US" w:eastAsia="zh-CN"/>
        </w:rPr>
        <w:t xml:space="preserve"> </w:t>
      </w:r>
      <w:r>
        <w:rPr>
          <w:rFonts w:hint="eastAsia" w:cs="仿宋_GB2312" w:asciiTheme="minorEastAsia" w:hAnsiTheme="minorEastAsia" w:eastAsiaTheme="minorEastAsia"/>
          <w:b/>
          <w:bCs/>
          <w:sz w:val="32"/>
          <w:szCs w:val="32"/>
        </w:rPr>
        <w:t>表</w:t>
      </w:r>
    </w:p>
    <w:p w14:paraId="32471CBE">
      <w:pPr>
        <w:widowControl/>
        <w:adjustRightInd w:val="0"/>
        <w:snapToGrid w:val="0"/>
        <w:spacing w:after="200" w:line="480" w:lineRule="exact"/>
        <w:ind w:firstLine="48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项目名称：</w:t>
      </w:r>
    </w:p>
    <w:p w14:paraId="10CAC918">
      <w:pPr>
        <w:widowControl/>
        <w:adjustRightInd w:val="0"/>
        <w:snapToGrid w:val="0"/>
        <w:spacing w:after="200" w:line="480" w:lineRule="exact"/>
        <w:ind w:firstLine="480"/>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项目编号：</w:t>
      </w:r>
    </w:p>
    <w:tbl>
      <w:tblPr>
        <w:tblStyle w:val="25"/>
        <w:tblpPr w:leftFromText="180" w:rightFromText="180" w:vertAnchor="text" w:horzAnchor="page" w:tblpXSpec="center" w:tblpY="168"/>
        <w:tblOverlap w:val="never"/>
        <w:tblW w:w="5365" w:type="pct"/>
        <w:tblInd w:w="-2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15"/>
        <w:gridCol w:w="4350"/>
        <w:gridCol w:w="855"/>
        <w:gridCol w:w="1244"/>
        <w:gridCol w:w="1106"/>
      </w:tblGrid>
      <w:tr w14:paraId="21C0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73" w:type="pct"/>
            <w:vAlign w:val="center"/>
          </w:tcPr>
          <w:p w14:paraId="6050D6FD">
            <w:pPr>
              <w:jc w:val="center"/>
              <w:rPr>
                <w:b/>
                <w:bCs/>
              </w:rPr>
            </w:pPr>
            <w:r>
              <w:rPr>
                <w:rFonts w:hint="eastAsia"/>
                <w:b/>
                <w:bCs/>
              </w:rPr>
              <w:t>序号</w:t>
            </w:r>
          </w:p>
        </w:tc>
        <w:tc>
          <w:tcPr>
            <w:tcW w:w="613" w:type="pct"/>
            <w:vAlign w:val="center"/>
          </w:tcPr>
          <w:p w14:paraId="3F12414C">
            <w:pPr>
              <w:jc w:val="center"/>
              <w:rPr>
                <w:b/>
                <w:bCs/>
              </w:rPr>
            </w:pPr>
            <w:r>
              <w:rPr>
                <w:rFonts w:hint="eastAsia"/>
                <w:b/>
                <w:bCs/>
              </w:rPr>
              <w:t>清单名称</w:t>
            </w:r>
          </w:p>
        </w:tc>
        <w:tc>
          <w:tcPr>
            <w:tcW w:w="2195" w:type="pct"/>
            <w:vAlign w:val="center"/>
          </w:tcPr>
          <w:p w14:paraId="3979F49E">
            <w:pPr>
              <w:jc w:val="center"/>
              <w:rPr>
                <w:b/>
                <w:bCs/>
              </w:rPr>
            </w:pPr>
            <w:r>
              <w:rPr>
                <w:rFonts w:hint="eastAsia"/>
                <w:b/>
                <w:bCs/>
              </w:rPr>
              <w:t>清单特征</w:t>
            </w:r>
          </w:p>
        </w:tc>
        <w:tc>
          <w:tcPr>
            <w:tcW w:w="431" w:type="pct"/>
            <w:vAlign w:val="center"/>
          </w:tcPr>
          <w:p w14:paraId="0C587208">
            <w:pPr>
              <w:jc w:val="center"/>
              <w:rPr>
                <w:b/>
                <w:bCs/>
              </w:rPr>
            </w:pPr>
            <w:r>
              <w:rPr>
                <w:rFonts w:hint="eastAsia"/>
                <w:b/>
                <w:bCs/>
              </w:rPr>
              <w:t>单位</w:t>
            </w:r>
          </w:p>
        </w:tc>
        <w:tc>
          <w:tcPr>
            <w:tcW w:w="627" w:type="pct"/>
            <w:vAlign w:val="center"/>
          </w:tcPr>
          <w:p w14:paraId="7296B7C7">
            <w:pPr>
              <w:jc w:val="center"/>
              <w:rPr>
                <w:b/>
                <w:bCs/>
              </w:rPr>
            </w:pPr>
            <w:r>
              <w:rPr>
                <w:rFonts w:hint="eastAsia"/>
                <w:b/>
                <w:bCs/>
              </w:rPr>
              <w:t>全费用</w:t>
            </w:r>
            <w:r>
              <w:rPr>
                <w:rFonts w:hint="eastAsia"/>
                <w:b/>
                <w:bCs/>
              </w:rPr>
              <w:br w:type="textWrapping"/>
            </w:r>
            <w:r>
              <w:rPr>
                <w:rFonts w:hint="eastAsia"/>
                <w:b/>
                <w:bCs/>
              </w:rPr>
              <w:t>综合单价最高限价（元）</w:t>
            </w:r>
          </w:p>
        </w:tc>
        <w:tc>
          <w:tcPr>
            <w:tcW w:w="558" w:type="pct"/>
            <w:vAlign w:val="center"/>
          </w:tcPr>
          <w:p w14:paraId="202A0A75">
            <w:pPr>
              <w:jc w:val="center"/>
              <w:rPr>
                <w:b/>
                <w:bCs/>
              </w:rPr>
            </w:pPr>
            <w:r>
              <w:rPr>
                <w:rFonts w:hint="eastAsia"/>
                <w:b/>
                <w:bCs/>
              </w:rPr>
              <w:t>投标</w:t>
            </w:r>
            <w:r>
              <w:rPr>
                <w:rFonts w:hint="eastAsia"/>
                <w:b/>
                <w:bCs/>
                <w:lang w:val="en-US" w:eastAsia="zh-CN"/>
              </w:rPr>
              <w:t>下浮率</w:t>
            </w:r>
            <w:r>
              <w:rPr>
                <w:rFonts w:hint="eastAsia"/>
                <w:b/>
                <w:bCs/>
              </w:rPr>
              <w:t>（</w:t>
            </w:r>
            <w:r>
              <w:rPr>
                <w:rFonts w:hint="eastAsia"/>
                <w:b/>
                <w:bCs/>
                <w:lang w:val="en-US" w:eastAsia="zh-CN"/>
              </w:rPr>
              <w:t>%</w:t>
            </w:r>
            <w:r>
              <w:rPr>
                <w:rFonts w:hint="eastAsia"/>
                <w:b/>
                <w:bCs/>
              </w:rPr>
              <w:t>）</w:t>
            </w:r>
          </w:p>
        </w:tc>
      </w:tr>
      <w:tr w14:paraId="0CD5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73" w:type="pct"/>
            <w:vAlign w:val="center"/>
          </w:tcPr>
          <w:p w14:paraId="3F2323EF">
            <w:pPr>
              <w:jc w:val="center"/>
            </w:pPr>
            <w:r>
              <w:rPr>
                <w:rFonts w:hint="eastAsia"/>
              </w:rPr>
              <w:t>1</w:t>
            </w:r>
          </w:p>
        </w:tc>
        <w:tc>
          <w:tcPr>
            <w:tcW w:w="613" w:type="pct"/>
            <w:vAlign w:val="center"/>
          </w:tcPr>
          <w:p w14:paraId="35E6973E">
            <w:r>
              <w:rPr>
                <w:rFonts w:hint="eastAsia"/>
              </w:rPr>
              <w:t>彩浆封层路面</w:t>
            </w:r>
          </w:p>
        </w:tc>
        <w:tc>
          <w:tcPr>
            <w:tcW w:w="2195" w:type="pct"/>
            <w:vAlign w:val="center"/>
          </w:tcPr>
          <w:p w14:paraId="5F6BF589">
            <w:r>
              <w:rPr>
                <w:rFonts w:hint="eastAsia"/>
              </w:rPr>
              <w:t>1、应用于沥青路面，厚度1.5mm</w:t>
            </w:r>
            <w:r>
              <w:rPr>
                <w:rFonts w:hint="eastAsia"/>
              </w:rPr>
              <w:br w:type="textWrapping"/>
            </w:r>
            <w:r>
              <w:rPr>
                <w:rFonts w:hint="eastAsia"/>
              </w:rPr>
              <w:t>2、全色系</w:t>
            </w:r>
            <w:r>
              <w:rPr>
                <w:rFonts w:hint="eastAsia"/>
              </w:rPr>
              <w:br w:type="textWrapping"/>
            </w:r>
            <w:r>
              <w:rPr>
                <w:rFonts w:hint="eastAsia"/>
              </w:rPr>
              <w:t>3、价格为完成此项工作的所有费用，包括但不限于为满足采购文件、验收规范规定施工所需的一切工序</w:t>
            </w:r>
          </w:p>
        </w:tc>
        <w:tc>
          <w:tcPr>
            <w:tcW w:w="431" w:type="pct"/>
            <w:vAlign w:val="center"/>
          </w:tcPr>
          <w:p w14:paraId="176DE71D">
            <w:pPr>
              <w:jc w:val="center"/>
            </w:pPr>
            <w:r>
              <w:rPr>
                <w:rFonts w:hint="eastAsia"/>
              </w:rPr>
              <w:t>m</w:t>
            </w:r>
            <w:r>
              <w:rPr>
                <w:rFonts w:hint="eastAsia"/>
                <w:vertAlign w:val="superscript"/>
              </w:rPr>
              <w:t>2</w:t>
            </w:r>
          </w:p>
        </w:tc>
        <w:tc>
          <w:tcPr>
            <w:tcW w:w="627" w:type="pct"/>
            <w:vAlign w:val="center"/>
          </w:tcPr>
          <w:p w14:paraId="384387EB">
            <w:pPr>
              <w:jc w:val="center"/>
            </w:pPr>
            <w:r>
              <w:t>129</w:t>
            </w:r>
          </w:p>
        </w:tc>
        <w:tc>
          <w:tcPr>
            <w:tcW w:w="558" w:type="pct"/>
            <w:vMerge w:val="restart"/>
            <w:vAlign w:val="center"/>
          </w:tcPr>
          <w:p w14:paraId="57EB9716"/>
        </w:tc>
      </w:tr>
      <w:tr w14:paraId="1772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73" w:type="pct"/>
            <w:vAlign w:val="center"/>
          </w:tcPr>
          <w:p w14:paraId="5E0E5AA4">
            <w:pPr>
              <w:jc w:val="center"/>
            </w:pPr>
            <w:r>
              <w:rPr>
                <w:rFonts w:hint="eastAsia"/>
              </w:rPr>
              <w:t>2</w:t>
            </w:r>
          </w:p>
        </w:tc>
        <w:tc>
          <w:tcPr>
            <w:tcW w:w="613" w:type="pct"/>
            <w:vAlign w:val="center"/>
          </w:tcPr>
          <w:p w14:paraId="77C36FC5">
            <w:r>
              <w:rPr>
                <w:rFonts w:hint="eastAsia"/>
              </w:rPr>
              <w:t>彩浆封层路面</w:t>
            </w:r>
          </w:p>
        </w:tc>
        <w:tc>
          <w:tcPr>
            <w:tcW w:w="2195" w:type="pct"/>
            <w:vAlign w:val="center"/>
          </w:tcPr>
          <w:p w14:paraId="6B760DF6">
            <w:r>
              <w:rPr>
                <w:rFonts w:hint="eastAsia"/>
              </w:rPr>
              <w:t>1、应用于水泥砼路桥面的彩浆封层路面，厚度1.5mm</w:t>
            </w:r>
            <w:r>
              <w:rPr>
                <w:rFonts w:hint="eastAsia"/>
              </w:rPr>
              <w:br w:type="textWrapping"/>
            </w:r>
            <w:r>
              <w:rPr>
                <w:rFonts w:hint="eastAsia"/>
              </w:rPr>
              <w:t>2、全色系</w:t>
            </w:r>
            <w:r>
              <w:rPr>
                <w:rFonts w:hint="eastAsia"/>
              </w:rPr>
              <w:br w:type="textWrapping"/>
            </w:r>
            <w:r>
              <w:rPr>
                <w:rFonts w:hint="eastAsia"/>
              </w:rPr>
              <w:t>3、价格为完成此项工作的所有费用，包括但不限于为满足采购文件、验收规范规定施工所需的一切工序</w:t>
            </w:r>
          </w:p>
        </w:tc>
        <w:tc>
          <w:tcPr>
            <w:tcW w:w="431" w:type="pct"/>
            <w:vAlign w:val="center"/>
          </w:tcPr>
          <w:p w14:paraId="73FB2539">
            <w:pPr>
              <w:jc w:val="center"/>
            </w:pPr>
            <w:r>
              <w:rPr>
                <w:rFonts w:hint="eastAsia"/>
              </w:rPr>
              <w:t>m</w:t>
            </w:r>
            <w:r>
              <w:rPr>
                <w:rFonts w:hint="eastAsia"/>
                <w:vertAlign w:val="superscript"/>
              </w:rPr>
              <w:t>2</w:t>
            </w:r>
          </w:p>
        </w:tc>
        <w:tc>
          <w:tcPr>
            <w:tcW w:w="627" w:type="pct"/>
            <w:vAlign w:val="center"/>
          </w:tcPr>
          <w:p w14:paraId="0EC98960">
            <w:pPr>
              <w:jc w:val="center"/>
            </w:pPr>
            <w:r>
              <w:t>133</w:t>
            </w:r>
          </w:p>
        </w:tc>
        <w:tc>
          <w:tcPr>
            <w:tcW w:w="558" w:type="pct"/>
            <w:vMerge w:val="continue"/>
            <w:vAlign w:val="center"/>
          </w:tcPr>
          <w:p w14:paraId="528D3BFD"/>
        </w:tc>
      </w:tr>
      <w:tr w14:paraId="6C85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73" w:type="pct"/>
            <w:vAlign w:val="center"/>
          </w:tcPr>
          <w:p w14:paraId="0AF6C21D">
            <w:pPr>
              <w:jc w:val="center"/>
            </w:pPr>
            <w:r>
              <w:rPr>
                <w:rFonts w:hint="eastAsia"/>
              </w:rPr>
              <w:t>3</w:t>
            </w:r>
          </w:p>
        </w:tc>
        <w:tc>
          <w:tcPr>
            <w:tcW w:w="613" w:type="pct"/>
            <w:vAlign w:val="center"/>
          </w:tcPr>
          <w:p w14:paraId="1243E6D1">
            <w:r>
              <w:rPr>
                <w:rFonts w:hint="eastAsia"/>
              </w:rPr>
              <w:t>匝道红色警示颗粒封层路面</w:t>
            </w:r>
          </w:p>
        </w:tc>
        <w:tc>
          <w:tcPr>
            <w:tcW w:w="2195" w:type="pct"/>
            <w:vAlign w:val="center"/>
          </w:tcPr>
          <w:p w14:paraId="377256F0">
            <w:r>
              <w:rPr>
                <w:rFonts w:hint="eastAsia"/>
              </w:rPr>
              <w:t>1、应用于高架匝道路面的红色警示颗粒封层路面，厚度3mm</w:t>
            </w:r>
            <w:r>
              <w:rPr>
                <w:rFonts w:hint="eastAsia"/>
              </w:rPr>
              <w:br w:type="textWrapping"/>
            </w:r>
            <w:r>
              <w:rPr>
                <w:rFonts w:hint="eastAsia"/>
              </w:rPr>
              <w:t>2、全色系</w:t>
            </w:r>
            <w:r>
              <w:rPr>
                <w:rFonts w:hint="eastAsia"/>
              </w:rPr>
              <w:br w:type="textWrapping"/>
            </w:r>
            <w:r>
              <w:rPr>
                <w:rFonts w:hint="eastAsia"/>
              </w:rPr>
              <w:t>3、价格为完成此项工作的所有费用，包括但不限于为满足采购文件、验收规范规定施工所需的一切工序</w:t>
            </w:r>
          </w:p>
        </w:tc>
        <w:tc>
          <w:tcPr>
            <w:tcW w:w="431" w:type="pct"/>
            <w:vAlign w:val="center"/>
          </w:tcPr>
          <w:p w14:paraId="6D422C21">
            <w:pPr>
              <w:jc w:val="center"/>
            </w:pPr>
            <w:r>
              <w:rPr>
                <w:rFonts w:hint="eastAsia"/>
              </w:rPr>
              <w:t>m</w:t>
            </w:r>
            <w:r>
              <w:rPr>
                <w:rFonts w:hint="eastAsia"/>
                <w:vertAlign w:val="superscript"/>
              </w:rPr>
              <w:t>2</w:t>
            </w:r>
          </w:p>
        </w:tc>
        <w:tc>
          <w:tcPr>
            <w:tcW w:w="627" w:type="pct"/>
            <w:vAlign w:val="center"/>
          </w:tcPr>
          <w:p w14:paraId="347889B3">
            <w:pPr>
              <w:jc w:val="center"/>
            </w:pPr>
            <w:r>
              <w:t>112</w:t>
            </w:r>
          </w:p>
        </w:tc>
        <w:tc>
          <w:tcPr>
            <w:tcW w:w="558" w:type="pct"/>
            <w:vMerge w:val="continue"/>
            <w:vAlign w:val="center"/>
          </w:tcPr>
          <w:p w14:paraId="19D30E4D"/>
        </w:tc>
      </w:tr>
    </w:tbl>
    <w:p w14:paraId="1209BE0C">
      <w:pPr>
        <w:rPr>
          <w:rFonts w:hint="default" w:ascii="宋体" w:eastAsia="宋体" w:cs="宋体"/>
          <w:bCs/>
          <w:sz w:val="24"/>
          <w:highlight w:val="none"/>
          <w:lang w:val="en-US" w:eastAsia="zh-CN"/>
        </w:rPr>
      </w:pPr>
      <w:r>
        <w:rPr>
          <w:rFonts w:hint="eastAsia" w:ascii="宋体" w:cs="宋体"/>
          <w:bCs/>
          <w:sz w:val="24"/>
        </w:rPr>
        <w:t>注：报价下浮率最多保留小数点后一位（示例：10.1%，10.5%）</w:t>
      </w:r>
      <w:r>
        <w:rPr>
          <w:rFonts w:hint="eastAsia" w:ascii="宋体" w:cs="宋体"/>
          <w:bCs/>
          <w:sz w:val="24"/>
          <w:lang w:eastAsia="zh-CN"/>
        </w:rPr>
        <w:t>，</w:t>
      </w:r>
      <w:r>
        <w:rPr>
          <w:rFonts w:hint="eastAsia" w:ascii="宋体" w:cs="宋体"/>
          <w:bCs/>
          <w:sz w:val="24"/>
          <w:highlight w:val="none"/>
          <w:lang w:val="en-US" w:eastAsia="zh-CN"/>
        </w:rPr>
        <w:t>结算单价=单价最高限价×（1-中标下浮率）（保留一位小数）。</w:t>
      </w:r>
    </w:p>
    <w:p w14:paraId="685BF7E5">
      <w:pPr>
        <w:spacing w:line="480" w:lineRule="exact"/>
        <w:jc w:val="left"/>
        <w:rPr>
          <w:rFonts w:hint="eastAsia" w:ascii="宋体" w:cs="宋体"/>
          <w:bCs/>
          <w:sz w:val="24"/>
          <w:highlight w:val="none"/>
        </w:rPr>
      </w:pPr>
    </w:p>
    <w:p w14:paraId="52DD1043">
      <w:pPr>
        <w:spacing w:line="480" w:lineRule="exact"/>
        <w:jc w:val="left"/>
        <w:rPr>
          <w:rFonts w:ascii="宋体" w:cs="宋体"/>
          <w:sz w:val="24"/>
          <w:highlight w:val="none"/>
        </w:rPr>
      </w:pPr>
      <w:r>
        <w:rPr>
          <w:rFonts w:hint="eastAsia" w:ascii="宋体" w:cs="宋体"/>
          <w:bCs/>
          <w:sz w:val="24"/>
          <w:highlight w:val="none"/>
        </w:rPr>
        <w:t>如我单位中标（成交），合同履约期间项目负责人</w:t>
      </w:r>
      <w:r>
        <w:rPr>
          <w:rFonts w:hint="eastAsia" w:ascii="宋体" w:cs="宋体"/>
          <w:bCs/>
          <w:sz w:val="24"/>
          <w:highlight w:val="none"/>
          <w:lang w:eastAsia="zh-CN"/>
        </w:rPr>
        <w:t>（</w:t>
      </w:r>
      <w:r>
        <w:rPr>
          <w:rFonts w:hint="eastAsia" w:ascii="宋体" w:cs="宋体"/>
          <w:bCs/>
          <w:sz w:val="24"/>
          <w:highlight w:val="none"/>
          <w:lang w:val="en-US" w:eastAsia="zh-CN"/>
        </w:rPr>
        <w:t>需与资格审查中拟派的项目负责人一致</w:t>
      </w:r>
      <w:r>
        <w:rPr>
          <w:rFonts w:hint="eastAsia" w:ascii="宋体" w:cs="宋体"/>
          <w:bCs/>
          <w:sz w:val="24"/>
          <w:highlight w:val="none"/>
          <w:lang w:eastAsia="zh-CN"/>
        </w:rPr>
        <w:t>）</w:t>
      </w:r>
      <w:r>
        <w:rPr>
          <w:rFonts w:hint="eastAsia" w:ascii="宋体" w:cs="宋体"/>
          <w:bCs/>
          <w:sz w:val="24"/>
          <w:highlight w:val="none"/>
        </w:rPr>
        <w:t>：</w:t>
      </w:r>
      <w:r>
        <w:rPr>
          <w:rFonts w:hint="eastAsia" w:ascii="宋体" w:cs="宋体"/>
          <w:bCs/>
          <w:sz w:val="24"/>
          <w:highlight w:val="none"/>
          <w:lang w:val="en-US" w:eastAsia="zh-CN"/>
        </w:rPr>
        <w:t xml:space="preserve">        </w:t>
      </w:r>
      <w:r>
        <w:rPr>
          <w:rFonts w:hint="eastAsia" w:ascii="宋体" w:cs="宋体"/>
          <w:bCs/>
          <w:sz w:val="24"/>
          <w:highlight w:val="none"/>
        </w:rPr>
        <w:t>身份证号码：</w:t>
      </w:r>
      <w:r>
        <w:rPr>
          <w:rFonts w:hint="eastAsia" w:ascii="宋体" w:cs="宋体"/>
          <w:bCs/>
          <w:sz w:val="24"/>
          <w:highlight w:val="none"/>
          <w:lang w:val="en-US" w:eastAsia="zh-CN"/>
        </w:rPr>
        <w:t xml:space="preserve">        </w:t>
      </w:r>
      <w:r>
        <w:rPr>
          <w:rFonts w:hint="eastAsia" w:ascii="宋体" w:cs="宋体"/>
          <w:bCs/>
          <w:sz w:val="24"/>
          <w:highlight w:val="none"/>
        </w:rPr>
        <w:t xml:space="preserve">联系方式：  </w:t>
      </w:r>
      <w:r>
        <w:rPr>
          <w:rFonts w:hint="eastAsia" w:ascii="宋体" w:cs="宋体"/>
          <w:sz w:val="24"/>
          <w:highlight w:val="none"/>
        </w:rPr>
        <w:tab/>
      </w:r>
    </w:p>
    <w:p w14:paraId="7DCCF2BB">
      <w:pPr>
        <w:widowControl/>
        <w:adjustRightInd w:val="0"/>
        <w:spacing w:line="360" w:lineRule="auto"/>
        <w:rPr>
          <w:rFonts w:ascii="宋体" w:cs="仿宋"/>
          <w:kern w:val="0"/>
          <w:sz w:val="24"/>
          <w:highlight w:val="none"/>
        </w:rPr>
      </w:pPr>
    </w:p>
    <w:p w14:paraId="0D81A167">
      <w:pPr>
        <w:widowControl/>
        <w:adjustRightInd w:val="0"/>
        <w:spacing w:line="360" w:lineRule="auto"/>
        <w:rPr>
          <w:rFonts w:ascii="宋体" w:cs="仿宋"/>
          <w:kern w:val="0"/>
          <w:sz w:val="24"/>
        </w:rPr>
      </w:pPr>
      <w:r>
        <w:rPr>
          <w:rFonts w:hint="eastAsia" w:ascii="宋体" w:cs="仿宋"/>
          <w:kern w:val="0"/>
          <w:sz w:val="24"/>
        </w:rPr>
        <w:t>供应商（加盖公章）：</w:t>
      </w:r>
    </w:p>
    <w:p w14:paraId="018898A2">
      <w:pPr>
        <w:spacing w:line="360" w:lineRule="auto"/>
        <w:rPr>
          <w:rFonts w:ascii="宋体" w:cs="仿宋"/>
          <w:sz w:val="24"/>
        </w:rPr>
      </w:pPr>
    </w:p>
    <w:p w14:paraId="69F4AB99">
      <w:pPr>
        <w:spacing w:line="360" w:lineRule="auto"/>
        <w:rPr>
          <w:rFonts w:ascii="宋体" w:cs="仿宋"/>
          <w:sz w:val="24"/>
        </w:rPr>
      </w:pPr>
      <w:r>
        <w:rPr>
          <w:rFonts w:hint="eastAsia" w:ascii="宋体" w:cs="仿宋"/>
          <w:sz w:val="24"/>
        </w:rPr>
        <w:t>法定代表人或授权代表（签字/盖章）：</w:t>
      </w:r>
    </w:p>
    <w:p w14:paraId="6F2B61ED">
      <w:pPr>
        <w:spacing w:line="360" w:lineRule="auto"/>
        <w:rPr>
          <w:rFonts w:ascii="宋体" w:cs="仿宋"/>
          <w:sz w:val="24"/>
        </w:rPr>
      </w:pPr>
    </w:p>
    <w:p w14:paraId="18783EA0">
      <w:pPr>
        <w:spacing w:line="360" w:lineRule="auto"/>
        <w:rPr>
          <w:rFonts w:ascii="宋体" w:cs="仿宋"/>
          <w:sz w:val="24"/>
        </w:rPr>
      </w:pPr>
      <w:r>
        <w:rPr>
          <w:rFonts w:hint="eastAsia" w:ascii="宋体" w:cs="仿宋"/>
          <w:sz w:val="24"/>
        </w:rPr>
        <w:t xml:space="preserve">日期： </w:t>
      </w:r>
      <w:r>
        <w:rPr>
          <w:rFonts w:hint="eastAsia" w:ascii="宋体" w:cs="仿宋"/>
          <w:sz w:val="24"/>
          <w:lang w:val="en-US" w:eastAsia="zh-CN"/>
        </w:rPr>
        <w:t xml:space="preserve"> </w:t>
      </w:r>
      <w:r>
        <w:rPr>
          <w:rFonts w:hint="eastAsia" w:ascii="宋体" w:cs="仿宋"/>
          <w:sz w:val="24"/>
        </w:rPr>
        <w:t>年</w:t>
      </w:r>
      <w:r>
        <w:rPr>
          <w:rFonts w:hint="eastAsia" w:ascii="宋体" w:cs="仿宋"/>
          <w:sz w:val="24"/>
          <w:lang w:val="en-US" w:eastAsia="zh-CN"/>
        </w:rPr>
        <w:t xml:space="preserve">  </w:t>
      </w:r>
      <w:r>
        <w:rPr>
          <w:rFonts w:hint="eastAsia" w:ascii="宋体" w:cs="仿宋"/>
          <w:sz w:val="24"/>
        </w:rPr>
        <w:t>月</w:t>
      </w:r>
      <w:r>
        <w:rPr>
          <w:rFonts w:hint="eastAsia" w:ascii="宋体" w:cs="仿宋"/>
          <w:sz w:val="24"/>
          <w:lang w:val="en-US" w:eastAsia="zh-CN"/>
        </w:rPr>
        <w:t xml:space="preserve"> </w:t>
      </w:r>
      <w:r>
        <w:rPr>
          <w:rFonts w:hint="eastAsia" w:ascii="宋体" w:cs="仿宋"/>
          <w:sz w:val="24"/>
        </w:rPr>
        <w:t xml:space="preserve"> 日</w:t>
      </w:r>
    </w:p>
    <w:p w14:paraId="37747527">
      <w:pPr>
        <w:rPr>
          <w:rFonts w:cs="宋体" w:asciiTheme="minorEastAsia" w:hAnsiTheme="minorEastAsia" w:eastAsiaTheme="minorEastAsia"/>
          <w:strike/>
          <w:dstrike w:val="0"/>
          <w:sz w:val="24"/>
          <w:highlight w:val="green"/>
        </w:rPr>
      </w:pPr>
    </w:p>
    <w:sectPr>
      <w:footerReference r:id="rId6"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3CC0EBE-FD3C-4230-9BD7-8C9ACA4ED8C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B5CD4A6-99E6-476D-BABA-CD86E072869B}"/>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embedRegular r:id="rId3" w:fontKey="{445BCD13-CF4D-4033-A4AD-37CEBC10144B}"/>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4" w:fontKey="{82B152EE-3620-410C-A404-DD830283F83C}"/>
  </w:font>
  <w:font w:name="仿宋">
    <w:panose1 w:val="02010609060101010101"/>
    <w:charset w:val="86"/>
    <w:family w:val="modern"/>
    <w:pitch w:val="default"/>
    <w:sig w:usb0="800002BF" w:usb1="38CF7CFA" w:usb2="00000016" w:usb3="00000000" w:csb0="00040001" w:csb1="00000000"/>
    <w:embedRegular r:id="rId5" w:fontKey="{FABFE4ED-324B-4F0F-B7B9-FC2ED5DCD4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048C">
    <w:pPr>
      <w:pStyle w:val="18"/>
      <w:tabs>
        <w:tab w:val="left" w:pos="1065"/>
        <w:tab w:val="clear" w:pos="4153"/>
        <w:tab w:val="clear" w:pos="8306"/>
      </w:tabs>
      <w:jc w:val="both"/>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7C6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A50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8223">
    <w:pPr>
      <w:pStyle w:val="1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9CF7A"/>
    <w:multiLevelType w:val="singleLevel"/>
    <w:tmpl w:val="9769CF7A"/>
    <w:lvl w:ilvl="0" w:tentative="0">
      <w:start w:val="1"/>
      <w:numFmt w:val="decimal"/>
      <w:suff w:val="nothing"/>
      <w:lvlText w:val="（%1）"/>
      <w:lvlJc w:val="left"/>
    </w:lvl>
  </w:abstractNum>
  <w:abstractNum w:abstractNumId="1">
    <w:nsid w:val="A080CA6A"/>
    <w:multiLevelType w:val="singleLevel"/>
    <w:tmpl w:val="A080CA6A"/>
    <w:lvl w:ilvl="0" w:tentative="0">
      <w:start w:val="1"/>
      <w:numFmt w:val="decimal"/>
      <w:suff w:val="nothing"/>
      <w:lvlText w:val="（%1）"/>
      <w:lvlJc w:val="left"/>
    </w:lvl>
  </w:abstractNum>
  <w:abstractNum w:abstractNumId="2">
    <w:nsid w:val="3EA40CB9"/>
    <w:multiLevelType w:val="singleLevel"/>
    <w:tmpl w:val="3EA40CB9"/>
    <w:lvl w:ilvl="0" w:tentative="0">
      <w:start w:val="2"/>
      <w:numFmt w:val="decimal"/>
      <w:suff w:val="nothing"/>
      <w:lvlText w:val="%1、"/>
      <w:lvlJc w:val="left"/>
    </w:lvl>
  </w:abstractNum>
  <w:abstractNum w:abstractNumId="3">
    <w:nsid w:val="687EC97B"/>
    <w:multiLevelType w:val="singleLevel"/>
    <w:tmpl w:val="687EC97B"/>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dit="readOnly" w:enforcement="0"/>
  <w:defaultTabStop w:val="420"/>
  <w:drawingGridHorizontalSpacing w:val="105"/>
  <w:drawingGridVerticalSpacing w:val="143"/>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2Q4NGUzNTI3MDNiMjM3MTYwMzg3ZTUxNTg1MmQifQ=="/>
  </w:docVars>
  <w:rsids>
    <w:rsidRoot w:val="00282FB4"/>
    <w:rsid w:val="000A34F4"/>
    <w:rsid w:val="000B3D5B"/>
    <w:rsid w:val="000D27C2"/>
    <w:rsid w:val="000D75B9"/>
    <w:rsid w:val="00101FB7"/>
    <w:rsid w:val="001C5162"/>
    <w:rsid w:val="00282FB4"/>
    <w:rsid w:val="00332A73"/>
    <w:rsid w:val="00351812"/>
    <w:rsid w:val="003B6A0D"/>
    <w:rsid w:val="003D6947"/>
    <w:rsid w:val="004762EF"/>
    <w:rsid w:val="004A08AC"/>
    <w:rsid w:val="004A27B0"/>
    <w:rsid w:val="00540753"/>
    <w:rsid w:val="0058164D"/>
    <w:rsid w:val="005D7226"/>
    <w:rsid w:val="005F6B65"/>
    <w:rsid w:val="00627204"/>
    <w:rsid w:val="006703AE"/>
    <w:rsid w:val="006A1646"/>
    <w:rsid w:val="00756EF7"/>
    <w:rsid w:val="00757931"/>
    <w:rsid w:val="0077398E"/>
    <w:rsid w:val="00864CC7"/>
    <w:rsid w:val="00890E41"/>
    <w:rsid w:val="00935DE9"/>
    <w:rsid w:val="00940C3E"/>
    <w:rsid w:val="00AA7DBC"/>
    <w:rsid w:val="00AC23FE"/>
    <w:rsid w:val="00AD1C37"/>
    <w:rsid w:val="00AD7755"/>
    <w:rsid w:val="00C06522"/>
    <w:rsid w:val="00C35376"/>
    <w:rsid w:val="00C67715"/>
    <w:rsid w:val="00D01249"/>
    <w:rsid w:val="00D4144D"/>
    <w:rsid w:val="00E4557E"/>
    <w:rsid w:val="00E76378"/>
    <w:rsid w:val="00EA3DC7"/>
    <w:rsid w:val="00F5352D"/>
    <w:rsid w:val="00F71597"/>
    <w:rsid w:val="00FA4749"/>
    <w:rsid w:val="00FB40C3"/>
    <w:rsid w:val="01B34E22"/>
    <w:rsid w:val="08D93072"/>
    <w:rsid w:val="099202D8"/>
    <w:rsid w:val="0C4274CE"/>
    <w:rsid w:val="0E906D47"/>
    <w:rsid w:val="10434475"/>
    <w:rsid w:val="112955F3"/>
    <w:rsid w:val="1B6C00C4"/>
    <w:rsid w:val="1D873CE8"/>
    <w:rsid w:val="1F5E18DF"/>
    <w:rsid w:val="21E32DBA"/>
    <w:rsid w:val="28CD67BB"/>
    <w:rsid w:val="2B574F6C"/>
    <w:rsid w:val="2F743A19"/>
    <w:rsid w:val="301074AD"/>
    <w:rsid w:val="3052105A"/>
    <w:rsid w:val="322B2510"/>
    <w:rsid w:val="328A159C"/>
    <w:rsid w:val="339C62D3"/>
    <w:rsid w:val="36947866"/>
    <w:rsid w:val="369562F3"/>
    <w:rsid w:val="38241C69"/>
    <w:rsid w:val="3CFE431D"/>
    <w:rsid w:val="3ECB3FF5"/>
    <w:rsid w:val="43DF1DFE"/>
    <w:rsid w:val="49193937"/>
    <w:rsid w:val="4B2D24C8"/>
    <w:rsid w:val="4B553630"/>
    <w:rsid w:val="50B66CF9"/>
    <w:rsid w:val="520534A3"/>
    <w:rsid w:val="52EC43D4"/>
    <w:rsid w:val="5C6663DB"/>
    <w:rsid w:val="65D26342"/>
    <w:rsid w:val="6A6D4D09"/>
    <w:rsid w:val="6A9205EB"/>
    <w:rsid w:val="6D34568C"/>
    <w:rsid w:val="70C82E85"/>
    <w:rsid w:val="77FD627F"/>
    <w:rsid w:val="788E7256"/>
    <w:rsid w:val="7BC50AF2"/>
    <w:rsid w:val="7F3F6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jc w:val="center"/>
      <w:outlineLvl w:val="3"/>
    </w:pPr>
    <w:rPr>
      <w:rFonts w:eastAsia="新宋体"/>
      <w:sz w:val="3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next w:val="14"/>
    <w:autoRedefine/>
    <w:qFormat/>
    <w:uiPriority w:val="0"/>
    <w:pPr>
      <w:spacing w:after="120"/>
      <w:ind w:left="200" w:leftChars="200"/>
    </w:pPr>
  </w:style>
  <w:style w:type="paragraph" w:styleId="14">
    <w:name w:val="envelope return"/>
    <w:basedOn w:val="1"/>
    <w:autoRedefine/>
    <w:qFormat/>
    <w:uiPriority w:val="0"/>
    <w:pPr>
      <w:snapToGrid w:val="0"/>
    </w:pPr>
    <w:rPr>
      <w:rFonts w:ascii="Arial" w:hAnsi="Arial"/>
    </w:r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link w:val="82"/>
    <w:autoRedefine/>
    <w:qFormat/>
    <w:uiPriority w:val="99"/>
    <w:pPr>
      <w:tabs>
        <w:tab w:val="center" w:pos="4153"/>
        <w:tab w:val="right" w:pos="8306"/>
      </w:tabs>
      <w:snapToGrid w:val="0"/>
      <w:jc w:val="center"/>
    </w:pPr>
    <w:rPr>
      <w:sz w:val="18"/>
      <w:szCs w:val="18"/>
    </w:rPr>
  </w:style>
  <w:style w:type="paragraph" w:styleId="19">
    <w:name w:val="header"/>
    <w:basedOn w:val="1"/>
    <w:link w:val="81"/>
    <w:autoRedefine/>
    <w:qFormat/>
    <w:uiPriority w:val="99"/>
    <w:pPr>
      <w:tabs>
        <w:tab w:val="center" w:pos="4153"/>
        <w:tab w:val="right" w:pos="8306"/>
      </w:tabs>
      <w:snapToGrid w:val="0"/>
    </w:pPr>
    <w:rPr>
      <w:rFonts w:ascii="宋体" w:cs="宋体"/>
      <w:kern w:val="0"/>
      <w:sz w:val="20"/>
      <w:szCs w:val="20"/>
      <w:u w:val="single"/>
    </w:rPr>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next w:val="8"/>
    <w:autoRedefine/>
    <w:qFormat/>
    <w:uiPriority w:val="0"/>
    <w:pPr>
      <w:spacing w:line="520" w:lineRule="exact"/>
      <w:ind w:firstLine="184" w:firstLineChars="184"/>
    </w:pPr>
    <w:rPr>
      <w:rFonts w:ascii="宋体"/>
      <w:b/>
      <w:spacing w:val="6"/>
      <w:sz w:val="28"/>
    </w:rPr>
  </w:style>
  <w:style w:type="paragraph" w:styleId="22">
    <w:name w:val="Normal (Web)"/>
    <w:basedOn w:val="1"/>
    <w:autoRedefine/>
    <w:qFormat/>
    <w:uiPriority w:val="99"/>
    <w:pPr>
      <w:widowControl/>
      <w:spacing w:before="100" w:beforeAutospacing="1" w:after="100" w:afterAutospacing="1"/>
      <w:jc w:val="left"/>
    </w:pPr>
    <w:rPr>
      <w:rFonts w:ascii="宋体" w:cs="宋体"/>
      <w:kern w:val="0"/>
      <w:sz w:val="24"/>
    </w:rPr>
  </w:style>
  <w:style w:type="paragraph" w:styleId="23">
    <w:name w:val="Body Text First Indent"/>
    <w:basedOn w:val="10"/>
    <w:autoRedefine/>
    <w:qFormat/>
    <w:uiPriority w:val="0"/>
    <w:pPr>
      <w:ind w:firstLine="100" w:firstLineChars="100"/>
    </w:pPr>
  </w:style>
  <w:style w:type="paragraph" w:styleId="24">
    <w:name w:val="Body Text First Indent 2"/>
    <w:basedOn w:val="13"/>
    <w:next w:val="21"/>
    <w:autoRedefine/>
    <w:qFormat/>
    <w:uiPriority w:val="0"/>
    <w:pPr>
      <w:ind w:firstLine="20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BodyTextIndent1"/>
    <w:basedOn w:val="1"/>
    <w:next w:val="44"/>
    <w:autoRedefine/>
    <w:qFormat/>
    <w:uiPriority w:val="0"/>
    <w:pPr>
      <w:spacing w:after="120"/>
      <w:ind w:left="420"/>
    </w:pPr>
  </w:style>
  <w:style w:type="paragraph" w:customStyle="1" w:styleId="44">
    <w:name w:val="EnvelopeReturn1"/>
    <w:basedOn w:val="1"/>
    <w:autoRedefine/>
    <w:qFormat/>
    <w:uiPriority w:val="0"/>
    <w:rPr>
      <w:rFonts w:ascii="Arial" w:hAnsi="Arial"/>
    </w:rPr>
  </w:style>
  <w:style w:type="paragraph" w:customStyle="1" w:styleId="45">
    <w:name w:val="BodyText1I21"/>
    <w:basedOn w:val="43"/>
    <w:autoRedefine/>
    <w:qFormat/>
    <w:uiPriority w:val="0"/>
    <w:pPr>
      <w:ind w:firstLine="420"/>
    </w:pPr>
  </w:style>
  <w:style w:type="paragraph" w:customStyle="1" w:styleId="46">
    <w:name w:val="正文 A"/>
    <w:next w:val="42"/>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4"/>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 w:type="character" w:customStyle="1" w:styleId="81">
    <w:name w:val="页眉 Char"/>
    <w:basedOn w:val="27"/>
    <w:link w:val="19"/>
    <w:qFormat/>
    <w:uiPriority w:val="99"/>
    <w:rPr>
      <w:rFonts w:ascii="宋体" w:cs="宋体"/>
      <w:u w:val="single"/>
    </w:rPr>
  </w:style>
  <w:style w:type="character" w:customStyle="1" w:styleId="82">
    <w:name w:val="页脚 Char"/>
    <w:basedOn w:val="27"/>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F1D1-8A20-48B4-9FA5-65DB7FB39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7116</Words>
  <Characters>8048</Characters>
  <Lines>152</Lines>
  <Paragraphs>42</Paragraphs>
  <TotalTime>44</TotalTime>
  <ScaleCrop>false</ScaleCrop>
  <LinksUpToDate>false</LinksUpToDate>
  <CharactersWithSpaces>8176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2025-08-13T04:45:00Z</dcterms:created>
  <dc:creator>User</dc:creator>
  <cp:lastModifiedBy>c雯子</cp:lastModifiedBy>
  <cp:lastPrinted>2025-08-15T03:29:00Z</cp:lastPrinted>
  <dcterms:modified xsi:type="dcterms:W3CDTF">2025-08-15T07:50:23Z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C13D145F034E4135B1A0B0FDEE38AEEE_13</vt:lpwstr>
  </property>
  <property fmtid="{D5CDD505-2E9C-101B-9397-08002B2CF9AE}" pid="4" name="KSOTemplateDocerSaveRecord">
    <vt:lpwstr>eyJoZGlkIjoiMjBiMzkyZDAxOWRkYjM2OThlZWFmZGJkODY4NzQ5NTAiLCJ1c2VySWQiOiIyMDM5NDQ0NDkifQ==</vt:lpwstr>
  </property>
</Properties>
</file>