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horzAnchor="margin" w:tblpXSpec="center" w:tblpYSpec="top"/>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noWrap w:val="0"/>
            <w:tcMar>
              <w:left w:w="0" w:type="dxa"/>
              <w:right w:w="0" w:type="dxa"/>
            </w:tcMar>
            <w:vAlign w:val="top"/>
          </w:tcPr>
          <w:p>
            <w:pPr>
              <w:pStyle w:val="9"/>
              <w:spacing w:line="600" w:lineRule="exact"/>
              <w:jc w:val="both"/>
              <w:rPr>
                <w:rFonts w:hint="default" w:ascii="Times New Roman" w:hAnsi="Times New Roman" w:cs="Times New Roman"/>
                <w:color w:val="000000"/>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noWrap w:val="0"/>
            <w:tcMar>
              <w:left w:w="0" w:type="dxa"/>
              <w:right w:w="0" w:type="dxa"/>
            </w:tcMar>
            <w:vAlign w:val="top"/>
          </w:tcPr>
          <w:p>
            <w:pPr>
              <w:pStyle w:val="10"/>
              <w:spacing w:before="120" w:beforeLines="0" w:after="300" w:afterLines="0" w:line="1300" w:lineRule="atLeast"/>
              <w:ind w:left="0" w:leftChars="0" w:firstLine="0" w:firstLineChars="0"/>
              <w:rPr>
                <w:rFonts w:hint="default" w:ascii="Times New Roman" w:hAnsi="Times New Roman" w:eastAsia="方正小标宋_GBK" w:cs="Times New Roman"/>
                <w:sz w:val="130"/>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noWrap w:val="0"/>
            <w:tcMar>
              <w:left w:w="0" w:type="dxa"/>
              <w:right w:w="0" w:type="dxa"/>
            </w:tcMar>
            <w:vAlign w:val="top"/>
          </w:tcPr>
          <w:p>
            <w:pPr>
              <w:tabs>
                <w:tab w:val="left" w:pos="8364"/>
              </w:tabs>
              <w:ind w:firstLine="0"/>
              <w:jc w:val="center"/>
              <w:rPr>
                <w:rFonts w:hint="default" w:ascii="Times New Roman" w:hAnsi="Times New Roman" w:eastAsia="方正仿宋_GBK"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noWrap w:val="0"/>
            <w:tcMar>
              <w:left w:w="0" w:type="dxa"/>
              <w:right w:w="0" w:type="dxa"/>
            </w:tcMar>
            <w:vAlign w:val="top"/>
          </w:tcPr>
          <w:p>
            <w:pPr>
              <w:tabs>
                <w:tab w:val="left" w:pos="8364"/>
              </w:tabs>
              <w:ind w:firstLine="0"/>
              <w:jc w:val="center"/>
              <w:rPr>
                <w:rFonts w:hint="default" w:ascii="Times New Roman" w:hAnsi="Times New Roman" w:eastAsia="仿宋_GB2312" w:cs="Times New Roman"/>
              </w:rPr>
            </w:pPr>
            <w:r>
              <w:rPr>
                <w:rFonts w:hint="default" w:ascii="Times New Roman" w:hAnsi="Times New Roman" w:eastAsia="方正仿宋_GBK" w:cs="Times New Roman"/>
                <w:sz w:val="32"/>
                <w:szCs w:val="32"/>
              </w:rPr>
              <w:t>通</w:t>
            </w:r>
            <w:r>
              <w:rPr>
                <w:rFonts w:hint="default" w:ascii="Times New Roman" w:hAnsi="Times New Roman" w:eastAsia="方正仿宋_GBK" w:cs="Times New Roman"/>
                <w:sz w:val="32"/>
                <w:szCs w:val="32"/>
                <w:lang w:eastAsia="zh-CN"/>
              </w:rPr>
              <w:t>质监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44" w:type="dxa"/>
            <w:noWrap w:val="0"/>
            <w:tcMar>
              <w:left w:w="0" w:type="dxa"/>
              <w:right w:w="0" w:type="dxa"/>
            </w:tcMar>
            <w:vAlign w:val="top"/>
          </w:tcPr>
          <w:p>
            <w:pPr>
              <w:pStyle w:val="11"/>
              <w:snapToGrid w:val="0"/>
              <w:spacing w:after="840" w:afterLines="0" w:line="100" w:lineRule="atLeast"/>
              <w:ind w:left="-57" w:right="-57"/>
              <w:rPr>
                <w:rFonts w:hint="default" w:ascii="Times New Roman" w:hAnsi="Times New Roman" w:cs="Times New Roman"/>
              </w:rPr>
            </w:pPr>
          </w:p>
        </w:tc>
      </w:tr>
    </w:tbl>
    <w:p>
      <w:pPr>
        <w:keepNext w:val="0"/>
        <w:keepLines w:val="0"/>
        <w:pageBreakBefore w:val="0"/>
        <w:widowControl w:val="0"/>
        <w:kinsoku/>
        <w:wordWrap/>
        <w:overflowPunct/>
        <w:topLinePunct w:val="0"/>
        <w:autoSpaceDE w:val="0"/>
        <w:autoSpaceDN w:val="0"/>
        <w:bidi w:val="0"/>
        <w:adjustRightInd/>
        <w:snapToGrid w:val="0"/>
        <w:spacing w:line="700" w:lineRule="atLeast"/>
        <w:ind w:left="0" w:leftChars="0" w:firstLine="0" w:firstLineChars="0"/>
        <w:jc w:val="center"/>
        <w:textAlignment w:val="auto"/>
        <w:rPr>
          <w:rFonts w:hint="default" w:ascii="Times New Roman" w:hAnsi="Times New Roman" w:eastAsia="方正小标宋_GBK" w:cs="Times New Roman"/>
          <w:snapToGrid w:val="0"/>
          <w:sz w:val="44"/>
          <w:szCs w:val="44"/>
          <w:lang w:val="en-US" w:eastAsia="zh-CN" w:bidi="ar-SA"/>
        </w:rPr>
      </w:pPr>
      <w:r>
        <w:rPr>
          <w:rFonts w:hint="default" w:ascii="Times New Roman" w:hAnsi="Times New Roman" w:eastAsia="方正小标宋_GBK" w:cs="Times New Roman"/>
          <w:snapToGrid w:val="0"/>
          <w:sz w:val="44"/>
          <w:szCs w:val="44"/>
          <w:lang w:val="en-US" w:eastAsia="zh-CN" w:bidi="ar-SA"/>
        </w:rPr>
        <w:t>南通城市轨道交通2号线一期工程装饰装修</w:t>
      </w:r>
    </w:p>
    <w:p>
      <w:pPr>
        <w:keepNext w:val="0"/>
        <w:keepLines w:val="0"/>
        <w:pageBreakBefore w:val="0"/>
        <w:widowControl w:val="0"/>
        <w:kinsoku/>
        <w:wordWrap/>
        <w:overflowPunct/>
        <w:topLinePunct w:val="0"/>
        <w:autoSpaceDE w:val="0"/>
        <w:autoSpaceDN w:val="0"/>
        <w:bidi w:val="0"/>
        <w:adjustRightInd/>
        <w:snapToGrid w:val="0"/>
        <w:spacing w:line="700" w:lineRule="atLeast"/>
        <w:ind w:left="0" w:leftChars="0" w:firstLine="0" w:firstLineChars="0"/>
        <w:jc w:val="center"/>
        <w:textAlignment w:val="auto"/>
        <w:rPr>
          <w:rFonts w:hint="default" w:ascii="Times New Roman" w:hAnsi="Times New Roman" w:eastAsia="方正小标宋_GBK" w:cs="Times New Roman"/>
          <w:snapToGrid w:val="0"/>
          <w:sz w:val="44"/>
          <w:szCs w:val="44"/>
          <w:lang w:val="en-US" w:eastAsia="zh-CN" w:bidi="ar-SA"/>
        </w:rPr>
      </w:pPr>
      <w:r>
        <w:rPr>
          <w:rFonts w:hint="default" w:ascii="Times New Roman" w:hAnsi="Times New Roman" w:eastAsia="方正小标宋_GBK" w:cs="Times New Roman"/>
          <w:snapToGrid w:val="0"/>
          <w:sz w:val="44"/>
          <w:szCs w:val="44"/>
          <w:lang w:val="en-US" w:eastAsia="zh-CN" w:bidi="ar-SA"/>
        </w:rPr>
        <w:t>工程飞行检查情况通报</w:t>
      </w:r>
    </w:p>
    <w:p>
      <w:pPr>
        <w:autoSpaceDE w:val="0"/>
        <w:autoSpaceDN w:val="0"/>
        <w:bidi w:val="0"/>
        <w:snapToGrid w:val="0"/>
        <w:spacing w:line="590" w:lineRule="atLeast"/>
        <w:ind w:firstLine="624"/>
        <w:jc w:val="both"/>
        <w:rPr>
          <w:rFonts w:hint="default" w:ascii="Times New Roman" w:hAnsi="Times New Roman" w:eastAsia="仿宋" w:cs="Times New Roman"/>
          <w:bCs/>
          <w:sz w:val="32"/>
          <w:szCs w:val="32"/>
          <w:lang w:eastAsia="zh-CN"/>
        </w:rPr>
      </w:pPr>
    </w:p>
    <w:p>
      <w:pPr>
        <w:pageBreakBefore w:val="0"/>
        <w:widowControl w:val="0"/>
        <w:kinsoku/>
        <w:wordWrap/>
        <w:overflowPunct/>
        <w:topLinePunct w:val="0"/>
        <w:autoSpaceDE w:val="0"/>
        <w:autoSpaceDN w:val="0"/>
        <w:bidi w:val="0"/>
        <w:adjustRightInd/>
        <w:snapToGrid w:val="0"/>
        <w:spacing w:line="590" w:lineRule="exact"/>
        <w:ind w:left="0" w:leftChars="0" w:firstLine="0" w:firstLineChars="0"/>
        <w:jc w:val="both"/>
        <w:textAlignment w:val="auto"/>
        <w:rPr>
          <w:rFonts w:hint="default" w:ascii="Times New Roman" w:hAnsi="Times New Roman" w:eastAsia="方正仿宋_GBK" w:cs="Times New Roman"/>
          <w:snapToGrid w:val="0"/>
          <w:sz w:val="32"/>
          <w:szCs w:val="20"/>
          <w:lang w:val="zh-TW" w:eastAsia="zh-CN" w:bidi="ar-SA"/>
        </w:rPr>
      </w:pPr>
      <w:r>
        <w:rPr>
          <w:rFonts w:hint="default" w:ascii="Times New Roman" w:hAnsi="Times New Roman" w:eastAsia="方正仿宋_GBK" w:cs="Times New Roman"/>
          <w:snapToGrid w:val="0"/>
          <w:sz w:val="32"/>
          <w:szCs w:val="20"/>
          <w:lang w:val="en-US" w:eastAsia="zh-CN" w:bidi="ar-SA"/>
        </w:rPr>
        <w:t>南通轨道交通集团有限公司，各有关单位：</w:t>
      </w:r>
    </w:p>
    <w:p>
      <w:pPr>
        <w:pageBreakBefore w:val="0"/>
        <w:widowControl w:val="0"/>
        <w:kinsoku/>
        <w:wordWrap/>
        <w:overflowPunct/>
        <w:topLinePunct w:val="0"/>
        <w:autoSpaceDE w:val="0"/>
        <w:autoSpaceDN w:val="0"/>
        <w:bidi w:val="0"/>
        <w:adjustRightInd/>
        <w:snapToGrid w:val="0"/>
        <w:spacing w:line="590" w:lineRule="exact"/>
        <w:ind w:firstLine="624"/>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为进一步提升我市轨道交通工程质量管控水平，根据年度工作计划，我站于6月下旬开展了南通城市轨道交通2号线一期工程装饰装修工程飞行检查，现将检查情况通报如下：</w:t>
      </w:r>
    </w:p>
    <w:p>
      <w:pPr>
        <w:pStyle w:val="3"/>
        <w:pageBreakBefore w:val="0"/>
        <w:widowControl w:val="0"/>
        <w:kinsoku/>
        <w:wordWrap/>
        <w:overflowPunct/>
        <w:topLinePunct w:val="0"/>
        <w:bidi w:val="0"/>
        <w:adjustRightInd/>
        <w:spacing w:line="59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一、基本情况</w:t>
      </w:r>
    </w:p>
    <w:p>
      <w:pPr>
        <w:pStyle w:val="4"/>
        <w:pageBreakBefore w:val="0"/>
        <w:widowControl w:val="0"/>
        <w:kinsoku/>
        <w:wordWrap/>
        <w:overflowPunct/>
        <w:topLinePunct w:val="0"/>
        <w:bidi w:val="0"/>
        <w:adjustRightInd/>
        <w:spacing w:before="0" w:after="0" w:line="590" w:lineRule="exact"/>
        <w:ind w:firstLine="643"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（一）检查安排</w:t>
      </w:r>
    </w:p>
    <w:p>
      <w:pPr>
        <w:pageBreakBefore w:val="0"/>
        <w:widowControl w:val="0"/>
        <w:kinsoku/>
        <w:wordWrap/>
        <w:overflowPunct/>
        <w:topLinePunct w:val="0"/>
        <w:autoSpaceDE w:val="0"/>
        <w:autoSpaceDN w:val="0"/>
        <w:bidi w:val="0"/>
        <w:adjustRightInd/>
        <w:snapToGrid w:val="0"/>
        <w:spacing w:line="590" w:lineRule="exact"/>
        <w:ind w:left="0" w:leftChars="0" w:firstLine="643" w:firstLineChars="200"/>
        <w:jc w:val="both"/>
        <w:textAlignment w:val="auto"/>
        <w:rPr>
          <w:rFonts w:hint="eastAsia" w:ascii="方正仿宋_GBK" w:hAnsi="方正仿宋_GBK" w:eastAsia="方正仿宋_GBK" w:cs="方正仿宋_GBK"/>
          <w:b/>
          <w:bCs/>
          <w:snapToGrid w:val="0"/>
          <w:sz w:val="32"/>
          <w:szCs w:val="20"/>
          <w:lang w:val="en-US" w:eastAsia="zh-CN" w:bidi="ar-SA"/>
        </w:rPr>
      </w:pPr>
      <w:r>
        <w:rPr>
          <w:rFonts w:hint="default" w:ascii="Times New Roman" w:hAnsi="Times New Roman" w:eastAsia="方正仿宋_GBK" w:cs="Times New Roman"/>
          <w:b/>
          <w:bCs/>
          <w:snapToGrid w:val="0"/>
          <w:sz w:val="32"/>
          <w:szCs w:val="20"/>
          <w:lang w:val="en-US" w:eastAsia="zh-CN" w:bidi="ar-SA"/>
        </w:rPr>
        <w:t>1</w:t>
      </w:r>
      <w:r>
        <w:rPr>
          <w:rFonts w:hint="eastAsia" w:ascii="方正仿宋_GBK" w:hAnsi="方正仿宋_GBK" w:eastAsia="方正仿宋_GBK" w:cs="方正仿宋_GBK"/>
          <w:b/>
          <w:bCs/>
          <w:snapToGrid w:val="0"/>
          <w:sz w:val="32"/>
          <w:szCs w:val="20"/>
          <w:lang w:val="en-US" w:eastAsia="zh-CN" w:bidi="ar-SA"/>
        </w:rPr>
        <w:t>.检查时间及方式</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根据日常监管和项目施工进展情况，我站对在建的6个装饰装修标段进行了全覆盖检查。本次飞行检查采用听取汇报、现场检查、查阅资料、现场反馈等方式进行，并委托第三方质量检测机构协助进行重要材料抽检。</w:t>
      </w:r>
    </w:p>
    <w:p>
      <w:pPr>
        <w:pageBreakBefore w:val="0"/>
        <w:widowControl w:val="0"/>
        <w:kinsoku/>
        <w:wordWrap/>
        <w:overflowPunct/>
        <w:topLinePunct w:val="0"/>
        <w:autoSpaceDE w:val="0"/>
        <w:autoSpaceDN w:val="0"/>
        <w:bidi w:val="0"/>
        <w:adjustRightInd/>
        <w:snapToGrid w:val="0"/>
        <w:spacing w:line="590" w:lineRule="exact"/>
        <w:ind w:left="0" w:leftChars="0" w:firstLine="643" w:firstLineChars="200"/>
        <w:jc w:val="both"/>
        <w:textAlignment w:val="auto"/>
        <w:rPr>
          <w:rFonts w:hint="eastAsia" w:ascii="方正仿宋_GBK" w:hAnsi="方正仿宋_GBK" w:eastAsia="方正仿宋_GBK" w:cs="方正仿宋_GBK"/>
          <w:b/>
          <w:bCs/>
          <w:snapToGrid w:val="0"/>
          <w:sz w:val="32"/>
          <w:szCs w:val="20"/>
          <w:lang w:val="en-US" w:eastAsia="zh-CN" w:bidi="ar-SA"/>
        </w:rPr>
      </w:pPr>
      <w:r>
        <w:rPr>
          <w:rFonts w:hint="default" w:ascii="Times New Roman" w:hAnsi="Times New Roman" w:eastAsia="方正仿宋_GBK" w:cs="Times New Roman"/>
          <w:b/>
          <w:bCs/>
          <w:snapToGrid w:val="0"/>
          <w:sz w:val="32"/>
          <w:szCs w:val="20"/>
          <w:lang w:val="en-US" w:eastAsia="zh-CN" w:bidi="ar-SA"/>
        </w:rPr>
        <w:t>2</w:t>
      </w:r>
      <w:r>
        <w:rPr>
          <w:rFonts w:hint="eastAsia" w:ascii="方正仿宋_GBK" w:hAnsi="方正仿宋_GBK" w:eastAsia="方正仿宋_GBK" w:cs="方正仿宋_GBK"/>
          <w:b/>
          <w:bCs/>
          <w:snapToGrid w:val="0"/>
          <w:sz w:val="32"/>
          <w:szCs w:val="20"/>
          <w:lang w:val="en-US" w:eastAsia="zh-CN" w:bidi="ar-SA"/>
        </w:rPr>
        <w:t>.检查范围与内容</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本次检查内容包含各参建主体责任及重要文件的落实情况，施工项目经理部、项目监理机构主要管理人员到岗履职情况，现场用施工图设计文件的审查情况，原材料质量管控情况，装饰装修、钢结构工程质量管控情况，首件验收执行情况，常见质量问题控制情况，不合格报告闭合及整改通知闭合情况等。</w:t>
      </w:r>
    </w:p>
    <w:p>
      <w:pPr>
        <w:pStyle w:val="4"/>
        <w:pageBreakBefore w:val="0"/>
        <w:widowControl w:val="0"/>
        <w:kinsoku/>
        <w:wordWrap/>
        <w:overflowPunct/>
        <w:topLinePunct w:val="0"/>
        <w:bidi w:val="0"/>
        <w:adjustRightInd/>
        <w:spacing w:before="0" w:after="0" w:line="590" w:lineRule="exact"/>
        <w:ind w:firstLine="643"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（二）检查结果</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本次共检查6个标段，每个标段抽取1座车站，涉及12家单位（施工单位9家、监理单位3家）。抽查发现质量问题共107条，其中施工问题97条（质量行为类16条、工程资料类21条、实体质量类60条），监理问题10条。抽检材料共计22组，其中15组合格，7组检测中。</w:t>
      </w:r>
    </w:p>
    <w:p>
      <w:pPr>
        <w:pStyle w:val="4"/>
        <w:pageBreakBefore w:val="0"/>
        <w:widowControl w:val="0"/>
        <w:kinsoku/>
        <w:wordWrap/>
        <w:overflowPunct/>
        <w:topLinePunct w:val="0"/>
        <w:bidi w:val="0"/>
        <w:adjustRightInd/>
        <w:spacing w:before="0" w:after="0" w:line="590" w:lineRule="exact"/>
        <w:ind w:firstLine="643"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（三）监督处置</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针对检查发现的问题，我站签发工程质量整改通知书7份。截至目前，影响下道工序施工的现场实体质量问题已整改到位，重点问题均已经我站现场复查。</w:t>
      </w:r>
    </w:p>
    <w:p>
      <w:pPr>
        <w:pStyle w:val="4"/>
        <w:pageBreakBefore w:val="0"/>
        <w:widowControl w:val="0"/>
        <w:kinsoku/>
        <w:wordWrap/>
        <w:overflowPunct/>
        <w:topLinePunct w:val="0"/>
        <w:bidi w:val="0"/>
        <w:adjustRightInd/>
        <w:spacing w:before="0" w:after="0" w:line="590" w:lineRule="exact"/>
        <w:ind w:firstLine="643"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（四）总体评价</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从本次检查情况来看，大部分单位能重视质量管控工作，工程质量总体处于受控状态，但现场仍存在施工与设计不符，质量管控不到位，隐蔽工程验收把关不严，工序资料的签认不及时，台账、日志记录不详实等问题，亟需进一步压实各方质量责任，提升各方质量意识，增强各方履职能力，严格落实有关文件规定，多措并举予以改进提升。</w:t>
      </w:r>
    </w:p>
    <w:p>
      <w:pPr>
        <w:pStyle w:val="3"/>
        <w:pageBreakBefore w:val="0"/>
        <w:widowControl w:val="0"/>
        <w:kinsoku/>
        <w:wordWrap/>
        <w:overflowPunct/>
        <w:topLinePunct w:val="0"/>
        <w:bidi w:val="0"/>
        <w:adjustRightInd/>
        <w:spacing w:line="59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二、相对较好方面</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（一）大部分标段出入口钢结构雨棚采用全断面镀锌铁皮铺设，不留设纵缝，沿坡度方向顺坡横向搭接，铁皮上方增设一道防水卷材，有效压降出入口钢结构雨棚的渗漏隐患。</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（二）大部分标段站厅层公共区离壁沟防水施工规范，观感质量较好。离壁沟排水坡度，防水涂料涂刷高度、厚度均满足设计要求，离壁沟基本无积水、杂物。</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zh-TW" w:eastAsia="zh-CN" w:bidi="ar-SA"/>
        </w:rPr>
      </w:pPr>
      <w:r>
        <w:rPr>
          <w:rFonts w:hint="default" w:ascii="Times New Roman" w:hAnsi="Times New Roman" w:eastAsia="方正仿宋_GBK" w:cs="Times New Roman"/>
          <w:snapToGrid w:val="0"/>
          <w:sz w:val="32"/>
          <w:szCs w:val="20"/>
          <w:lang w:val="en-US" w:eastAsia="zh-CN" w:bidi="ar-SA"/>
        </w:rPr>
        <w:t>（三）大部分标段通过精确测量、放线、排版，充分考虑地面石材、墙、顶材料的模数关系，最终实现墙顶地“三缝合一”，整体观感质量较好。</w:t>
      </w:r>
    </w:p>
    <w:p>
      <w:pPr>
        <w:pStyle w:val="3"/>
        <w:pageBreakBefore w:val="0"/>
        <w:widowControl w:val="0"/>
        <w:kinsoku/>
        <w:wordWrap/>
        <w:overflowPunct/>
        <w:topLinePunct w:val="0"/>
        <w:bidi w:val="0"/>
        <w:adjustRightInd/>
        <w:spacing w:line="59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三、相对严重问题</w:t>
      </w:r>
    </w:p>
    <w:p>
      <w:pPr>
        <w:pageBreakBefore w:val="0"/>
        <w:widowControl w:val="0"/>
        <w:kinsoku/>
        <w:wordWrap/>
        <w:overflowPunct/>
        <w:topLinePunct w:val="0"/>
        <w:bidi w:val="0"/>
        <w:adjustRightInd/>
        <w:spacing w:line="590" w:lineRule="exact"/>
        <w:ind w:firstLine="640" w:firstLineChars="200"/>
        <w:textAlignment w:val="auto"/>
        <w:rPr>
          <w:rFonts w:hint="default" w:ascii="Times New Roman" w:hAnsi="Times New Roman" w:eastAsia="仿宋" w:cs="Times New Roman"/>
          <w:bCs/>
          <w:color w:val="auto"/>
          <w:sz w:val="32"/>
          <w:szCs w:val="32"/>
          <w:lang w:eastAsia="zh-CN"/>
        </w:rPr>
      </w:pPr>
      <w:r>
        <w:rPr>
          <w:rFonts w:hint="default" w:ascii="Times New Roman" w:hAnsi="Times New Roman" w:eastAsia="仿宋" w:cs="Times New Roman"/>
          <w:bCs/>
          <w:color w:val="auto"/>
          <w:sz w:val="32"/>
          <w:szCs w:val="32"/>
          <w:lang w:eastAsia="zh-CN"/>
        </w:rPr>
        <w:t>在本次检查中，发现的相对严重问题如下：</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（一）个别标段主要管理人员履职不到位，如：2号线公装04标项目技术负责人未在岗履职。</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（二）站厅层栏杆立杆间距，立杆与柱体、墙体间隙大于设计及规范要求，如：2号线公装01标、02标、04标。</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（三）T型楼梯靠墙扶手外边缘与墙面水平净距不符合设计及规范要求，如：2号线公装01标、03标、04标。</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（四）挡烟垂壁施工不符合设计要求，如：2号线公装02标、03标、04标、1号线公装03标。</w:t>
      </w:r>
    </w:p>
    <w:p>
      <w:pPr>
        <w:pStyle w:val="3"/>
        <w:pageBreakBefore w:val="0"/>
        <w:widowControl w:val="0"/>
        <w:kinsoku/>
        <w:wordWrap/>
        <w:overflowPunct/>
        <w:topLinePunct w:val="0"/>
        <w:bidi w:val="0"/>
        <w:adjustRightInd/>
        <w:spacing w:line="59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四、施工项目部存在的其他主要问题</w:t>
      </w:r>
    </w:p>
    <w:p>
      <w:pPr>
        <w:pStyle w:val="4"/>
        <w:pageBreakBefore w:val="0"/>
        <w:widowControl w:val="0"/>
        <w:kinsoku/>
        <w:wordWrap/>
        <w:overflowPunct/>
        <w:topLinePunct w:val="0"/>
        <w:bidi w:val="0"/>
        <w:adjustRightInd/>
        <w:spacing w:before="0" w:after="0" w:line="590" w:lineRule="exact"/>
        <w:ind w:firstLine="643"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（一）质量行为方面</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1. 未及时、同步收集整理施工质量控制资料。如检验批质量验收资料报验不及时。</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2. 专项施工方案的编制针对性不强，内容摘抄。如钢结构专项施工方案编制不及时，内容不准确，未按相关要求进行交底。</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3. 质量管控体系与责任制度落实不到位。如监理单位发出的通知单回复不及时，施工项目部未配置齐全与工程相适应的规范、标准。</w:t>
      </w:r>
    </w:p>
    <w:p>
      <w:pPr>
        <w:pStyle w:val="4"/>
        <w:pageBreakBefore w:val="0"/>
        <w:widowControl w:val="0"/>
        <w:kinsoku/>
        <w:wordWrap/>
        <w:overflowPunct/>
        <w:topLinePunct w:val="0"/>
        <w:bidi w:val="0"/>
        <w:adjustRightInd/>
        <w:spacing w:before="0" w:after="0" w:line="590" w:lineRule="exact"/>
        <w:ind w:firstLine="643"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（二）工程资料方面</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1. 材料管理不规范：原材进场台账更新不及时，记录内容不完整。</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2. 材料报审不及时：防火卷帘、防火玻璃、防火门等未及时报审。</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3. 施工检测仪器（涂膜厚度测定仪、扭矩扳手等）未按规定进行检定或校准。</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4. 质量验收不规范：未按照“三检”制度开展质量验收，“三检”记录不齐全。</w:t>
      </w:r>
    </w:p>
    <w:p>
      <w:pPr>
        <w:pStyle w:val="4"/>
        <w:pageBreakBefore w:val="0"/>
        <w:widowControl w:val="0"/>
        <w:kinsoku/>
        <w:wordWrap/>
        <w:overflowPunct/>
        <w:topLinePunct w:val="0"/>
        <w:bidi w:val="0"/>
        <w:adjustRightInd/>
        <w:spacing w:before="0" w:after="0" w:line="590" w:lineRule="exact"/>
        <w:ind w:firstLine="643" w:firstLineChars="200"/>
        <w:textAlignment w:val="auto"/>
        <w:rPr>
          <w:rFonts w:hint="default" w:ascii="Times New Roman" w:hAnsi="Times New Roman" w:eastAsia="方正楷体_GBK" w:cs="Times New Roman"/>
          <w:lang w:val="en-US" w:eastAsia="zh-CN"/>
        </w:rPr>
      </w:pPr>
      <w:r>
        <w:rPr>
          <w:rFonts w:hint="default" w:ascii="Times New Roman" w:hAnsi="Times New Roman" w:eastAsia="方正楷体_GBK" w:cs="Times New Roman"/>
          <w:lang w:val="en-US" w:eastAsia="zh-CN"/>
        </w:rPr>
        <w:t>（三）实体质量方面</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1. 无障碍设施施工不符合要求：出入口平台电扶梯处、无障碍电梯门处盲道设置不符合设计要求，T型楼梯扶手端部盲文设置不符合设计要求。</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2. 电气工程施工不符合要求：墙面龙骨等电位连接缺失，接线盒与导管跨接线连接不规范，接地扁铁连接不规范，疏散指示灯具、广告灯箱接线不规范。</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3. 吊顶工程施工不符合要求：吊顶次龙骨端部悬挑大于300mm、未与龙骨连接，长度大于1.5m的吊杆未设置反向支撑，吊顶龙骨安装于机电综合支架且未提供设计文件。</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4. 扶手及饰面板工程不符合要求：靠墙扶手连接件未采用后置埋板连接，墙板镀锌角码长度尺寸偏差大，墙面镀锌角码与龙骨未连接，U型龙骨缺失。</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5. 站内排水系统不畅通：人防门位置处离壁沟找坡不到位，离壁沟杂物未清理，离壁沟地漏位置处防水细部处理不到位，出入口截水沟泄水口堵塞。</w:t>
      </w:r>
    </w:p>
    <w:p>
      <w:pPr>
        <w:pStyle w:val="3"/>
        <w:pageBreakBefore w:val="0"/>
        <w:widowControl w:val="0"/>
        <w:kinsoku/>
        <w:wordWrap/>
        <w:overflowPunct/>
        <w:topLinePunct w:val="0"/>
        <w:bidi w:val="0"/>
        <w:adjustRightInd/>
        <w:spacing w:line="59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五、监理机构存在的主要问题</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（一）监理履职方面问题：总监理工程师请假未履行相关请假手续；监理例会组织频率偏低；质量类通知单签发较少，与现场质量管控不匹配。</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zh-TW" w:eastAsia="zh-CN" w:bidi="ar-SA"/>
        </w:rPr>
      </w:pPr>
      <w:r>
        <w:rPr>
          <w:rFonts w:hint="default" w:ascii="Times New Roman" w:hAnsi="Times New Roman" w:eastAsia="方正仿宋_GBK" w:cs="Times New Roman"/>
          <w:snapToGrid w:val="0"/>
          <w:sz w:val="32"/>
          <w:szCs w:val="20"/>
          <w:lang w:val="en-US" w:eastAsia="zh-CN" w:bidi="ar-SA"/>
        </w:rPr>
        <w:t>（二）查核与验收方面问题：对材料进场把关不严，未及时更新监理见证取样台账，未严格履行监理报告制度。</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cs="Times New Roman"/>
          <w:lang w:eastAsia="zh-CN"/>
        </w:rPr>
      </w:pPr>
      <w:r>
        <w:rPr>
          <w:rFonts w:hint="default" w:ascii="Times New Roman" w:hAnsi="Times New Roman" w:eastAsia="方正仿宋_GBK" w:cs="Times New Roman"/>
          <w:snapToGrid w:val="0"/>
          <w:sz w:val="32"/>
          <w:szCs w:val="20"/>
          <w:lang w:val="en-US" w:eastAsia="zh-CN" w:bidi="ar-SA"/>
        </w:rPr>
        <w:t>（三）</w:t>
      </w:r>
      <w:r>
        <w:rPr>
          <w:rFonts w:hint="default" w:ascii="Times New Roman" w:hAnsi="Times New Roman" w:eastAsia="方正仿宋_GBK" w:cs="Times New Roman"/>
          <w:snapToGrid w:val="0"/>
          <w:sz w:val="32"/>
          <w:szCs w:val="20"/>
          <w:lang w:val="zh-TW" w:eastAsia="zh-CN" w:bidi="ar-SA"/>
        </w:rPr>
        <w:t>问题处理方面存在问题：对现场常见质量问题的管控不到位，对</w:t>
      </w:r>
      <w:r>
        <w:rPr>
          <w:rFonts w:hint="default" w:ascii="Times New Roman" w:hAnsi="Times New Roman" w:eastAsia="方正仿宋_GBK" w:cs="Times New Roman"/>
          <w:snapToGrid w:val="0"/>
          <w:sz w:val="32"/>
          <w:szCs w:val="20"/>
          <w:lang w:val="en-US" w:eastAsia="zh-CN" w:bidi="ar-SA"/>
        </w:rPr>
        <w:t>监理通知单（质量类）的回复把关不严。</w:t>
      </w:r>
    </w:p>
    <w:p>
      <w:pPr>
        <w:pStyle w:val="3"/>
        <w:pageBreakBefore w:val="0"/>
        <w:widowControl w:val="0"/>
        <w:kinsoku/>
        <w:wordWrap/>
        <w:overflowPunct/>
        <w:topLinePunct w:val="0"/>
        <w:bidi w:val="0"/>
        <w:adjustRightInd/>
        <w:spacing w:line="590" w:lineRule="exact"/>
        <w:textAlignment w:val="auto"/>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t>六、下一步工作要求</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一）装饰装修作为轨道交通工程的“面子”工程，建设单位应充分认识到装饰装修工程的重要性，要以“创优”的标准督促各责任主体增强质量意识，进一步强化细节管控，优化设计，提升2号线装修品质。公装标段已陆续进入施工尾声，建设单位应督促施工单位尽快完成收边收口工作，逐一核对验收条件，完善验收资料，核验通过后方组织子单位工程验收，确保高质量通过子单位工程验收。</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二）设计单位应定期或不定期地核查现场按图施工情况，现场若有与施工图不符的情况，应及时向建设、施工和监理单位进行反馈；现场若有设计不合理或可优化提升的情况，应及时向建设单位反馈，及时完善书面变更手续；对施工单位提出的有关设计方面的问题，应认真核查并出具书面意见</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三）施工单位必须进一步提升质量意识，强化责任落实，主要人员必须严格按照合同要求在岗履职到位，不得盲目抢进度，赶工期；坚持“材料先检验后使用，工序先验收后隐蔽”的原则，严格按经审查合格的图纸及相关规范标准进行施工，保证工程质量始终处于受控状态；加强站内排水系统的排查处理，加强离壁沟、截水沟的找坡、清理及防水施工、地漏位置处等部位防水细部构造质量控制；重视细部节点做法，重点关注挡烟垂壁端部围闭，钢结构顶棚，盲道设置，导向标识等。</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zh-TW" w:eastAsia="zh-CN" w:bidi="ar-SA"/>
        </w:rPr>
      </w:pPr>
      <w:r>
        <w:rPr>
          <w:rFonts w:hint="default" w:ascii="Times New Roman" w:hAnsi="Times New Roman" w:eastAsia="方正仿宋_GBK" w:cs="Times New Roman"/>
          <w:snapToGrid w:val="0"/>
          <w:sz w:val="32"/>
          <w:szCs w:val="20"/>
          <w:lang w:val="en-US" w:eastAsia="zh-CN" w:bidi="ar-SA"/>
        </w:rPr>
        <w:t>（四）</w:t>
      </w:r>
      <w:r>
        <w:rPr>
          <w:rFonts w:hint="default" w:ascii="Times New Roman" w:hAnsi="Times New Roman" w:eastAsia="方正仿宋_GBK" w:cs="Times New Roman"/>
          <w:snapToGrid w:val="0"/>
          <w:sz w:val="32"/>
          <w:szCs w:val="20"/>
          <w:lang w:val="zh-TW" w:eastAsia="zh-CN" w:bidi="ar-SA"/>
        </w:rPr>
        <w:t>监理单位应按照合同约定以及相关文件要求，切实履行监理职责。严格把好原材进场验收关，对需复验的材料严格落实见证取样制度，建立并及时更新见证取样台账；做好重点部位、关键部位的隐蔽工程验收工作，按照相关规范要求及监理旁站方案要求做好旁站工作，并如实准确做好旁站记录；签发的质量类整改通知单位应做好跟踪落实，督促施工单位限期整改闭合；按照相关要求做好监理报告制度，准确、及时反馈现场质量管控状态。</w:t>
      </w:r>
    </w:p>
    <w:p>
      <w:pPr>
        <w:pageBreakBefore w:val="0"/>
        <w:widowControl w:val="0"/>
        <w:kinsoku/>
        <w:wordWrap/>
        <w:overflowPunct/>
        <w:topLinePunct w:val="0"/>
        <w:autoSpaceDE w:val="0"/>
        <w:autoSpaceDN w:val="0"/>
        <w:bidi w:val="0"/>
        <w:adjustRightInd/>
        <w:snapToGrid w:val="0"/>
        <w:spacing w:line="590" w:lineRule="exact"/>
        <w:ind w:left="0" w:leftChars="0" w:firstLine="640" w:firstLineChars="200"/>
        <w:jc w:val="both"/>
        <w:textAlignment w:val="auto"/>
        <w:rPr>
          <w:rFonts w:hint="default" w:ascii="Times New Roman" w:hAnsi="Times New Roman" w:eastAsia="方正仿宋_GBK" w:cs="Times New Roman"/>
          <w:snapToGrid w:val="0"/>
          <w:sz w:val="32"/>
          <w:szCs w:val="20"/>
          <w:lang w:val="zh-TW" w:eastAsia="zh-CN" w:bidi="ar-SA"/>
        </w:rPr>
      </w:pPr>
      <w:r>
        <w:rPr>
          <w:rFonts w:hint="default" w:ascii="Times New Roman" w:hAnsi="Times New Roman" w:eastAsia="方正仿宋_GBK" w:cs="Times New Roman"/>
          <w:snapToGrid w:val="0"/>
          <w:sz w:val="32"/>
          <w:szCs w:val="20"/>
          <w:lang w:val="en-US" w:eastAsia="zh-CN" w:bidi="ar-SA"/>
        </w:rPr>
        <w:t>（五）</w:t>
      </w:r>
      <w:r>
        <w:rPr>
          <w:rFonts w:hint="default" w:ascii="Times New Roman" w:hAnsi="Times New Roman" w:eastAsia="方正仿宋_GBK" w:cs="Times New Roman"/>
          <w:snapToGrid w:val="0"/>
          <w:sz w:val="32"/>
          <w:szCs w:val="20"/>
          <w:lang w:val="zh-TW" w:eastAsia="zh-CN" w:bidi="ar-SA"/>
        </w:rPr>
        <w:t>建设单位应组织各单位对照本次检查发现的问题，对全线进行排查、举一反三；针对本次飞行检查中发现质量问题较多的标段，我站将列入日常重点监管范围，实行差别化监管。</w:t>
      </w:r>
    </w:p>
    <w:p>
      <w:pPr>
        <w:pageBreakBefore w:val="0"/>
        <w:widowControl w:val="0"/>
        <w:kinsoku/>
        <w:wordWrap/>
        <w:overflowPunct/>
        <w:topLinePunct w:val="0"/>
        <w:bidi w:val="0"/>
        <w:adjustRightInd/>
        <w:spacing w:line="590" w:lineRule="exact"/>
        <w:ind w:firstLine="480" w:firstLineChars="200"/>
        <w:textAlignment w:val="auto"/>
        <w:rPr>
          <w:rFonts w:hint="default" w:ascii="Times New Roman" w:hAnsi="Times New Roman" w:eastAsia="仿宋" w:cs="Times New Roman"/>
          <w:lang w:eastAsia="zh-CN"/>
        </w:rPr>
      </w:pPr>
    </w:p>
    <w:p>
      <w:pPr>
        <w:pageBreakBefore w:val="0"/>
        <w:widowControl w:val="0"/>
        <w:kinsoku/>
        <w:wordWrap/>
        <w:overflowPunct/>
        <w:topLinePunct w:val="0"/>
        <w:bidi w:val="0"/>
        <w:adjustRightInd/>
        <w:spacing w:line="590" w:lineRule="exact"/>
        <w:ind w:firstLine="480" w:firstLineChars="200"/>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cs="Times New Roman"/>
          <w:lang w:eastAsia="zh-CN"/>
        </w:rPr>
      </w:pPr>
      <w:r>
        <w:rPr>
          <w:rFonts w:hint="default" w:ascii="Times New Roman" w:hAnsi="Times New Roman" w:eastAsia="仿宋" w:cs="Times New Roman"/>
          <w:bCs/>
          <w:sz w:val="32"/>
          <w:szCs w:val="32"/>
        </w:rPr>
        <w:t>附件</w:t>
      </w:r>
      <w:r>
        <w:rPr>
          <w:rFonts w:hint="default" w:ascii="Times New Roman" w:hAnsi="Times New Roman" w:eastAsia="仿宋" w:cs="Times New Roman"/>
          <w:bCs/>
          <w:sz w:val="32"/>
          <w:szCs w:val="32"/>
          <w:lang w:eastAsia="zh-CN"/>
        </w:rPr>
        <w:t>：重要原材料抽检结果汇总表</w:t>
      </w:r>
    </w:p>
    <w:p>
      <w:pPr>
        <w:pageBreakBefore w:val="0"/>
        <w:widowControl w:val="0"/>
        <w:kinsoku/>
        <w:wordWrap/>
        <w:overflowPunct/>
        <w:topLinePunct w:val="0"/>
        <w:bidi w:val="0"/>
        <w:adjustRightInd/>
        <w:spacing w:line="590" w:lineRule="exact"/>
        <w:ind w:left="4470" w:leftChars="1596" w:hanging="640" w:hangingChars="200"/>
        <w:jc w:val="right"/>
        <w:textAlignment w:val="auto"/>
        <w:rPr>
          <w:rFonts w:hint="default" w:ascii="Times New Roman" w:hAnsi="Times New Roman" w:eastAsia="仿宋" w:cs="Times New Roman"/>
          <w:bCs/>
          <w:sz w:val="32"/>
          <w:szCs w:val="32"/>
          <w:lang w:eastAsia="zh-CN"/>
        </w:rPr>
      </w:pPr>
    </w:p>
    <w:p>
      <w:pPr>
        <w:pageBreakBefore w:val="0"/>
        <w:widowControl w:val="0"/>
        <w:kinsoku/>
        <w:wordWrap/>
        <w:overflowPunct/>
        <w:topLinePunct w:val="0"/>
        <w:autoSpaceDE w:val="0"/>
        <w:autoSpaceDN w:val="0"/>
        <w:bidi w:val="0"/>
        <w:adjustRightInd/>
        <w:snapToGrid w:val="0"/>
        <w:spacing w:line="590" w:lineRule="exact"/>
        <w:ind w:firstLine="624"/>
        <w:jc w:val="both"/>
        <w:textAlignment w:val="auto"/>
        <w:rPr>
          <w:rFonts w:hint="default" w:ascii="Times New Roman" w:hAnsi="Times New Roman" w:eastAsia="方正仿宋_GBK" w:cs="Times New Roman"/>
          <w:snapToGrid w:val="0"/>
          <w:sz w:val="32"/>
          <w:szCs w:val="20"/>
          <w:lang w:val="en-US" w:eastAsia="zh-CN" w:bidi="ar-SA"/>
        </w:rPr>
      </w:pPr>
    </w:p>
    <w:p>
      <w:pPr>
        <w:pageBreakBefore w:val="0"/>
        <w:widowControl w:val="0"/>
        <w:kinsoku/>
        <w:wordWrap/>
        <w:overflowPunct/>
        <w:topLinePunct w:val="0"/>
        <w:autoSpaceDE w:val="0"/>
        <w:autoSpaceDN w:val="0"/>
        <w:bidi w:val="0"/>
        <w:adjustRightInd/>
        <w:snapToGrid w:val="0"/>
        <w:spacing w:line="590" w:lineRule="exact"/>
        <w:ind w:right="444" w:rightChars="185" w:firstLine="624"/>
        <w:jc w:val="right"/>
        <w:textAlignment w:val="auto"/>
        <w:rPr>
          <w:rFonts w:hint="default" w:ascii="Times New Roman" w:hAnsi="Times New Roman" w:eastAsia="方正仿宋_GBK" w:cs="Times New Roman"/>
          <w:snapToGrid w:val="0"/>
          <w:sz w:val="32"/>
          <w:szCs w:val="20"/>
          <w:lang w:val="en-US" w:eastAsia="zh-CN" w:bidi="ar-SA"/>
        </w:rPr>
      </w:pPr>
      <w:r>
        <w:rPr>
          <w:rFonts w:hint="default" w:ascii="Times New Roman" w:hAnsi="Times New Roman" w:eastAsia="方正仿宋_GBK" w:cs="Times New Roman"/>
          <w:snapToGrid w:val="0"/>
          <w:sz w:val="32"/>
          <w:szCs w:val="20"/>
          <w:lang w:val="en-US" w:eastAsia="zh-CN" w:bidi="ar-SA"/>
        </w:rPr>
        <w:t>南通市建设工程质量监督站</w:t>
      </w:r>
    </w:p>
    <w:p>
      <w:pPr>
        <w:pageBreakBefore w:val="0"/>
        <w:widowControl w:val="0"/>
        <w:kinsoku/>
        <w:wordWrap/>
        <w:overflowPunct/>
        <w:topLinePunct w:val="0"/>
        <w:bidi w:val="0"/>
        <w:adjustRightInd/>
        <w:spacing w:line="590" w:lineRule="exact"/>
        <w:ind w:left="3605" w:leftChars="1502" w:firstLine="220" w:firstLineChars="69"/>
        <w:jc w:val="center"/>
        <w:textAlignment w:val="auto"/>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 xml:space="preserve">  2023年</w:t>
      </w:r>
      <w:r>
        <w:rPr>
          <w:rFonts w:hint="default" w:ascii="Times New Roman" w:hAnsi="Times New Roman" w:eastAsia="仿宋" w:cs="Times New Roman"/>
          <w:bCs/>
          <w:sz w:val="32"/>
          <w:szCs w:val="32"/>
          <w:lang w:val="en-US" w:eastAsia="zh-CN"/>
        </w:rPr>
        <w:t>7</w:t>
      </w:r>
      <w:r>
        <w:rPr>
          <w:rFonts w:hint="default" w:ascii="Times New Roman" w:hAnsi="Times New Roman" w:eastAsia="仿宋" w:cs="Times New Roman"/>
          <w:bCs/>
          <w:sz w:val="32"/>
          <w:szCs w:val="32"/>
          <w:lang w:eastAsia="zh-CN"/>
        </w:rPr>
        <w:t>月</w:t>
      </w:r>
      <w:r>
        <w:rPr>
          <w:rFonts w:hint="default" w:ascii="Times New Roman" w:hAnsi="Times New Roman" w:eastAsia="仿宋" w:cs="Times New Roman"/>
          <w:bCs/>
          <w:sz w:val="32"/>
          <w:szCs w:val="32"/>
          <w:lang w:val="en-US" w:eastAsia="zh-CN"/>
        </w:rPr>
        <w:t>10</w:t>
      </w:r>
      <w:r>
        <w:rPr>
          <w:rFonts w:hint="default" w:ascii="Times New Roman" w:hAnsi="Times New Roman" w:eastAsia="仿宋" w:cs="Times New Roman"/>
          <w:bCs/>
          <w:sz w:val="32"/>
          <w:szCs w:val="32"/>
          <w:lang w:eastAsia="zh-CN"/>
        </w:rPr>
        <w:t>日</w:t>
      </w:r>
    </w:p>
    <w:p>
      <w:pPr>
        <w:pageBreakBefore w:val="0"/>
        <w:widowControl w:val="0"/>
        <w:kinsoku/>
        <w:wordWrap/>
        <w:overflowPunct/>
        <w:topLinePunct w:val="0"/>
        <w:bidi w:val="0"/>
        <w:adjustRightInd/>
        <w:spacing w:line="590" w:lineRule="exact"/>
        <w:textAlignment w:val="auto"/>
        <w:rPr>
          <w:rFonts w:hint="default" w:ascii="Times New Roman" w:hAnsi="Times New Roman" w:eastAsia="仿宋" w:cs="Times New Roman"/>
          <w:bCs/>
          <w:sz w:val="32"/>
          <w:szCs w:val="32"/>
          <w:lang w:eastAsia="zh-CN"/>
        </w:rPr>
      </w:pPr>
    </w:p>
    <w:p>
      <w:pPr>
        <w:pageBreakBefore w:val="0"/>
        <w:widowControl w:val="0"/>
        <w:kinsoku/>
        <w:wordWrap/>
        <w:overflowPunct/>
        <w:topLinePunct w:val="0"/>
        <w:bidi w:val="0"/>
        <w:adjustRightInd/>
        <w:spacing w:line="590" w:lineRule="exact"/>
        <w:ind w:firstLine="640" w:firstLineChars="200"/>
        <w:textAlignment w:val="auto"/>
        <w:rPr>
          <w:rFonts w:hint="default" w:ascii="Times New Roman" w:hAnsi="Times New Roman" w:eastAsia="宋体" w:cs="Times New Roman"/>
          <w:bCs/>
          <w:sz w:val="32"/>
          <w:szCs w:val="32"/>
          <w:lang w:eastAsia="zh-CN"/>
        </w:rPr>
      </w:pPr>
    </w:p>
    <w:p>
      <w:pPr>
        <w:pageBreakBefore w:val="0"/>
        <w:widowControl w:val="0"/>
        <w:kinsoku/>
        <w:wordWrap/>
        <w:overflowPunct/>
        <w:topLinePunct w:val="0"/>
        <w:bidi w:val="0"/>
        <w:adjustRightInd/>
        <w:spacing w:line="590" w:lineRule="exact"/>
        <w:textAlignment w:val="auto"/>
        <w:rPr>
          <w:rFonts w:hint="default" w:ascii="Times New Roman" w:hAnsi="Times New Roman" w:cs="Times New Roman"/>
        </w:rPr>
        <w:sectPr>
          <w:footerReference r:id="rId3" w:type="default"/>
          <w:pgSz w:w="11906" w:h="16838"/>
          <w:pgMar w:top="1814" w:right="1531" w:bottom="1984" w:left="1531"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bCs/>
          <w:sz w:val="32"/>
          <w:szCs w:val="32"/>
          <w:lang w:eastAsia="zh-CN"/>
        </w:rPr>
        <w:t>抄送：市住房和城乡建设局，南通城市轨道交通建设现场指挥部。</w:t>
      </w:r>
    </w:p>
    <w:p>
      <w:pPr>
        <w:spacing w:line="520" w:lineRule="exact"/>
        <w:rPr>
          <w:rFonts w:hint="default" w:ascii="Times New Roman" w:hAnsi="Times New Roman" w:eastAsia="方正黑体_GBK" w:cs="Times New Roman"/>
          <w:snapToGrid w:val="0"/>
          <w:sz w:val="32"/>
          <w:szCs w:val="32"/>
          <w:lang w:val="zh-TW" w:eastAsia="zh-CN" w:bidi="ar-SA"/>
        </w:rPr>
      </w:pPr>
      <w:bookmarkStart w:id="0" w:name="_GoBack"/>
      <w:bookmarkEnd w:id="0"/>
      <w:r>
        <w:rPr>
          <w:rFonts w:hint="default" w:ascii="Times New Roman" w:hAnsi="Times New Roman" w:eastAsia="方正黑体_GBK" w:cs="Times New Roman"/>
          <w:snapToGrid w:val="0"/>
          <w:sz w:val="32"/>
          <w:szCs w:val="32"/>
          <w:lang w:val="zh-TW" w:eastAsia="zh-CN" w:bidi="ar-SA"/>
        </w:rPr>
        <w:t>附件</w:t>
      </w:r>
    </w:p>
    <w:p>
      <w:pPr>
        <w:autoSpaceDE w:val="0"/>
        <w:autoSpaceDN w:val="0"/>
        <w:snapToGrid w:val="0"/>
        <w:spacing w:line="590" w:lineRule="atLeast"/>
        <w:ind w:firstLine="0"/>
        <w:jc w:val="center"/>
        <w:rPr>
          <w:rFonts w:hint="default" w:ascii="Times New Roman" w:hAnsi="Times New Roman" w:eastAsia="方正小标宋_GBK" w:cs="Times New Roman"/>
          <w:snapToGrid w:val="0"/>
          <w:sz w:val="44"/>
          <w:szCs w:val="44"/>
          <w:lang w:val="zh-TW" w:eastAsia="zh-CN" w:bidi="ar-SA"/>
        </w:rPr>
      </w:pPr>
      <w:r>
        <w:rPr>
          <w:rFonts w:hint="default" w:ascii="Times New Roman" w:hAnsi="Times New Roman" w:eastAsia="方正小标宋_GBK" w:cs="Times New Roman"/>
          <w:snapToGrid w:val="0"/>
          <w:sz w:val="44"/>
          <w:szCs w:val="44"/>
          <w:lang w:val="zh-TW" w:eastAsia="zh-CN" w:bidi="ar-SA"/>
        </w:rPr>
        <w:t>重要原材料抽检结果汇总表</w:t>
      </w:r>
    </w:p>
    <w:tbl>
      <w:tblPr>
        <w:tblStyle w:val="6"/>
        <w:tblW w:w="14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1749"/>
        <w:gridCol w:w="1904"/>
        <w:gridCol w:w="2011"/>
        <w:gridCol w:w="2119"/>
        <w:gridCol w:w="4305"/>
        <w:gridCol w:w="1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634"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lang w:eastAsia="zh-CN" w:bidi="ar"/>
              </w:rPr>
              <w:t>序号</w:t>
            </w:r>
          </w:p>
        </w:tc>
        <w:tc>
          <w:tcPr>
            <w:tcW w:w="1749"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lang w:eastAsia="zh-CN" w:bidi="ar"/>
              </w:rPr>
              <w:t>工程名称</w:t>
            </w:r>
          </w:p>
        </w:tc>
        <w:tc>
          <w:tcPr>
            <w:tcW w:w="1904"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lang w:eastAsia="zh-CN" w:bidi="ar"/>
              </w:rPr>
              <w:t>施工单位</w:t>
            </w:r>
          </w:p>
        </w:tc>
        <w:tc>
          <w:tcPr>
            <w:tcW w:w="2011"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lang w:eastAsia="zh-CN" w:bidi="ar"/>
              </w:rPr>
              <w:t>监理单位</w:t>
            </w:r>
          </w:p>
        </w:tc>
        <w:tc>
          <w:tcPr>
            <w:tcW w:w="2119"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lang w:eastAsia="zh-CN" w:bidi="ar"/>
              </w:rPr>
              <w:t>材料种类</w:t>
            </w:r>
          </w:p>
        </w:tc>
        <w:tc>
          <w:tcPr>
            <w:tcW w:w="4305"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lang w:eastAsia="zh-CN" w:bidi="ar"/>
              </w:rPr>
              <w:t>材料名称</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lang w:eastAsia="zh-CN" w:bidi="ar"/>
              </w:rPr>
              <w:t>检测结果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bidi="ar"/>
              </w:rPr>
              <w:t>1</w:t>
            </w:r>
          </w:p>
        </w:tc>
        <w:tc>
          <w:tcPr>
            <w:tcW w:w="1749"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bidi="ar"/>
              </w:rPr>
              <w:t>南通市城市轨道交通2号线一期车站公共区域装饰装修工程01标</w:t>
            </w:r>
          </w:p>
        </w:tc>
        <w:tc>
          <w:tcPr>
            <w:tcW w:w="1904" w:type="dxa"/>
            <w:vMerge w:val="restart"/>
            <w:tcBorders>
              <w:tl2br w:val="nil"/>
              <w:tr2bl w:val="nil"/>
            </w:tcBorders>
            <w:noWrap w:val="0"/>
            <w:tcMar>
              <w:top w:w="12" w:type="dxa"/>
              <w:left w:w="12" w:type="dxa"/>
              <w:right w:w="12" w:type="dxa"/>
            </w:tcMar>
            <w:vAlign w:val="center"/>
          </w:tcPr>
          <w:p>
            <w:pPr>
              <w:spacing w:line="36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中铁隧道集团机电工程有限公司与南通亨通建筑装饰安装有限公司联合体</w:t>
            </w:r>
          </w:p>
        </w:tc>
        <w:tc>
          <w:tcPr>
            <w:tcW w:w="2011" w:type="dxa"/>
            <w:vMerge w:val="restart"/>
            <w:tcBorders>
              <w:tl2br w:val="nil"/>
              <w:tr2bl w:val="nil"/>
            </w:tcBorders>
            <w:noWrap w:val="0"/>
            <w:tcMar>
              <w:top w:w="12" w:type="dxa"/>
              <w:left w:w="12" w:type="dxa"/>
              <w:right w:w="12" w:type="dxa"/>
            </w:tcMar>
            <w:vAlign w:val="center"/>
          </w:tcPr>
          <w:p>
            <w:pPr>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上海同济工程项目管理咨询有限公司</w:t>
            </w: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高强螺栓</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高强螺栓</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M12×50 10.9级</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交电缆</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交联聚烯烃绝缘电缆</w:t>
            </w:r>
          </w:p>
          <w:p>
            <w:pPr>
              <w:keepNext w:val="0"/>
              <w:keepLines w:val="0"/>
              <w:widowControl/>
              <w:suppressLineNumbers w:val="0"/>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i w:val="0"/>
                <w:iCs w:val="0"/>
                <w:color w:val="000000"/>
                <w:kern w:val="0"/>
                <w:sz w:val="21"/>
                <w:szCs w:val="21"/>
                <w:u w:val="none"/>
                <w:lang w:val="en-US" w:eastAsia="zh-CN" w:bidi="ar"/>
              </w:rPr>
              <w:t>WDZB-BYJ 450/750 1×2.5</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瓷砖</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仿古砖</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600mm×600mm×9.5mm</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油漆</w:t>
            </w:r>
          </w:p>
        </w:tc>
        <w:tc>
          <w:tcPr>
            <w:tcW w:w="4305" w:type="dxa"/>
            <w:tcBorders>
              <w:tl2br w:val="nil"/>
              <w:tr2bl w:val="nil"/>
            </w:tcBorders>
            <w:noWrap w:val="0"/>
            <w:tcMar>
              <w:top w:w="12" w:type="dxa"/>
              <w:left w:w="12" w:type="dxa"/>
              <w:right w:w="12" w:type="dxa"/>
            </w:tcMar>
            <w:vAlign w:val="center"/>
          </w:tcPr>
          <w:p>
            <w:pPr>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环氧富锌底漆（双组份）</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634"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2</w:t>
            </w:r>
          </w:p>
        </w:tc>
        <w:tc>
          <w:tcPr>
            <w:tcW w:w="1749"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南通市城市轨道交通2号线一期车站公共区域装饰装修工程02标</w:t>
            </w:r>
          </w:p>
        </w:tc>
        <w:tc>
          <w:tcPr>
            <w:tcW w:w="1904" w:type="dxa"/>
            <w:vMerge w:val="restart"/>
            <w:tcBorders>
              <w:tl2br w:val="nil"/>
              <w:tr2bl w:val="nil"/>
            </w:tcBorders>
            <w:noWrap w:val="0"/>
            <w:tcMar>
              <w:top w:w="12" w:type="dxa"/>
              <w:left w:w="12" w:type="dxa"/>
              <w:right w:w="12" w:type="dxa"/>
            </w:tcMar>
            <w:vAlign w:val="center"/>
          </w:tcPr>
          <w:p>
            <w:pPr>
              <w:spacing w:line="36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中铁十七局集团电气化工程有限公司与南通蓝星装饰工程有限公司联合体</w:t>
            </w:r>
          </w:p>
        </w:tc>
        <w:tc>
          <w:tcPr>
            <w:tcW w:w="2011"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上海同济工程项目管理咨询有限公司</w:t>
            </w: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水泥</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普通硅酸盐水泥42.5</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花岗石</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白麻花岗石</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800×800×25mm</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涂料</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无机涂料</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QB456 白色 一等品</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灯具</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LED面板灯</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2000×1200mm 220V 24W</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3</w:t>
            </w:r>
          </w:p>
        </w:tc>
        <w:tc>
          <w:tcPr>
            <w:tcW w:w="1749"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南通市城市轨道交通2号线一期车站公共区域装饰装修工程03标</w:t>
            </w:r>
          </w:p>
        </w:tc>
        <w:tc>
          <w:tcPr>
            <w:tcW w:w="1904"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南京国豪装饰安装工程股份有限公司</w:t>
            </w:r>
          </w:p>
        </w:tc>
        <w:tc>
          <w:tcPr>
            <w:tcW w:w="2011" w:type="dxa"/>
            <w:vMerge w:val="restart"/>
            <w:tcBorders>
              <w:tl2br w:val="nil"/>
              <w:tr2bl w:val="nil"/>
            </w:tcBorders>
            <w:noWrap w:val="0"/>
            <w:tcMar>
              <w:top w:w="12" w:type="dxa"/>
              <w:left w:w="12" w:type="dxa"/>
              <w:right w:w="12" w:type="dxa"/>
            </w:tcMar>
            <w:vAlign w:val="center"/>
          </w:tcPr>
          <w:p>
            <w:pPr>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上海地铁咨询监理科技有限公司</w:t>
            </w: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高强螺栓</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大六角头高强螺栓</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M16×65 10.9级</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电线</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交联聚烯烃绝缘电线</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WDZB-BYJ-450/750-2.5</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纤维水泥板</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纤维水泥板</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1000mm×1000mm×15mm</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腻子</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内墙耐水腻子粉N型</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4</w:t>
            </w:r>
          </w:p>
        </w:tc>
        <w:tc>
          <w:tcPr>
            <w:tcW w:w="1749"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南通市城市轨道交通2号线一期车站公共区域装饰装修工程04标</w:t>
            </w:r>
          </w:p>
        </w:tc>
        <w:tc>
          <w:tcPr>
            <w:tcW w:w="1904"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苏州柯利达装饰股份有限公司与通州建总集团联合体</w:t>
            </w:r>
          </w:p>
        </w:tc>
        <w:tc>
          <w:tcPr>
            <w:tcW w:w="2011" w:type="dxa"/>
            <w:vMerge w:val="restart"/>
            <w:tcBorders>
              <w:tl2br w:val="nil"/>
              <w:tr2bl w:val="nil"/>
            </w:tcBorders>
            <w:noWrap w:val="0"/>
            <w:tcMar>
              <w:top w:w="12" w:type="dxa"/>
              <w:left w:w="12" w:type="dxa"/>
              <w:right w:w="12" w:type="dxa"/>
            </w:tcMar>
            <w:vAlign w:val="center"/>
          </w:tcPr>
          <w:p>
            <w:pPr>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上海地铁咨询监理科技有限公司</w:t>
            </w: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高强螺栓</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大六角头高强螺栓</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M12×50 10.9级</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瓷砖</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瓷质抛釉砖300mm×600mm×9.2mm</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涂料</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无机涂料WJ-0007 合格品</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5</w:t>
            </w:r>
          </w:p>
        </w:tc>
        <w:tc>
          <w:tcPr>
            <w:tcW w:w="1749"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南通市城市轨道交通2号线一期车站公共区域装饰装修工程05标</w:t>
            </w:r>
          </w:p>
        </w:tc>
        <w:tc>
          <w:tcPr>
            <w:tcW w:w="1904"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南通市恒顺装饰工程有限公司</w:t>
            </w:r>
          </w:p>
        </w:tc>
        <w:tc>
          <w:tcPr>
            <w:tcW w:w="2011" w:type="dxa"/>
            <w:vMerge w:val="restart"/>
            <w:tcBorders>
              <w:tl2br w:val="nil"/>
              <w:tr2bl w:val="nil"/>
            </w:tcBorders>
            <w:noWrap w:val="0"/>
            <w:tcMar>
              <w:top w:w="12" w:type="dxa"/>
              <w:left w:w="12" w:type="dxa"/>
              <w:right w:w="12" w:type="dxa"/>
            </w:tcMar>
            <w:vAlign w:val="center"/>
          </w:tcPr>
          <w:p>
            <w:pPr>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上海同济工程项目管理咨询有限公司</w:t>
            </w:r>
            <w:r>
              <w:rPr>
                <w:rFonts w:hint="default" w:ascii="Times New Roman" w:hAnsi="Times New Roman" w:eastAsia="方正仿宋_GBK" w:cs="Times New Roman"/>
                <w:sz w:val="21"/>
                <w:szCs w:val="21"/>
                <w:lang w:eastAsia="zh-CN"/>
              </w:rPr>
              <w:t>与</w:t>
            </w:r>
            <w:r>
              <w:rPr>
                <w:rFonts w:hint="default" w:ascii="Times New Roman" w:hAnsi="Times New Roman" w:eastAsia="方正仿宋_GBK" w:cs="Times New Roman"/>
                <w:sz w:val="21"/>
                <w:szCs w:val="21"/>
              </w:rPr>
              <w:t>南通城市建设项目管理有限公司</w:t>
            </w:r>
            <w:r>
              <w:rPr>
                <w:rFonts w:hint="default" w:ascii="Times New Roman" w:hAnsi="Times New Roman" w:eastAsia="方正仿宋_GBK" w:cs="Times New Roman"/>
                <w:sz w:val="21"/>
                <w:szCs w:val="21"/>
                <w:lang w:eastAsia="zh-CN"/>
              </w:rPr>
              <w:t>联合体</w:t>
            </w: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槽钢</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镀锌槽钢</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Q235B 6.3#</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结果</w:t>
            </w:r>
            <w:r>
              <w:rPr>
                <w:rFonts w:hint="default" w:ascii="Times New Roman" w:hAnsi="Times New Roman" w:eastAsia="方正仿宋_GBK" w:cs="Times New Roman"/>
                <w:sz w:val="21"/>
                <w:szCs w:val="21"/>
                <w:lang w:val="en-US" w:eastAsia="zh-CN"/>
              </w:rPr>
              <w:t>待</w:t>
            </w:r>
            <w:r>
              <w:rPr>
                <w:rFonts w:hint="default" w:ascii="Times New Roman" w:hAnsi="Times New Roman" w:eastAsia="方正仿宋_GBK" w:cs="Times New Roman"/>
                <w:sz w:val="21"/>
                <w:szCs w:val="21"/>
                <w:lang w:eastAsia="zh-CN"/>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电线</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交联聚烯烃绝缘电线</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WDZB-BYJ 450/750V  2.5</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结果</w:t>
            </w:r>
            <w:r>
              <w:rPr>
                <w:rFonts w:hint="default" w:ascii="Times New Roman" w:hAnsi="Times New Roman" w:eastAsia="方正仿宋_GBK" w:cs="Times New Roman"/>
                <w:sz w:val="21"/>
                <w:szCs w:val="21"/>
                <w:lang w:val="en-US" w:eastAsia="zh-CN"/>
              </w:rPr>
              <w:t>待</w:t>
            </w:r>
            <w:r>
              <w:rPr>
                <w:rFonts w:hint="default" w:ascii="Times New Roman" w:hAnsi="Times New Roman" w:eastAsia="方正仿宋_GBK" w:cs="Times New Roman"/>
                <w:sz w:val="21"/>
                <w:szCs w:val="21"/>
                <w:lang w:eastAsia="zh-CN"/>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花岗岩</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芝麻白花岗岩</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800*800*25mm</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结果</w:t>
            </w:r>
            <w:r>
              <w:rPr>
                <w:rFonts w:hint="default" w:ascii="Times New Roman" w:hAnsi="Times New Roman" w:eastAsia="方正仿宋_GBK" w:cs="Times New Roman"/>
                <w:sz w:val="21"/>
                <w:szCs w:val="21"/>
                <w:lang w:val="en-US" w:eastAsia="zh-CN"/>
              </w:rPr>
              <w:t>待</w:t>
            </w:r>
            <w:r>
              <w:rPr>
                <w:rFonts w:hint="default" w:ascii="Times New Roman" w:hAnsi="Times New Roman" w:eastAsia="方正仿宋_GBK" w:cs="Times New Roman"/>
                <w:sz w:val="21"/>
                <w:szCs w:val="21"/>
                <w:lang w:eastAsia="zh-CN"/>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水泥</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普通硅酸盐水泥P.O 42.5</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结果</w:t>
            </w:r>
            <w:r>
              <w:rPr>
                <w:rFonts w:hint="default" w:ascii="Times New Roman" w:hAnsi="Times New Roman" w:eastAsia="方正仿宋_GBK" w:cs="Times New Roman"/>
                <w:sz w:val="21"/>
                <w:szCs w:val="21"/>
                <w:lang w:val="en-US" w:eastAsia="zh-CN"/>
              </w:rPr>
              <w:t>待</w:t>
            </w:r>
            <w:r>
              <w:rPr>
                <w:rFonts w:hint="default" w:ascii="Times New Roman" w:hAnsi="Times New Roman" w:eastAsia="方正仿宋_GBK" w:cs="Times New Roman"/>
                <w:sz w:val="21"/>
                <w:szCs w:val="21"/>
                <w:lang w:eastAsia="zh-CN"/>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涂料</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无机涂料</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WJ-0007合格品</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结果</w:t>
            </w:r>
            <w:r>
              <w:rPr>
                <w:rFonts w:hint="default" w:ascii="Times New Roman" w:hAnsi="Times New Roman" w:eastAsia="方正仿宋_GBK" w:cs="Times New Roman"/>
                <w:sz w:val="21"/>
                <w:szCs w:val="21"/>
                <w:lang w:val="en-US" w:eastAsia="zh-CN"/>
              </w:rPr>
              <w:t>待</w:t>
            </w:r>
            <w:r>
              <w:rPr>
                <w:rFonts w:hint="default" w:ascii="Times New Roman" w:hAnsi="Times New Roman" w:eastAsia="方正仿宋_GBK" w:cs="Times New Roman"/>
                <w:sz w:val="21"/>
                <w:szCs w:val="21"/>
                <w:lang w:eastAsia="zh-CN"/>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34"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6</w:t>
            </w:r>
          </w:p>
        </w:tc>
        <w:tc>
          <w:tcPr>
            <w:tcW w:w="1749"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南通市城市轨道交通1号线一期车站公共区域装饰装修工程03标</w:t>
            </w:r>
          </w:p>
        </w:tc>
        <w:tc>
          <w:tcPr>
            <w:tcW w:w="1904" w:type="dxa"/>
            <w:vMerge w:val="restart"/>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苏州美瑞德建筑装饰有限公司</w:t>
            </w:r>
          </w:p>
        </w:tc>
        <w:tc>
          <w:tcPr>
            <w:tcW w:w="2011" w:type="dxa"/>
            <w:vMerge w:val="restart"/>
            <w:tcBorders>
              <w:tl2br w:val="nil"/>
              <w:tr2bl w:val="nil"/>
            </w:tcBorders>
            <w:noWrap w:val="0"/>
            <w:tcMar>
              <w:top w:w="12" w:type="dxa"/>
              <w:left w:w="12" w:type="dxa"/>
              <w:right w:w="12" w:type="dxa"/>
            </w:tcMar>
            <w:vAlign w:val="center"/>
          </w:tcPr>
          <w:p>
            <w:pPr>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上海同济工程项目管理咨询有限公司</w:t>
            </w:r>
            <w:r>
              <w:rPr>
                <w:rFonts w:hint="default" w:ascii="Times New Roman" w:hAnsi="Times New Roman" w:eastAsia="方正仿宋_GBK" w:cs="Times New Roman"/>
                <w:sz w:val="21"/>
                <w:szCs w:val="21"/>
                <w:lang w:eastAsia="zh-CN"/>
              </w:rPr>
              <w:t>与</w:t>
            </w:r>
            <w:r>
              <w:rPr>
                <w:rFonts w:hint="default" w:ascii="Times New Roman" w:hAnsi="Times New Roman" w:eastAsia="方正仿宋_GBK" w:cs="Times New Roman"/>
                <w:sz w:val="21"/>
                <w:szCs w:val="21"/>
              </w:rPr>
              <w:t>南通城市建设项目管理有限公司</w:t>
            </w:r>
            <w:r>
              <w:rPr>
                <w:rFonts w:hint="default" w:ascii="Times New Roman" w:hAnsi="Times New Roman" w:eastAsia="方正仿宋_GBK" w:cs="Times New Roman"/>
                <w:sz w:val="21"/>
                <w:szCs w:val="21"/>
                <w:lang w:eastAsia="zh-CN"/>
              </w:rPr>
              <w:t>联合体</w:t>
            </w: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电缆</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交联聚烯烃绝缘电缆</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WDZB-BYJ-450/750-4</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结果</w:t>
            </w:r>
            <w:r>
              <w:rPr>
                <w:rFonts w:hint="default" w:ascii="Times New Roman" w:hAnsi="Times New Roman" w:eastAsia="方正仿宋_GBK" w:cs="Times New Roman"/>
                <w:sz w:val="21"/>
                <w:szCs w:val="21"/>
                <w:lang w:val="en-US" w:eastAsia="zh-CN"/>
              </w:rPr>
              <w:t>待</w:t>
            </w:r>
            <w:r>
              <w:rPr>
                <w:rFonts w:hint="default" w:ascii="Times New Roman" w:hAnsi="Times New Roman" w:eastAsia="方正仿宋_GBK" w:cs="Times New Roman"/>
                <w:sz w:val="21"/>
                <w:szCs w:val="21"/>
                <w:lang w:eastAsia="zh-CN"/>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jc w:val="center"/>
        </w:trPr>
        <w:tc>
          <w:tcPr>
            <w:tcW w:w="634" w:type="dxa"/>
            <w:vMerge w:val="continue"/>
            <w:tcBorders>
              <w:tl2br w:val="nil"/>
              <w:tr2bl w:val="nil"/>
            </w:tcBorders>
            <w:noWrap w:val="0"/>
            <w:tcMar>
              <w:top w:w="12" w:type="dxa"/>
              <w:left w:w="12" w:type="dxa"/>
              <w:right w:w="12" w:type="dxa"/>
            </w:tcMar>
            <w:vAlign w:val="center"/>
          </w:tcPr>
          <w:p>
            <w:pPr>
              <w:pStyle w:val="2"/>
              <w:ind w:left="0" w:leftChars="0" w:firstLine="0" w:firstLineChars="0"/>
              <w:jc w:val="center"/>
              <w:rPr>
                <w:rFonts w:hint="default" w:ascii="Times New Roman" w:hAnsi="Times New Roman" w:eastAsia="方正仿宋_GBK" w:cs="Times New Roman"/>
                <w:sz w:val="21"/>
                <w:szCs w:val="21"/>
                <w:lang w:val="en-US" w:eastAsia="zh-CN"/>
              </w:rPr>
            </w:pPr>
          </w:p>
        </w:tc>
        <w:tc>
          <w:tcPr>
            <w:tcW w:w="1749"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1904"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011" w:type="dxa"/>
            <w:vMerge w:val="continue"/>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rPr>
            </w:pPr>
          </w:p>
        </w:tc>
        <w:tc>
          <w:tcPr>
            <w:tcW w:w="2119"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密封胶</w:t>
            </w:r>
          </w:p>
        </w:tc>
        <w:tc>
          <w:tcPr>
            <w:tcW w:w="4305" w:type="dxa"/>
            <w:tcBorders>
              <w:tl2br w:val="nil"/>
              <w:tr2bl w:val="nil"/>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硅酮密封胶</w:t>
            </w:r>
          </w:p>
          <w:p>
            <w:pPr>
              <w:keepNext w:val="0"/>
              <w:keepLines w:val="0"/>
              <w:widowControl/>
              <w:suppressLineNumbers w:val="0"/>
              <w:jc w:val="center"/>
              <w:textAlignment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i w:val="0"/>
                <w:iCs w:val="0"/>
                <w:color w:val="000000"/>
                <w:kern w:val="0"/>
                <w:sz w:val="21"/>
                <w:szCs w:val="21"/>
                <w:u w:val="none"/>
                <w:lang w:val="en-US" w:eastAsia="zh-CN" w:bidi="ar"/>
              </w:rPr>
              <w:t>JS2000 GW-35HM</w:t>
            </w:r>
          </w:p>
        </w:tc>
        <w:tc>
          <w:tcPr>
            <w:tcW w:w="1606" w:type="dxa"/>
            <w:tcBorders>
              <w:tl2br w:val="nil"/>
              <w:tr2bl w:val="nil"/>
            </w:tcBorders>
            <w:noWrap w:val="0"/>
            <w:tcMar>
              <w:top w:w="12" w:type="dxa"/>
              <w:left w:w="12" w:type="dxa"/>
              <w:right w:w="12" w:type="dxa"/>
            </w:tcMar>
            <w:vAlign w:val="center"/>
          </w:tcPr>
          <w:p>
            <w:pPr>
              <w:widowControl/>
              <w:spacing w:line="400" w:lineRule="exact"/>
              <w:jc w:val="center"/>
              <w:textAlignment w:val="center"/>
              <w:rPr>
                <w:rFonts w:hint="default" w:ascii="Times New Roman" w:hAnsi="Times New Roman" w:eastAsia="方正仿宋_GBK" w:cs="Times New Roman"/>
                <w:sz w:val="21"/>
                <w:szCs w:val="21"/>
                <w:lang w:eastAsia="zh-CN" w:bidi="ar"/>
              </w:rPr>
            </w:pPr>
            <w:r>
              <w:rPr>
                <w:rFonts w:hint="default" w:ascii="Times New Roman" w:hAnsi="Times New Roman" w:eastAsia="方正仿宋_GBK" w:cs="Times New Roman"/>
                <w:sz w:val="21"/>
                <w:szCs w:val="21"/>
                <w:lang w:eastAsia="zh-CN"/>
              </w:rPr>
              <w:t>结果</w:t>
            </w:r>
            <w:r>
              <w:rPr>
                <w:rFonts w:hint="default" w:ascii="Times New Roman" w:hAnsi="Times New Roman" w:eastAsia="方正仿宋_GBK" w:cs="Times New Roman"/>
                <w:sz w:val="21"/>
                <w:szCs w:val="21"/>
                <w:lang w:val="en-US" w:eastAsia="zh-CN"/>
              </w:rPr>
              <w:t>待</w:t>
            </w:r>
            <w:r>
              <w:rPr>
                <w:rFonts w:hint="default" w:ascii="Times New Roman" w:hAnsi="Times New Roman" w:eastAsia="方正仿宋_GBK" w:cs="Times New Roman"/>
                <w:sz w:val="21"/>
                <w:szCs w:val="21"/>
                <w:lang w:eastAsia="zh-CN"/>
              </w:rPr>
              <w:t>出</w:t>
            </w:r>
          </w:p>
        </w:tc>
      </w:tr>
    </w:tbl>
    <w:p>
      <w:pPr>
        <w:rPr>
          <w:rFonts w:hint="eastAsia" w:ascii="Times New Roman" w:hAnsi="Times New Roman" w:eastAsia="宋体" w:cs="Times New Roman"/>
          <w:lang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-158115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12.45pt;height:144pt;width:144pt;mso-position-horizontal:outside;mso-position-horizontal-relative:margin;mso-wrap-style:none;z-index:251659264;mso-width-relative:page;mso-height-relative:page;" filled="f" stroked="f" coordsize="21600,21600" o:gfxdata="UEsDBAoAAAAAAIdO4kAAAAAAAAAAAAAAAAAEAAAAZHJzL1BLAwQUAAAACACHTuJA8FXMLdUAAAAI&#10;AQAADwAAAGRycy9kb3ducmV2LnhtbE2PMU/DMBCFdyT+g3WV2FonAZUQ4nSoxMJGQZXY3PiaRLXP&#10;ke2myb/nmGC7u/f07nv1bnZWTBji4ElBvslAILXeDNQp+Pp8W5cgYtJktPWEChaMsGvu72pdGX+j&#10;D5wOqRMcQrHSCvqUxkrK2PbodNz4EYm1sw9OJ15DJ03QNw53VhZZtpVOD8Qfej3ivsf2crg6Bc/z&#10;0eMYcY/f56kN/bCU9n1R6mGVZ68gEs7pzwy/+IwODTOd/JVMFFYBF0kK1sXTCwiWi7Lky4mH7WMO&#10;sqnl/wLND1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FXMLdUAAAAIAQAADwAAAAAAAAABACAAAAAiAAAAZHJzL2Rvd25y&#10;ZXYueG1sUEsBAhQAFAAAAAgAh07iQOSi/s/IAQAAmQMAAA4AAAAAAAAAAQAgAAAAJAEAAGRycy9l&#10;Mm9Eb2MueG1sUEsFBgAAAAAGAAYAWQEAAF4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DJkOTBmZDQ1N2ZiYjdkZTViOWY0Nzg1NjhhZGIifQ=="/>
  </w:docVars>
  <w:rsids>
    <w:rsidRoot w:val="00000000"/>
    <w:rsid w:val="108231F8"/>
    <w:rsid w:val="16B2035E"/>
    <w:rsid w:val="2AF87791"/>
    <w:rsid w:val="33C508D8"/>
    <w:rsid w:val="378148F8"/>
    <w:rsid w:val="416E1DBB"/>
    <w:rsid w:val="41C932CA"/>
    <w:rsid w:val="423053CA"/>
    <w:rsid w:val="476520B7"/>
    <w:rsid w:val="4C1D74B2"/>
    <w:rsid w:val="4C9B4B42"/>
    <w:rsid w:val="512E7BFB"/>
    <w:rsid w:val="534A460A"/>
    <w:rsid w:val="59694A55"/>
    <w:rsid w:val="5A6A71F4"/>
    <w:rsid w:val="5B9632CB"/>
    <w:rsid w:val="76946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spacing w:beforeAutospacing="0" w:afterAutospacing="0" w:line="560" w:lineRule="exact"/>
      <w:ind w:firstLine="883" w:firstLineChars="200"/>
      <w:jc w:val="left"/>
      <w:outlineLvl w:val="0"/>
    </w:pPr>
    <w:rPr>
      <w:rFonts w:hint="eastAsia" w:ascii="宋体" w:hAnsi="宋体" w:eastAsia="方正黑体_GBK" w:cs="Times New Roman"/>
      <w:b/>
      <w:kern w:val="44"/>
      <w:sz w:val="32"/>
      <w:szCs w:val="48"/>
    </w:rPr>
  </w:style>
  <w:style w:type="paragraph" w:styleId="4">
    <w:name w:val="heading 2"/>
    <w:basedOn w:val="1"/>
    <w:next w:val="1"/>
    <w:qFormat/>
    <w:uiPriority w:val="0"/>
    <w:pPr>
      <w:keepNext/>
      <w:keepLines/>
      <w:spacing w:before="260" w:after="260" w:line="416" w:lineRule="auto"/>
      <w:outlineLvl w:val="1"/>
    </w:pPr>
    <w:rPr>
      <w:rFonts w:ascii="Calibri Light" w:hAnsi="Calibri Light" w:eastAsia="宋体" w:cs="宋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ind w:left="200" w:leftChars="200"/>
      <w:outlineLvl w:val="0"/>
    </w:pPr>
    <w:rPr>
      <w:rFonts w:ascii="Arial" w:hAnsi="Arial" w:eastAsia="方正仿宋_GBK"/>
      <w:b/>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密级"/>
    <w:basedOn w:val="1"/>
    <w:qFormat/>
    <w:uiPriority w:val="0"/>
    <w:pPr>
      <w:autoSpaceDE w:val="0"/>
      <w:autoSpaceDN w:val="0"/>
      <w:adjustRightInd w:val="0"/>
      <w:snapToGrid/>
      <w:spacing w:line="425" w:lineRule="atLeast"/>
      <w:ind w:firstLine="0"/>
      <w:jc w:val="right"/>
    </w:pPr>
    <w:rPr>
      <w:rFonts w:ascii="黑体" w:eastAsia="黑体"/>
      <w:spacing w:val="0"/>
      <w:kern w:val="0"/>
      <w:sz w:val="30"/>
    </w:rPr>
  </w:style>
  <w:style w:type="paragraph" w:customStyle="1" w:styleId="10">
    <w:name w:val="文头"/>
    <w:basedOn w:val="1"/>
    <w:qFormat/>
    <w:uiPriority w:val="0"/>
    <w:pPr>
      <w:tabs>
        <w:tab w:val="left" w:pos="6663"/>
      </w:tabs>
      <w:spacing w:after="800" w:afterLines="0" w:line="1500" w:lineRule="atLeast"/>
      <w:ind w:left="511" w:right="227" w:hanging="284"/>
      <w:jc w:val="distribute"/>
    </w:pPr>
    <w:rPr>
      <w:rFonts w:ascii="汉鼎简大宋" w:eastAsia="汉鼎简大宋"/>
      <w:b/>
      <w:color w:val="FF0000"/>
      <w:w w:val="62"/>
      <w:sz w:val="140"/>
    </w:rPr>
  </w:style>
  <w:style w:type="paragraph" w:customStyle="1" w:styleId="11">
    <w:name w:val="红线"/>
    <w:basedOn w:val="3"/>
    <w:qFormat/>
    <w:uiPriority w:val="0"/>
    <w:pPr>
      <w:keepNext w:val="0"/>
      <w:keepLines w:val="0"/>
      <w:autoSpaceDE w:val="0"/>
      <w:autoSpaceDN w:val="0"/>
      <w:adjustRightInd w:val="0"/>
      <w:snapToGrid/>
      <w:spacing w:before="0" w:beforeLines="0" w:after="851" w:afterLines="0" w:line="227" w:lineRule="atLeast"/>
      <w:ind w:right="-142" w:firstLine="0"/>
      <w:jc w:val="center"/>
      <w:outlineLvl w:val="9"/>
    </w:pPr>
    <w:rPr>
      <w:rFonts w:ascii="宋体" w:eastAsia="宋体"/>
      <w:spacing w:val="0"/>
      <w:kern w:val="0"/>
      <w:sz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6836</Words>
  <Characters>7172</Characters>
  <Lines>0</Lines>
  <Paragraphs>0</Paragraphs>
  <TotalTime>41</TotalTime>
  <ScaleCrop>false</ScaleCrop>
  <LinksUpToDate>false</LinksUpToDate>
  <CharactersWithSpaces>7204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2023-06-29T06:16:00Z</dcterms:created>
  <dc:creator>Administrator</dc:creator>
  <cp:lastModifiedBy>菜菜头1366875479</cp:lastModifiedBy>
  <cp:lastPrinted>2023-07-19T07:41:00Z</cp:lastPrinted>
  <dcterms:modified xsi:type="dcterms:W3CDTF">2023-07-19T09:42:36Z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3868366AFFD04C259D5F3E826B4F4DFC_12</vt:lpwstr>
  </property>
</Properties>
</file>