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both"/>
        <w:textAlignment w:val="auto"/>
        <w:rPr>
          <w:rFonts w:ascii="方正黑体_GBK" w:eastAsia="方正黑体_GBK" w:cs="方正黑体_GBK" w:hint="eastAsia"/>
          <w:kern w:val="32"/>
          <w:sz w:val="32"/>
          <w:szCs w:val="32"/>
          <w:vertAlign w:val="baseline"/>
          <w:lang w:val="en-US" w:eastAsia="zh-CN"/>
        </w:rPr>
      </w:pPr>
      <w:r>
        <w:rPr>
          <w:rFonts w:ascii="方正黑体_GBK" w:eastAsia="方正黑体_GBK" w:cs="方正黑体_GBK" w:hint="eastAsia"/>
          <w:kern w:val="32"/>
          <w:sz w:val="32"/>
          <w:szCs w:val="32"/>
          <w:vertAlign w:val="baseli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方正小标宋_GBK" w:eastAsia="方正小标宋_GBK" w:cs="方正小标宋_GBK" w:hint="eastAsia"/>
          <w:kern w:val="32"/>
          <w:sz w:val="44"/>
          <w:szCs w:val="44"/>
          <w:vertAlign w:val="baseline"/>
          <w:lang w:val="en-US" w:eastAsia="zh-CN"/>
        </w:rPr>
      </w:pPr>
      <w:r>
        <w:rPr>
          <w:rFonts w:ascii="方正小标宋_GBK" w:eastAsia="方正小标宋_GBK" w:cs="方正小标宋_GBK" w:hint="eastAsia"/>
          <w:kern w:val="32"/>
          <w:sz w:val="44"/>
          <w:szCs w:val="44"/>
          <w:vertAlign w:val="baseline"/>
          <w:lang w:val="en-US" w:eastAsia="zh-CN"/>
        </w:rPr>
        <w:t>商品住房交易与不动产登记衔接流程</w:t>
      </w:r>
    </w:p>
    <w:tbl>
      <w:tblPr>
        <w:tblpPr w:leftFromText="180" w:rightFromText="180" w:vertAnchor="text" w:horzAnchor="page" w:tblpX="1322" w:tblpY="502"/>
        <w:tblOverlap w:val="never"/>
        <w:tblW w:w="1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435"/>
        <w:gridCol w:w="3493"/>
        <w:gridCol w:w="2567"/>
        <w:gridCol w:w="3462"/>
      </w:tblGrid>
      <w:tr>
        <w:trPr>
          <w:trHeight w:val="685"/>
          <w:tblHeader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方正黑体_GBK" w:eastAsia="方正黑体_GBK" w:cs="方正黑体_GBK" w:hint="eastAsia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方正黑体_GBK" w:eastAsia="方正黑体_GBK" w:cs="方正黑体_GBK" w:hint="eastAsia"/>
                <w:kern w:val="32"/>
                <w:sz w:val="32"/>
                <w:szCs w:val="32"/>
                <w:vertAlign w:val="baseline"/>
                <w:lang w:val="en-US" w:eastAsia="zh-CN"/>
              </w:rPr>
              <w:t>节点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方正黑体_GBK" w:eastAsia="方正黑体_GBK" w:cs="方正黑体_GBK" w:hint="eastAsia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方正黑体_GBK" w:eastAsia="方正黑体_GBK" w:cs="方正黑体_GBK" w:hint="eastAsia"/>
                <w:kern w:val="32"/>
                <w:sz w:val="32"/>
                <w:szCs w:val="32"/>
                <w:vertAlign w:val="baseline"/>
                <w:lang w:val="en-US" w:eastAsia="zh-CN"/>
              </w:rPr>
              <w:t>开发企业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方正黑体_GBK" w:eastAsia="方正黑体_GBK" w:cs="方正黑体_GBK" w:hint="eastAsia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方正黑体_GBK" w:eastAsia="方正黑体_GBK" w:cs="方正黑体_GBK" w:hint="eastAsia"/>
                <w:kern w:val="32"/>
                <w:sz w:val="32"/>
                <w:szCs w:val="32"/>
                <w:vertAlign w:val="baseline"/>
                <w:lang w:val="en-US" w:eastAsia="zh-CN"/>
              </w:rPr>
              <w:t>金融机构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方正黑体_GBK" w:eastAsia="方正黑体_GBK" w:cs="方正黑体_GBK" w:hint="eastAsia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方正黑体_GBK" w:eastAsia="方正黑体_GBK" w:cs="方正黑体_GBK" w:hint="eastAsia"/>
                <w:kern w:val="32"/>
                <w:sz w:val="32"/>
                <w:szCs w:val="32"/>
                <w:vertAlign w:val="baseline"/>
                <w:lang w:val="en-US" w:eastAsia="zh-CN"/>
              </w:rPr>
              <w:t>住建部门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方正黑体_GBK" w:eastAsia="方正黑体_GBK" w:cs="方正黑体_GBK" w:hint="eastAsia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方正黑体_GBK" w:eastAsia="方正黑体_GBK" w:cs="方正黑体_GBK" w:hint="eastAsia"/>
                <w:kern w:val="32"/>
                <w:sz w:val="32"/>
                <w:szCs w:val="32"/>
                <w:vertAlign w:val="baseline"/>
                <w:lang w:val="en-US" w:eastAsia="zh-CN"/>
              </w:rPr>
              <w:t>资规部门</w:t>
            </w:r>
          </w:p>
        </w:tc>
      </w:tr>
      <w:tr>
        <w:trPr>
          <w:trHeight w:val="266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13" w:right="113"/>
              <w:jc w:val="center"/>
              <w:textAlignment w:val="auto"/>
              <w:rPr>
                <w:rFonts w:ascii="方正黑体_GBK" w:eastAsia="方正黑体_GBK" w:cs="方正黑体_GBK" w:hint="eastAsia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_GBK" w:eastAsia="方正黑体_GBK" w:cs="方正黑体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预售前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申请房屋面积预测；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向登记机构提供预告登记地籍调查资料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会同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金融机构</w:t>
            </w: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申请在建建筑物按套抵押登记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申领商品房预售许可证；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会同开发企业申请在建建筑物按套抵押登记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已</w:t>
            </w: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办理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土地</w:t>
            </w: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整体抵押的，在申请预售许可前申请办理在建建筑物按套抵押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手续；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完成预测面积报告备案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，推送预测楼盘表数据至不动产登记系统；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为不动产单元编制唯一代码后，推送至房产测绘备案部门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，实现备案合同、楼盘数据、不动产登记信息“一码关联”；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完成地籍调查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后，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按套予以办理抵押登记；</w:t>
            </w:r>
          </w:p>
        </w:tc>
      </w:tr>
      <w:tr>
        <w:trPr>
          <w:trHeight w:val="346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13" w:right="113"/>
              <w:jc w:val="center"/>
              <w:textAlignment w:val="auto"/>
              <w:rPr>
                <w:rFonts w:ascii="方正黑体_GBK" w:eastAsia="方正黑体_GBK" w:cs="方正黑体_GBK" w:hint="eastAsia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_GBK" w:eastAsia="方正黑体_GBK" w:cs="方正黑体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预售阶段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会同金融机构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按套</w:t>
            </w: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申请注销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已</w:t>
            </w: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售房屋的抵押权登记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办理</w:t>
            </w: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预售商品房网签合同备案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通过合同备案系统同步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申请</w:t>
            </w: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不动产转移预告登记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；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会同开发企业按套申请注销已售房屋的抵押权登记；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在办理商品房按揭贷款审批时，通过“线上苏小登”平台同步申请不动产抵押预告登记。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将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办理不动产首次登记证明作为商品房交付条件之一，载入商品房预售合同示范文本；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对注销抵押后的商品房合同办理备案手续；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cs="方正仿宋_GBK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根据申请按套注销抵押登记；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cs="方正仿宋_GBK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根据申请同步办理不动产转移预告登记和不动产抵押预告登记。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cs="方正仿宋_GBK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仿宋_GBK" w:cs="方正仿宋_GBK"/>
                <w:kern w:val="32"/>
                <w:sz w:val="28"/>
                <w:szCs w:val="28"/>
                <w:vertAlign w:val="baseline"/>
                <w:lang w:val="en-US" w:eastAsia="zh-CN"/>
              </w:rPr>
              <w:t>不动产预告登记和抵押预告登记登簿后，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通过</w:t>
            </w:r>
            <w:r>
              <w:rPr>
                <w:rFonts w:ascii="方正仿宋_GBK" w:cs="方正仿宋_GBK"/>
                <w:kern w:val="32"/>
                <w:sz w:val="28"/>
                <w:szCs w:val="28"/>
                <w:vertAlign w:val="baseline"/>
                <w:lang w:val="en-US" w:eastAsia="zh-CN"/>
              </w:rPr>
              <w:t>“线上苏小登”平台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发放电子登记证明</w:t>
            </w:r>
            <w:r>
              <w:rPr>
                <w:rFonts w:ascii="方正仿宋_GBK" w:cs="方正仿宋_GBK"/>
                <w:kern w:val="32"/>
                <w:sz w:val="28"/>
                <w:szCs w:val="28"/>
                <w:vertAlign w:val="baseline"/>
                <w:lang w:val="en-US" w:eastAsia="zh-CN"/>
              </w:rPr>
              <w:t>，供购房人及金融机构下载。</w:t>
            </w:r>
          </w:p>
        </w:tc>
      </w:tr>
      <w:tr>
        <w:trPr>
          <w:trHeight w:val="315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13" w:right="113"/>
              <w:jc w:val="center"/>
              <w:textAlignment w:val="auto"/>
              <w:rPr>
                <w:rFonts w:ascii="方正仿宋_GBK" w:eastAsia="方正仿宋_GBK" w:cs="方正仿宋_GBK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_GBK" w:eastAsia="方正黑体_GBK" w:cs="方正黑体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交房阶段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通过“线上苏小登”平台办理商品房首次登记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在“线上苏小登”平台申请办理“预转本”登记，抵押权预告登记同时转为抵押权首次登记。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完成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val="en-US" w:eastAsia="zh-CN"/>
              </w:rPr>
              <w:t>实测</w:t>
            </w: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面积报告备案，推送楼盘表数据至不动产登记系统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，推送的预测和实测楼盘表数据应保持对应关系。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5" w:hanging="425"/>
              <w:jc w:val="both"/>
              <w:textAlignment w:val="auto"/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完成楼盘首次登记后</w:t>
            </w:r>
            <w:r>
              <w:rPr>
                <w:rFonts w:ascii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ascii="方正仿宋_GBK" w:eastAsia="方正仿宋_GBK" w:cs="方正仿宋_GBK" w:hint="eastAsia"/>
                <w:kern w:val="32"/>
                <w:sz w:val="28"/>
                <w:szCs w:val="28"/>
                <w:vertAlign w:val="baseline"/>
                <w:lang w:eastAsia="zh-CN"/>
              </w:rPr>
              <w:t>通过“线上苏小登”平台发放电子登记证明。</w:t>
            </w:r>
          </w:p>
        </w:tc>
      </w:tr>
    </w:tbl>
    <w:p>
      <w:pPr>
        <w:adjustRightInd w:val="0"/>
        <w:spacing w:line="20" w:lineRule="exact"/>
        <w:textAlignment w:val="baseline"/>
        <w:rPr>
          <w:rFonts w:ascii="方正仿宋_GBK"/>
          <w:kern w:val="0"/>
        </w:rPr>
      </w:pPr>
    </w:p>
    <w:p>
      <w:bookmarkStart w:id="0" w:name="_GoBack"/>
      <w:bookmarkEnd w:id="0"/>
    </w:p>
    <w:sectPr>
      <w:footerReference w:type="default" r:id="rId2"/>
      <w:footerReference w:type="even" r:id="rId3"/>
      <w:pgSz w:w="16838" w:h="11906" w:orient="landscape"/>
      <w:pgMar w:top="1587" w:right="2098" w:bottom="1474" w:left="1984" w:header="851" w:footer="1417" w:gutter="0"/>
      <w:pgNumType/>
      <w:docGrid w:type="linesAndChars" w:linePitch="579" w:charSpace="-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1"/>
    <w:family w:val="roman"/>
    <w:pitch w:val="variable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方正楷体_GBK">
    <w:panose1 w:val="02000000000000000000"/>
    <w:charset w:val="86"/>
    <w:family w:val="script"/>
    <w:pitch w:val="variable"/>
    <w:sig w:usb0="800002BF" w:usb1="38CF7CFA" w:usb2="00000016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9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04647"/>
              <wp:effectExtent l="0" t="0" r="0" b="0"/>
              <wp:wrapNone/>
              <wp:docPr id="1" name="文本框 8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04647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cs="Times New Roman" w:hAnsi="Times New Roman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52"/>
                            </w:rPr>
                            <w:t>5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8 3" o:spid="_x0000_s3" filled="f" stroked="f" strokeweight="0.5pt" style="position:absolute;margin-left:0.0pt;margin-top:0.0pt;width:49.000004pt;height:16.113997pt;z-index:19;mso-position-horizontal:outside;mso-position-horizontal-relative:margin;mso-position-vertical:absolute;mso-wrap-distance-left:8.999863pt;mso-wrap-distance-right:8.999863pt;mso-wrap-style:none;">
              <v:stroke color="#000000"/>
              <v:textbox id="852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cs="Times New Roman" w:hAnsi="Times New Roman"/>
                        <w:sz w:val="28"/>
                        <w:szCs w:val="52"/>
                      </w:rPr>
                    </w:pPr>
                    <w:r>
                      <w:rPr>
                        <w:rFonts w:ascii="Times New Roman" w:cs="Times New Roman" w:hAnsi="Times New Roman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52"/>
                      </w:rPr>
                      <w:t>5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24" cy="204647"/>
              <wp:effectExtent l="0" t="0" r="0" b="0"/>
              <wp:wrapNone/>
              <wp:docPr id="4" name="文本框 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524" cy="20464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eastAsia="宋体" w:hAnsi="Times New Roman"/>
                              <w:sz w:val="28"/>
                              <w:szCs w:val="52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5 6" o:spid="_x0000_s6" filled="f" stroked="f" style="position:absolute;margin-left:0.0pt;margin-top:0.0pt;width:0.74998856pt;height:16.113997pt;z-index:15;mso-position-horizontal:outside;mso-position-horizontal-relative:margin;mso-position-vertical:absolute;mso-wrap-distance-left:8.999863pt;mso-wrap-distance-right:8.999863pt;mso-wrap-style:none;">
              <v:stroke color="#000000"/>
              <v:textbox id="853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eastAsia="宋体" w:hAnsi="Times New Roman"/>
                        <w:sz w:val="28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21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04647"/>
              <wp:effectExtent l="0" t="0" r="0" b="0"/>
              <wp:wrapNone/>
              <wp:docPr id="7" name="文本框 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04647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8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cs="Times New Roman" w:hAnsi="Times New Roman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52"/>
                            </w:rPr>
                            <w:t>6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9 9" o:spid="_x0000_s9" filled="f" stroked="f" strokeweight="0.5pt" style="position:absolute;margin-left:0.0pt;margin-top:0.0pt;width:49.000004pt;height:16.113997pt;z-index:21;mso-position-horizontal:outside;mso-position-horizontal-relative:margin;mso-position-vertical:absolute;mso-wrap-distance-left:8.999863pt;mso-wrap-distance-right:8.999863pt;mso-wrap-style:none;">
              <v:stroke color="#000000"/>
              <v:textbox id="850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cs="Times New Roman" w:hAnsi="Times New Roman"/>
                        <w:sz w:val="28"/>
                        <w:szCs w:val="52"/>
                      </w:rPr>
                    </w:pPr>
                    <w:r>
                      <w:rPr>
                        <w:rFonts w:ascii="Times New Roman" w:cs="Times New Roman" w:hAnsi="Times New Roman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52"/>
                      </w:rPr>
                      <w:t>6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8" distR="114298" simplePos="0" relativeHeight="17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24" cy="204647"/>
              <wp:effectExtent l="0" t="0" r="0" b="0"/>
              <wp:wrapNone/>
              <wp:docPr id="10" name="文本框 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524" cy="20464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11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hAnsi="Times New Roman"/>
                              <w:sz w:val="28"/>
                              <w:szCs w:val="52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6 12" o:spid="_x0000_s12" filled="f" stroked="f" style="position:absolute;margin-left:0.0pt;margin-top:0.0pt;width:0.74998856pt;height:16.113997pt;z-index:17;mso-position-horizontal:outside;mso-position-horizontal-relative:margin;mso-position-vertical:absolute;mso-wrap-distance-left:8.999863pt;mso-wrap-distance-right:8.999863pt;mso-wrap-style:none;">
              <v:stroke color="#000000"/>
              <v:textbox id="851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hAnsi="Times New Roman"/>
                        <w:sz w:val="28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65D06611"/>
    <w:multiLevelType w:val="singleLevel"/>
    <w:tmpl w:val="65D06611"/>
    <w:lvl w:ilvl="0">
      <w:start w:val="1"/>
      <w:numFmt w:val="decimal"/>
      <w:lvlRestart w:val="0"/>
      <w:lvlText w:val="(%1)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1">
    <w:nsid w:val="D34ED6C2"/>
    <w:multiLevelType w:val="singleLevel"/>
    <w:tmpl w:val="D34ED6C2"/>
    <w:lvl w:ilvl="0">
      <w:start w:val="1"/>
      <w:numFmt w:val="decimal"/>
      <w:lvlRestart w:val="0"/>
      <w:lvlText w:val="(%1)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2">
    <w:nsid w:val="392A60D7"/>
    <w:multiLevelType w:val="singleLevel"/>
    <w:tmpl w:val="392A60D7"/>
    <w:lvl w:ilvl="0">
      <w:start w:val="1"/>
      <w:numFmt w:val="decimal"/>
      <w:lvlRestart w:val="0"/>
      <w:lvlText w:val="(%1)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3">
    <w:nsid w:val="DBAD2ABE"/>
    <w:multiLevelType w:val="singleLevel"/>
    <w:tmpl w:val="DBAD2ABE"/>
    <w:lvl w:ilvl="0">
      <w:start w:val="1"/>
      <w:numFmt w:val="decimal"/>
      <w:lvlRestart w:val="0"/>
      <w:lvlText w:val="(%1)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4">
    <w:nsid w:val="A62D0D25"/>
    <w:multiLevelType w:val="singleLevel"/>
    <w:tmpl w:val="A62D0D25"/>
    <w:lvl w:ilvl="0">
      <w:start w:val="2"/>
      <w:numFmt w:val="decimal"/>
      <w:lvlRestart w:val="0"/>
      <w:lvlText w:val="(%1)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5">
    <w:nsid w:val="6718479A"/>
    <w:multiLevelType w:val="singleLevel"/>
    <w:tmpl w:val="6718479A"/>
    <w:lvl w:ilvl="0">
      <w:start w:val="3"/>
      <w:numFmt w:val="decimal"/>
      <w:lvlRestart w:val="0"/>
      <w:lvlText w:val="(%1)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6">
    <w:nsid w:val="3453D303"/>
    <w:multiLevelType w:val="singleLevel"/>
    <w:tmpl w:val="3453D303"/>
    <w:lvl w:ilvl="0">
      <w:start w:val="4"/>
      <w:numFmt w:val="decimal"/>
      <w:lvlRestart w:val="0"/>
      <w:lvlText w:val="(%1)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7">
    <w:nsid w:val="4EC6F1CA"/>
    <w:multiLevelType w:val="singleLevel"/>
    <w:tmpl w:val="4EC6F1CA"/>
    <w:lvl w:ilvl="0">
      <w:start w:val="6"/>
      <w:numFmt w:val="decimal"/>
      <w:lvlRestart w:val="0"/>
      <w:lvlText w:val="(%1)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 w:val="0"/>
  <w:bordersDoNotSurroundFooter w:val="0"/>
  <w:documentProtection w:edit="readOnly" w:enforcement="0"/>
  <w:defaultTabStop w:val="420"/>
  <w:evenAndOddHeaders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NTY5MDU2OTZkYmQxMDJkNWZmMmI1ZGMzMjJiZjAzYm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方正仿宋_GBK" w:cs="Times New Roman" w:hAnsi="Calibri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line="58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line="560" w:lineRule="exact"/>
      <w:ind w:firstLineChars="200" w:firstLine="200"/>
      <w:outlineLvl w:val="1"/>
    </w:pPr>
    <w:rPr>
      <w:rFonts w:ascii="Arial" w:eastAsia="方正黑体_GBK" w:hAnsi="Arial"/>
    </w:rPr>
  </w:style>
  <w:style w:type="paragraph" w:styleId="3">
    <w:name w:val="heading 3"/>
    <w:basedOn w:val="0"/>
    <w:next w:val="0"/>
    <w:pPr>
      <w:keepNext/>
      <w:keepLines/>
      <w:widowControl w:val="0"/>
      <w:spacing w:line="560" w:lineRule="exact"/>
      <w:outlineLvl w:val="2"/>
    </w:pPr>
    <w:rPr>
      <w:rFonts w:eastAsia="方正楷体_GBK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Yozo_Office27021597764231179</Application>
  <Pages>2</Pages>
  <Words>692</Words>
  <Characters>738</Characters>
  <Lines>87</Lines>
  <Paragraphs>33</Paragraphs>
  <CharactersWithSpaces>761</CharactersWithSpace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荣飞</dc:creator>
  <cp:lastModifiedBy>kylin</cp:lastModifiedBy>
  <cp:revision>6</cp:revision>
  <cp:lastPrinted>2025-01-13T08:57:00Z</cp:lastPrinted>
  <dcterms:created xsi:type="dcterms:W3CDTF">2024-12-21T02:12:00Z</dcterms:created>
  <dcterms:modified xsi:type="dcterms:W3CDTF">2025-02-08T06:40:18Z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BA57B8DED4E64DCC9F8C93731C432330_13</vt:lpwstr>
  </property>
  <property fmtid="{D5CDD505-2E9C-101B-9397-08002B2CF9AE}" pid="4" name="KSOTemplateDocerSaveRecord">
    <vt:lpwstr>eyJoZGlkIjoiNTY5MDU2OTZkYmQxMDJkNWZmMmI1ZGMzMjJiZjAzYmQiLCJ1c2VySWQiOiIxMTQxNzQ3MTU5In0=</vt:lpwstr>
  </property>
</Properties>
</file>