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BC0DF">
      <w:pPr>
        <w:pageBreakBefore w:val="0"/>
        <w:kinsoku/>
        <w:wordWrap/>
        <w:overflowPunct/>
        <w:topLinePunct w:val="0"/>
        <w:bidi w:val="0"/>
        <w:spacing w:afterLines="50"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p>
    <w:p w14:paraId="5B464D7E">
      <w:pPr>
        <w:pageBreakBefore w:val="0"/>
        <w:kinsoku/>
        <w:wordWrap/>
        <w:overflowPunct/>
        <w:topLinePunct w:val="0"/>
        <w:bidi w:val="0"/>
        <w:spacing w:line="360" w:lineRule="auto"/>
        <w:ind w:left="803" w:hanging="883" w:hangingChars="200"/>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44"/>
          <w:szCs w:val="44"/>
          <w:highlight w:val="none"/>
          <w:lang w:eastAsia="zh-CN"/>
        </w:rPr>
        <w:t>南通市园林绿化管理处法律顾问服务项目</w:t>
      </w:r>
    </w:p>
    <w:p w14:paraId="01A6E7BA">
      <w:pPr>
        <w:pageBreakBefore w:val="0"/>
        <w:kinsoku/>
        <w:wordWrap/>
        <w:overflowPunct/>
        <w:topLinePunct w:val="0"/>
        <w:bidi w:val="0"/>
        <w:spacing w:line="360" w:lineRule="auto"/>
        <w:ind w:left="803" w:hanging="803" w:hangingChars="200"/>
        <w:jc w:val="center"/>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 xml:space="preserve">                                                                                                                                                                                                                                                                              </w:t>
      </w:r>
    </w:p>
    <w:p w14:paraId="5EAC039A">
      <w:pPr>
        <w:pageBreakBefore w:val="0"/>
        <w:kinsoku/>
        <w:wordWrap/>
        <w:overflowPunct/>
        <w:topLinePunct w:val="0"/>
        <w:bidi w:val="0"/>
        <w:spacing w:line="360" w:lineRule="auto"/>
        <w:ind w:left="803" w:hanging="803" w:hangingChars="200"/>
        <w:jc w:val="center"/>
        <w:rPr>
          <w:rFonts w:hint="eastAsia" w:ascii="仿宋" w:hAnsi="仿宋" w:eastAsia="仿宋" w:cs="仿宋"/>
          <w:b/>
          <w:bCs/>
          <w:color w:val="auto"/>
          <w:sz w:val="40"/>
          <w:szCs w:val="40"/>
          <w:highlight w:val="none"/>
        </w:rPr>
      </w:pPr>
    </w:p>
    <w:p w14:paraId="3D7B4949">
      <w:pPr>
        <w:pageBreakBefore w:val="0"/>
        <w:kinsoku/>
        <w:wordWrap/>
        <w:overflowPunct/>
        <w:topLinePunct w:val="0"/>
        <w:bidi w:val="0"/>
        <w:spacing w:line="360" w:lineRule="auto"/>
        <w:ind w:left="803" w:hanging="1124" w:hangingChars="200"/>
        <w:jc w:val="center"/>
        <w:rPr>
          <w:rFonts w:hint="eastAsia" w:ascii="仿宋" w:hAnsi="仿宋" w:eastAsia="仿宋" w:cs="仿宋"/>
          <w:b/>
          <w:bCs/>
          <w:color w:val="auto"/>
          <w:sz w:val="56"/>
          <w:szCs w:val="56"/>
          <w:highlight w:val="none"/>
        </w:rPr>
      </w:pPr>
    </w:p>
    <w:p w14:paraId="6CA49431">
      <w:pPr>
        <w:pageBreakBefore w:val="0"/>
        <w:kinsoku/>
        <w:wordWrap/>
        <w:overflowPunct/>
        <w:topLinePunct w:val="0"/>
        <w:bidi w:val="0"/>
        <w:spacing w:line="360" w:lineRule="auto"/>
        <w:ind w:left="803" w:hanging="1124" w:hangingChars="200"/>
        <w:jc w:val="center"/>
        <w:rPr>
          <w:rFonts w:hint="eastAsia" w:ascii="仿宋" w:hAnsi="仿宋" w:eastAsia="仿宋" w:cs="仿宋"/>
          <w:b/>
          <w:bCs/>
          <w:color w:val="auto"/>
          <w:sz w:val="56"/>
          <w:szCs w:val="56"/>
          <w:highlight w:val="none"/>
        </w:rPr>
      </w:pPr>
    </w:p>
    <w:p w14:paraId="7A05C6B2">
      <w:pPr>
        <w:pageBreakBefore w:val="0"/>
        <w:kinsoku/>
        <w:wordWrap/>
        <w:overflowPunct/>
        <w:topLinePunct w:val="0"/>
        <w:bidi w:val="0"/>
        <w:spacing w:line="360" w:lineRule="auto"/>
        <w:ind w:left="803" w:hanging="1124" w:hangingChars="200"/>
        <w:jc w:val="center"/>
        <w:rPr>
          <w:rFonts w:hint="eastAsia" w:ascii="仿宋" w:hAnsi="仿宋" w:eastAsia="仿宋" w:cs="仿宋"/>
          <w:b/>
          <w:bCs/>
          <w:color w:val="auto"/>
          <w:sz w:val="56"/>
          <w:szCs w:val="56"/>
          <w:highlight w:val="none"/>
        </w:rPr>
      </w:pPr>
      <w:r>
        <w:rPr>
          <w:rFonts w:hint="eastAsia" w:ascii="仿宋" w:hAnsi="仿宋" w:eastAsia="仿宋" w:cs="仿宋"/>
          <w:b/>
          <w:bCs/>
          <w:color w:val="auto"/>
          <w:sz w:val="56"/>
          <w:szCs w:val="56"/>
          <w:highlight w:val="none"/>
          <w:lang w:eastAsia="zh-CN"/>
        </w:rPr>
        <w:t>公开招标</w:t>
      </w:r>
      <w:r>
        <w:rPr>
          <w:rFonts w:hint="eastAsia" w:ascii="仿宋" w:hAnsi="仿宋" w:eastAsia="仿宋" w:cs="仿宋"/>
          <w:b/>
          <w:bCs/>
          <w:color w:val="auto"/>
          <w:sz w:val="56"/>
          <w:szCs w:val="56"/>
          <w:highlight w:val="none"/>
        </w:rPr>
        <w:t>文件</w:t>
      </w:r>
    </w:p>
    <w:p w14:paraId="1FF5F859">
      <w:pPr>
        <w:pStyle w:val="56"/>
        <w:pageBreakBefore w:val="0"/>
        <w:kinsoku/>
        <w:wordWrap/>
        <w:overflowPunct/>
        <w:topLinePunct w:val="0"/>
        <w:bidi w:val="0"/>
        <w:spacing w:line="360" w:lineRule="auto"/>
        <w:ind w:firstLine="0"/>
        <w:rPr>
          <w:rFonts w:hint="eastAsia" w:ascii="仿宋" w:hAnsi="仿宋" w:eastAsia="仿宋" w:cs="仿宋"/>
          <w:b/>
          <w:bCs/>
          <w:color w:val="auto"/>
          <w:sz w:val="40"/>
          <w:szCs w:val="40"/>
          <w:highlight w:val="none"/>
        </w:rPr>
      </w:pPr>
    </w:p>
    <w:p w14:paraId="2A660933">
      <w:pPr>
        <w:pStyle w:val="56"/>
        <w:pageBreakBefore w:val="0"/>
        <w:kinsoku/>
        <w:wordWrap/>
        <w:overflowPunct/>
        <w:topLinePunct w:val="0"/>
        <w:bidi w:val="0"/>
        <w:spacing w:line="360" w:lineRule="auto"/>
        <w:ind w:firstLine="0"/>
        <w:jc w:val="center"/>
        <w:rPr>
          <w:rFonts w:hint="eastAsia" w:ascii="仿宋" w:hAnsi="仿宋" w:eastAsia="仿宋" w:cs="仿宋"/>
          <w:b/>
          <w:bCs/>
          <w:color w:val="auto"/>
          <w:sz w:val="40"/>
          <w:szCs w:val="40"/>
          <w:highlight w:val="none"/>
        </w:rPr>
      </w:pPr>
    </w:p>
    <w:p w14:paraId="2BBB51EB">
      <w:pPr>
        <w:pStyle w:val="56"/>
        <w:pageBreakBefore w:val="0"/>
        <w:kinsoku/>
        <w:wordWrap/>
        <w:overflowPunct/>
        <w:topLinePunct w:val="0"/>
        <w:bidi w:val="0"/>
        <w:spacing w:line="360" w:lineRule="auto"/>
        <w:ind w:firstLine="0"/>
        <w:jc w:val="center"/>
        <w:rPr>
          <w:rFonts w:hint="eastAsia" w:ascii="仿宋" w:hAnsi="仿宋" w:eastAsia="仿宋" w:cs="仿宋"/>
          <w:b/>
          <w:bCs/>
          <w:color w:val="auto"/>
          <w:sz w:val="40"/>
          <w:szCs w:val="40"/>
          <w:highlight w:val="none"/>
        </w:rPr>
      </w:pPr>
    </w:p>
    <w:p w14:paraId="339CAF28">
      <w:pPr>
        <w:pStyle w:val="56"/>
        <w:pageBreakBefore w:val="0"/>
        <w:kinsoku/>
        <w:wordWrap/>
        <w:overflowPunct/>
        <w:topLinePunct w:val="0"/>
        <w:bidi w:val="0"/>
        <w:spacing w:line="360" w:lineRule="auto"/>
        <w:ind w:firstLine="0"/>
        <w:jc w:val="center"/>
        <w:rPr>
          <w:rFonts w:hint="eastAsia" w:ascii="仿宋" w:hAnsi="仿宋" w:eastAsia="仿宋" w:cs="仿宋"/>
          <w:b/>
          <w:bCs/>
          <w:color w:val="auto"/>
          <w:sz w:val="40"/>
          <w:szCs w:val="40"/>
          <w:highlight w:val="none"/>
        </w:rPr>
      </w:pPr>
    </w:p>
    <w:p w14:paraId="5CB3D7EF">
      <w:pPr>
        <w:pStyle w:val="56"/>
        <w:pageBreakBefore w:val="0"/>
        <w:kinsoku/>
        <w:wordWrap/>
        <w:overflowPunct/>
        <w:topLinePunct w:val="0"/>
        <w:bidi w:val="0"/>
        <w:spacing w:line="360" w:lineRule="auto"/>
        <w:ind w:firstLine="0"/>
        <w:jc w:val="center"/>
        <w:rPr>
          <w:rFonts w:hint="eastAsia" w:ascii="仿宋" w:hAnsi="仿宋" w:eastAsia="仿宋" w:cs="仿宋"/>
          <w:b/>
          <w:bCs/>
          <w:color w:val="auto"/>
          <w:sz w:val="40"/>
          <w:szCs w:val="40"/>
          <w:highlight w:val="none"/>
        </w:rPr>
      </w:pPr>
    </w:p>
    <w:p w14:paraId="128CF564">
      <w:pPr>
        <w:pStyle w:val="56"/>
        <w:pageBreakBefore w:val="0"/>
        <w:kinsoku/>
        <w:wordWrap/>
        <w:overflowPunct/>
        <w:topLinePunct w:val="0"/>
        <w:bidi w:val="0"/>
        <w:spacing w:line="360" w:lineRule="auto"/>
        <w:ind w:firstLine="0"/>
        <w:jc w:val="center"/>
        <w:rPr>
          <w:rFonts w:hint="eastAsia" w:ascii="仿宋" w:hAnsi="仿宋" w:eastAsia="仿宋" w:cs="仿宋"/>
          <w:b/>
          <w:bCs/>
          <w:color w:val="auto"/>
          <w:sz w:val="40"/>
          <w:szCs w:val="40"/>
          <w:highlight w:val="none"/>
        </w:rPr>
      </w:pPr>
    </w:p>
    <w:p w14:paraId="50EA37C9">
      <w:pPr>
        <w:pStyle w:val="56"/>
        <w:pageBreakBefore w:val="0"/>
        <w:kinsoku/>
        <w:wordWrap/>
        <w:overflowPunct/>
        <w:topLinePunct w:val="0"/>
        <w:bidi w:val="0"/>
        <w:spacing w:line="360" w:lineRule="auto"/>
        <w:ind w:firstLine="0"/>
        <w:jc w:val="center"/>
        <w:rPr>
          <w:rFonts w:hint="eastAsia" w:ascii="仿宋" w:hAnsi="仿宋" w:eastAsia="仿宋" w:cs="仿宋"/>
          <w:b/>
          <w:bCs/>
          <w:color w:val="auto"/>
          <w:sz w:val="40"/>
          <w:szCs w:val="40"/>
          <w:highlight w:val="none"/>
        </w:rPr>
      </w:pPr>
    </w:p>
    <w:p w14:paraId="7EBF16FF">
      <w:pPr>
        <w:pStyle w:val="56"/>
        <w:keepNext w:val="0"/>
        <w:keepLines w:val="0"/>
        <w:pageBreakBefore w:val="0"/>
        <w:widowControl w:val="0"/>
        <w:kinsoku/>
        <w:wordWrap/>
        <w:overflowPunct/>
        <w:topLinePunct w:val="0"/>
        <w:bidi w:val="0"/>
        <w:adjustRightInd w:val="0"/>
        <w:spacing w:line="480" w:lineRule="auto"/>
        <w:ind w:left="148" w:firstLine="643" w:firstLineChars="20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购</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人 :</w:t>
      </w:r>
      <w:r>
        <w:rPr>
          <w:rFonts w:hint="eastAsia" w:ascii="仿宋" w:hAnsi="仿宋" w:eastAsia="仿宋" w:cs="仿宋"/>
          <w:b/>
          <w:bCs/>
          <w:color w:val="auto"/>
          <w:w w:val="95"/>
          <w:sz w:val="32"/>
          <w:szCs w:val="32"/>
          <w:highlight w:val="none"/>
          <w:u w:val="single"/>
          <w:lang w:eastAsia="zh-CN"/>
        </w:rPr>
        <w:t>南通市园林绿化管理处</w:t>
      </w:r>
    </w:p>
    <w:p w14:paraId="7EF6B592">
      <w:pPr>
        <w:keepNext w:val="0"/>
        <w:keepLines w:val="0"/>
        <w:pageBreakBefore w:val="0"/>
        <w:widowControl w:val="0"/>
        <w:kinsoku/>
        <w:wordWrap/>
        <w:overflowPunct/>
        <w:topLinePunct w:val="0"/>
        <w:autoSpaceDE w:val="0"/>
        <w:autoSpaceDN w:val="0"/>
        <w:bidi w:val="0"/>
        <w:adjustRightInd w:val="0"/>
        <w:snapToGrid w:val="0"/>
        <w:spacing w:line="480" w:lineRule="auto"/>
        <w:ind w:firstLine="803" w:firstLineChars="250"/>
        <w:rPr>
          <w:rFonts w:hint="eastAsia" w:ascii="仿宋" w:hAnsi="仿宋" w:eastAsia="仿宋" w:cs="仿宋"/>
          <w:b/>
          <w:bCs/>
          <w:color w:val="auto"/>
          <w:kern w:val="0"/>
          <w:sz w:val="32"/>
          <w:szCs w:val="32"/>
          <w:highlight w:val="none"/>
          <w:u w:val="single"/>
        </w:rPr>
      </w:pPr>
      <w:r>
        <w:rPr>
          <w:rFonts w:hint="eastAsia" w:ascii="仿宋" w:hAnsi="仿宋" w:eastAsia="仿宋" w:cs="仿宋"/>
          <w:b/>
          <w:bCs/>
          <w:color w:val="auto"/>
          <w:kern w:val="0"/>
          <w:sz w:val="32"/>
          <w:szCs w:val="32"/>
          <w:highlight w:val="none"/>
        </w:rPr>
        <w:t>日</w:t>
      </w: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
          <w:bCs/>
          <w:color w:val="auto"/>
          <w:kern w:val="0"/>
          <w:sz w:val="32"/>
          <w:szCs w:val="32"/>
          <w:highlight w:val="none"/>
        </w:rPr>
        <w:t>期 :</w:t>
      </w:r>
      <w:r>
        <w:rPr>
          <w:rFonts w:hint="eastAsia" w:ascii="仿宋" w:hAnsi="仿宋" w:eastAsia="仿宋" w:cs="仿宋"/>
          <w:b/>
          <w:bCs/>
          <w:color w:val="auto"/>
          <w:kern w:val="0"/>
          <w:sz w:val="32"/>
          <w:szCs w:val="32"/>
          <w:highlight w:val="none"/>
          <w:u w:val="single"/>
          <w:lang w:val="en-US" w:eastAsia="zh-CN"/>
        </w:rPr>
        <w:t>2026</w:t>
      </w:r>
      <w:r>
        <w:rPr>
          <w:rFonts w:hint="eastAsia" w:ascii="仿宋" w:hAnsi="仿宋" w:eastAsia="仿宋" w:cs="仿宋"/>
          <w:b/>
          <w:bCs/>
          <w:color w:val="auto"/>
          <w:kern w:val="0"/>
          <w:sz w:val="32"/>
          <w:szCs w:val="32"/>
          <w:highlight w:val="none"/>
          <w:u w:val="single"/>
        </w:rPr>
        <w:t>年</w:t>
      </w:r>
      <w:r>
        <w:rPr>
          <w:rFonts w:hint="eastAsia" w:ascii="仿宋" w:hAnsi="仿宋" w:eastAsia="仿宋" w:cs="仿宋"/>
          <w:b/>
          <w:bCs/>
          <w:color w:val="auto"/>
          <w:kern w:val="0"/>
          <w:sz w:val="32"/>
          <w:szCs w:val="32"/>
          <w:highlight w:val="none"/>
          <w:u w:val="single"/>
          <w:lang w:val="en-US" w:eastAsia="zh-CN"/>
        </w:rPr>
        <w:t>04月30日</w:t>
      </w:r>
    </w:p>
    <w:p w14:paraId="068D7113">
      <w:pPr>
        <w:pageBreakBefore w:val="0"/>
        <w:widowControl/>
        <w:kinsoku/>
        <w:wordWrap/>
        <w:overflowPunct/>
        <w:topLinePunct w:val="0"/>
        <w:bidi w:val="0"/>
        <w:spacing w:line="360" w:lineRule="auto"/>
        <w:jc w:val="center"/>
        <w:rPr>
          <w:rFonts w:hint="eastAsia" w:ascii="仿宋" w:hAnsi="仿宋" w:eastAsia="仿宋" w:cs="仿宋"/>
          <w:b/>
          <w:bCs/>
          <w:color w:val="auto"/>
          <w:sz w:val="36"/>
          <w:szCs w:val="36"/>
          <w:highlight w:val="none"/>
        </w:rPr>
      </w:pPr>
      <w:bookmarkStart w:id="0" w:name="_Toc415233241"/>
      <w:bookmarkEnd w:id="0"/>
      <w:bookmarkStart w:id="1" w:name="_Toc438651106"/>
      <w:bookmarkEnd w:id="1"/>
    </w:p>
    <w:p w14:paraId="54D13902">
      <w:pPr>
        <w:pageBreakBefore w:val="0"/>
        <w:kinsoku/>
        <w:wordWrap/>
        <w:overflowPunct/>
        <w:topLinePunct w:val="0"/>
        <w:bidi w:val="0"/>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5A135075">
      <w:pPr>
        <w:pageBreakBefore w:val="0"/>
        <w:widowControl/>
        <w:kinsoku/>
        <w:wordWrap/>
        <w:overflowPunct/>
        <w:topLinePunct w:val="0"/>
        <w:bidi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录</w:t>
      </w:r>
    </w:p>
    <w:p w14:paraId="17C31737">
      <w:pPr>
        <w:pageBreakBefore w:val="0"/>
        <w:kinsoku/>
        <w:wordWrap/>
        <w:overflowPunct/>
        <w:topLinePunct w:val="0"/>
        <w:bidi w:val="0"/>
        <w:spacing w:line="360" w:lineRule="auto"/>
        <w:jc w:val="center"/>
        <w:rPr>
          <w:rFonts w:hint="eastAsia" w:ascii="仿宋" w:hAnsi="仿宋" w:eastAsia="仿宋" w:cs="仿宋"/>
          <w:b/>
          <w:bCs/>
          <w:color w:val="auto"/>
          <w:sz w:val="28"/>
          <w:szCs w:val="28"/>
          <w:highlight w:val="none"/>
        </w:rPr>
      </w:pPr>
    </w:p>
    <w:p w14:paraId="518DCF1A">
      <w:pPr>
        <w:pageBreakBefore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第一章</w:t>
      </w:r>
      <w:r>
        <w:rPr>
          <w:rFonts w:hint="eastAsia" w:ascii="仿宋" w:hAnsi="仿宋" w:eastAsia="仿宋" w:cs="仿宋"/>
          <w:color w:val="auto"/>
          <w:sz w:val="28"/>
          <w:szCs w:val="28"/>
          <w:highlight w:val="none"/>
          <w:lang w:val="en-US" w:eastAsia="zh-CN"/>
        </w:rPr>
        <w:t xml:space="preserve">  公开招标</w:t>
      </w:r>
      <w:r>
        <w:rPr>
          <w:rFonts w:hint="eastAsia" w:ascii="仿宋" w:hAnsi="仿宋" w:eastAsia="仿宋" w:cs="仿宋"/>
          <w:color w:val="auto"/>
          <w:sz w:val="28"/>
          <w:szCs w:val="28"/>
          <w:highlight w:val="none"/>
          <w:lang w:eastAsia="zh-CN"/>
        </w:rPr>
        <w:t>公告</w:t>
      </w:r>
    </w:p>
    <w:p w14:paraId="1AC89766">
      <w:pPr>
        <w:pageBreakBefore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第二章</w:t>
      </w:r>
      <w:r>
        <w:rPr>
          <w:rFonts w:hint="eastAsia" w:ascii="仿宋" w:hAnsi="仿宋" w:eastAsia="仿宋" w:cs="仿宋"/>
          <w:color w:val="auto"/>
          <w:sz w:val="28"/>
          <w:szCs w:val="28"/>
          <w:highlight w:val="none"/>
          <w:lang w:val="en-US" w:eastAsia="zh-CN"/>
        </w:rPr>
        <w:t xml:space="preserve">  公开招标</w:t>
      </w:r>
      <w:r>
        <w:rPr>
          <w:rFonts w:hint="eastAsia" w:ascii="仿宋" w:hAnsi="仿宋" w:eastAsia="仿宋" w:cs="仿宋"/>
          <w:color w:val="auto"/>
          <w:sz w:val="28"/>
          <w:szCs w:val="28"/>
          <w:highlight w:val="none"/>
        </w:rPr>
        <w:t>须知</w:t>
      </w:r>
    </w:p>
    <w:p w14:paraId="60EA11E2">
      <w:pPr>
        <w:pageBreakBefore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合同条款及格式</w:t>
      </w:r>
    </w:p>
    <w:p w14:paraId="4B20699D">
      <w:pPr>
        <w:pageBreakBefore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第四章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项目工作内容和技术要求</w:t>
      </w:r>
    </w:p>
    <w:p w14:paraId="738FBB20">
      <w:pPr>
        <w:pageBreakBefore w:val="0"/>
        <w:kinsoku/>
        <w:wordWrap/>
        <w:overflowPunct/>
        <w:topLinePunct w:val="0"/>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资格审查</w:t>
      </w:r>
    </w:p>
    <w:p w14:paraId="6A0BA8A8">
      <w:pPr>
        <w:pStyle w:val="55"/>
        <w:pageBreakBefore w:val="0"/>
        <w:kinsoku/>
        <w:wordWrap/>
        <w:overflowPunct/>
        <w:topLinePunct w:val="0"/>
        <w:bidi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第六章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评审方法和评审标准</w:t>
      </w:r>
    </w:p>
    <w:p w14:paraId="18507881">
      <w:pPr>
        <w:pStyle w:val="4"/>
        <w:pageBreakBefore w:val="0"/>
        <w:kinsoku/>
        <w:wordWrap/>
        <w:overflowPunct/>
        <w:topLinePunct w:val="0"/>
        <w:bidi w:val="0"/>
        <w:spacing w:before="0" w:after="0"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第七章</w:t>
      </w: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lang w:eastAsia="zh-CN"/>
        </w:rPr>
        <w:t>参选</w:t>
      </w:r>
      <w:r>
        <w:rPr>
          <w:rFonts w:hint="eastAsia" w:ascii="仿宋" w:hAnsi="仿宋" w:eastAsia="仿宋" w:cs="仿宋"/>
          <w:b w:val="0"/>
          <w:bCs w:val="0"/>
          <w:color w:val="auto"/>
          <w:sz w:val="28"/>
          <w:szCs w:val="28"/>
          <w:highlight w:val="none"/>
        </w:rPr>
        <w:t>文件组成</w:t>
      </w:r>
    </w:p>
    <w:p w14:paraId="3A86738D">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1B288FD9">
      <w:pPr>
        <w:pageBreakBefore w:val="0"/>
        <w:widowControl/>
        <w:kinsoku/>
        <w:wordWrap/>
        <w:overflowPunct/>
        <w:topLinePunct w:val="0"/>
        <w:bidi w:val="0"/>
        <w:spacing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br w:type="page"/>
      </w:r>
    </w:p>
    <w:p w14:paraId="4CACC158">
      <w:pPr>
        <w:pageBreakBefore w:val="0"/>
        <w:kinsoku/>
        <w:wordWrap/>
        <w:overflowPunct/>
        <w:topLinePunct w:val="0"/>
        <w:bidi w:val="0"/>
        <w:spacing w:line="360" w:lineRule="auto"/>
        <w:ind w:firstLine="2249" w:firstLineChars="700"/>
        <w:jc w:val="both"/>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第一章</w:t>
      </w:r>
      <w:bookmarkStart w:id="2" w:name="_Toc35393797"/>
      <w:bookmarkStart w:id="3" w:name="_Toc28359011"/>
      <w:bookmarkStart w:id="4" w:name="OLE_LINK3"/>
      <w:bookmarkStart w:id="5" w:name="OLE_LINK5"/>
      <w:bookmarkStart w:id="6" w:name="OLE_LINK2"/>
      <w:bookmarkStart w:id="7" w:name="OLE_LINK4"/>
      <w:bookmarkStart w:id="8" w:name="OLE_LINK6"/>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kern w:val="44"/>
          <w:sz w:val="32"/>
          <w:szCs w:val="32"/>
          <w:highlight w:val="none"/>
          <w:lang w:eastAsia="zh-CN"/>
        </w:rPr>
        <w:t>公开招标</w:t>
      </w:r>
      <w:r>
        <w:rPr>
          <w:rFonts w:hint="eastAsia" w:ascii="仿宋" w:hAnsi="仿宋" w:eastAsia="仿宋" w:cs="仿宋"/>
          <w:b/>
          <w:bCs/>
          <w:color w:val="auto"/>
          <w:kern w:val="44"/>
          <w:sz w:val="32"/>
          <w:szCs w:val="32"/>
          <w:highlight w:val="none"/>
        </w:rPr>
        <w:t>公告</w:t>
      </w:r>
      <w:bookmarkEnd w:id="2"/>
      <w:bookmarkEnd w:id="3"/>
    </w:p>
    <w:p w14:paraId="78FBD67C">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FCB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9120" w:type="dxa"/>
          </w:tcPr>
          <w:p w14:paraId="74BDA0C0">
            <w:pPr>
              <w:pageBreakBefore w:val="0"/>
              <w:widowControl/>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065EA59C">
            <w:pPr>
              <w:pageBreakBefore w:val="0"/>
              <w:widowControl/>
              <w:kinsoku/>
              <w:wordWrap/>
              <w:overflowPunct/>
              <w:topLinePunct w:val="0"/>
              <w:bidi w:val="0"/>
              <w:spacing w:line="360" w:lineRule="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lang w:eastAsia="zh-CN"/>
              </w:rPr>
              <w:t>南通市园林绿化管理处法律顾问服务项目</w:t>
            </w:r>
            <w:r>
              <w:rPr>
                <w:rFonts w:hint="eastAsia" w:ascii="仿宋" w:hAnsi="仿宋" w:eastAsia="仿宋" w:cs="仿宋"/>
                <w:color w:val="auto"/>
                <w:sz w:val="24"/>
                <w:szCs w:val="24"/>
                <w:highlight w:val="none"/>
              </w:rPr>
              <w:t>的潜在供应商应</w:t>
            </w:r>
            <w:r>
              <w:rPr>
                <w:rFonts w:hint="eastAsia" w:ascii="仿宋" w:hAnsi="仿宋" w:eastAsia="仿宋" w:cs="仿宋"/>
                <w:color w:val="auto"/>
                <w:sz w:val="24"/>
                <w:highlight w:val="none"/>
                <w:u w:val="single"/>
              </w:rPr>
              <w:t>直接</w:t>
            </w:r>
            <w:r>
              <w:rPr>
                <w:rFonts w:hint="eastAsia" w:ascii="仿宋" w:hAnsi="仿宋" w:eastAsia="仿宋" w:cs="仿宋"/>
                <w:color w:val="auto"/>
                <w:kern w:val="0"/>
                <w:sz w:val="24"/>
                <w:highlight w:val="none"/>
                <w:u w:val="single"/>
              </w:rPr>
              <w:t>从</w:t>
            </w:r>
            <w:r>
              <w:rPr>
                <w:rFonts w:hint="eastAsia" w:ascii="仿宋" w:hAnsi="仿宋" w:eastAsia="仿宋" w:cs="仿宋"/>
                <w:color w:val="auto"/>
                <w:kern w:val="0"/>
                <w:sz w:val="24"/>
                <w:highlight w:val="none"/>
                <w:u w:val="single"/>
                <w:lang w:eastAsia="zh-CN"/>
              </w:rPr>
              <w:t>南通市住房和城乡建设局官网 -公告公示栏（http://zj.nantong.gov.cn/）</w:t>
            </w:r>
            <w:r>
              <w:rPr>
                <w:rFonts w:hint="eastAsia" w:ascii="仿宋" w:hAnsi="仿宋" w:eastAsia="仿宋" w:cs="仿宋"/>
                <w:color w:val="auto"/>
                <w:kern w:val="0"/>
                <w:sz w:val="24"/>
                <w:highlight w:val="none"/>
              </w:rPr>
              <w:t>自行下载</w:t>
            </w:r>
            <w:r>
              <w:rPr>
                <w:rFonts w:hint="eastAsia" w:ascii="仿宋" w:hAnsi="仿宋" w:eastAsia="仿宋" w:cs="仿宋"/>
                <w:color w:val="auto"/>
                <w:kern w:val="0"/>
                <w:sz w:val="24"/>
                <w:highlight w:val="none"/>
                <w:lang w:eastAsia="zh-CN"/>
              </w:rPr>
              <w:t>公开招标</w:t>
            </w:r>
            <w:r>
              <w:rPr>
                <w:rFonts w:hint="eastAsia" w:ascii="仿宋" w:hAnsi="仿宋" w:eastAsia="仿宋" w:cs="仿宋"/>
                <w:color w:val="auto"/>
                <w:kern w:val="0"/>
                <w:sz w:val="24"/>
                <w:highlight w:val="none"/>
              </w:rPr>
              <w:t>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lang w:eastAsia="zh-CN"/>
              </w:rPr>
              <w:t>2026年05月</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u w:val="single"/>
                <w:lang w:eastAsia="zh-CN"/>
              </w:rPr>
              <w:t>日14点30分</w:t>
            </w:r>
            <w:r>
              <w:rPr>
                <w:rFonts w:hint="eastAsia" w:ascii="仿宋" w:hAnsi="仿宋" w:eastAsia="仿宋" w:cs="仿宋"/>
                <w:bCs/>
                <w:color w:val="auto"/>
                <w:sz w:val="24"/>
                <w:szCs w:val="24"/>
                <w:highlight w:val="none"/>
              </w:rPr>
              <w:t>（北京时间）前提交响应文件</w:t>
            </w:r>
            <w:r>
              <w:rPr>
                <w:rFonts w:hint="eastAsia" w:ascii="仿宋" w:hAnsi="仿宋" w:eastAsia="仿宋" w:cs="仿宋"/>
                <w:color w:val="auto"/>
                <w:sz w:val="24"/>
                <w:szCs w:val="24"/>
                <w:highlight w:val="none"/>
              </w:rPr>
              <w:t>。</w:t>
            </w:r>
          </w:p>
        </w:tc>
      </w:tr>
    </w:tbl>
    <w:p w14:paraId="195018F6">
      <w:pPr>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szCs w:val="24"/>
          <w:highlight w:val="none"/>
          <w:lang w:val="en-US" w:eastAsia="zh-CN"/>
        </w:rPr>
      </w:pPr>
      <w:bookmarkStart w:id="9" w:name="_Toc35393798"/>
      <w:bookmarkStart w:id="10" w:name="_Toc28359012"/>
      <w:bookmarkStart w:id="11" w:name="_Toc28359089"/>
      <w:bookmarkStart w:id="12" w:name="_Toc35393629"/>
      <w:r>
        <w:rPr>
          <w:rFonts w:hint="eastAsia" w:ascii="仿宋" w:hAnsi="仿宋" w:eastAsia="仿宋" w:cs="仿宋"/>
          <w:b/>
          <w:bCs/>
          <w:color w:val="auto"/>
          <w:sz w:val="24"/>
          <w:szCs w:val="24"/>
          <w:highlight w:val="none"/>
          <w:lang w:val="en-US" w:eastAsia="zh-CN"/>
        </w:rPr>
        <w:t>一、项目基本情况</w:t>
      </w:r>
      <w:bookmarkEnd w:id="9"/>
      <w:bookmarkEnd w:id="10"/>
      <w:bookmarkEnd w:id="11"/>
      <w:bookmarkEnd w:id="12"/>
    </w:p>
    <w:p w14:paraId="0F3E4929">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项目名称：南通市园林绿化管理处法律顾问服务项目</w:t>
      </w:r>
    </w:p>
    <w:p w14:paraId="770E27A9">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sz w:val="24"/>
          <w:szCs w:val="24"/>
          <w:highlight w:val="none"/>
        </w:rPr>
        <w:t>预算金额：</w:t>
      </w:r>
      <w:r>
        <w:rPr>
          <w:rFonts w:hint="eastAsia" w:ascii="仿宋" w:hAnsi="仿宋" w:eastAsia="仿宋" w:cs="仿宋"/>
          <w:b/>
          <w:bCs/>
          <w:color w:val="auto"/>
          <w:kern w:val="0"/>
          <w:sz w:val="24"/>
          <w:highlight w:val="none"/>
          <w:lang w:val="en-US" w:eastAsia="zh-CN"/>
        </w:rPr>
        <w:t>3万元/年</w:t>
      </w:r>
    </w:p>
    <w:p w14:paraId="15265978">
      <w:pPr>
        <w:pageBreakBefore w:val="0"/>
        <w:kinsoku/>
        <w:wordWrap/>
        <w:overflowPunct/>
        <w:topLinePunct w:val="0"/>
        <w:bidi w:val="0"/>
        <w:spacing w:line="360" w:lineRule="auto"/>
        <w:ind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最高限价：</w:t>
      </w:r>
      <w:r>
        <w:rPr>
          <w:rFonts w:hint="eastAsia" w:ascii="仿宋" w:hAnsi="仿宋" w:eastAsia="仿宋" w:cs="仿宋"/>
          <w:b/>
          <w:bCs/>
          <w:color w:val="auto"/>
          <w:kern w:val="0"/>
          <w:sz w:val="24"/>
          <w:highlight w:val="none"/>
          <w:lang w:val="en-US" w:eastAsia="zh-CN"/>
        </w:rPr>
        <w:t>3万元/年</w:t>
      </w:r>
      <w:r>
        <w:rPr>
          <w:rFonts w:hint="eastAsia" w:ascii="仿宋" w:hAnsi="仿宋" w:eastAsia="仿宋" w:cs="仿宋"/>
          <w:b/>
          <w:bCs/>
          <w:color w:val="auto"/>
          <w:sz w:val="24"/>
          <w:szCs w:val="24"/>
          <w:highlight w:val="none"/>
        </w:rPr>
        <w:t>，报价不得高于采购人设定的最高限价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否则按照无效响应处理</w:t>
      </w:r>
      <w:r>
        <w:rPr>
          <w:rFonts w:hint="eastAsia" w:ascii="仿宋" w:hAnsi="仿宋" w:eastAsia="仿宋" w:cs="仿宋"/>
          <w:b/>
          <w:bCs/>
          <w:color w:val="auto"/>
          <w:kern w:val="0"/>
          <w:sz w:val="24"/>
          <w:highlight w:val="none"/>
        </w:rPr>
        <w:t>。</w:t>
      </w:r>
    </w:p>
    <w:p w14:paraId="1EC84AEB">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标段划分：</w:t>
      </w:r>
      <w:r>
        <w:rPr>
          <w:rFonts w:hint="eastAsia" w:ascii="仿宋" w:hAnsi="仿宋" w:eastAsia="仿宋" w:cs="仿宋"/>
          <w:color w:val="auto"/>
          <w:sz w:val="24"/>
          <w:szCs w:val="24"/>
          <w:highlight w:val="none"/>
          <w:lang w:val="en-US" w:eastAsia="zh-CN"/>
        </w:rPr>
        <w:t>一个标段</w:t>
      </w:r>
    </w:p>
    <w:p w14:paraId="523EFC7B">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采购需求：详见</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w:t>
      </w:r>
    </w:p>
    <w:p w14:paraId="0C8849A0">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合同履行期限：依据《政府购买服务管理办法》（财政部令第102号）第二十四条规定，合同总服务期限3年，合同一年一签。（具体以合同约定时间为准）</w:t>
      </w:r>
      <w:r>
        <w:rPr>
          <w:rFonts w:hint="eastAsia" w:ascii="仿宋" w:hAnsi="仿宋" w:eastAsia="仿宋" w:cs="仿宋"/>
          <w:color w:val="auto"/>
          <w:sz w:val="24"/>
          <w:szCs w:val="24"/>
          <w:highlight w:val="none"/>
          <w:lang w:val="en-US" w:eastAsia="zh-CN"/>
        </w:rPr>
        <w:t>。</w:t>
      </w:r>
    </w:p>
    <w:p w14:paraId="7D041EBF">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本项目（</w:t>
      </w:r>
      <w:r>
        <w:rPr>
          <w:rFonts w:hint="eastAsia" w:ascii="仿宋" w:hAnsi="仿宋" w:eastAsia="仿宋" w:cs="仿宋"/>
          <w:i/>
          <w:color w:val="auto"/>
          <w:sz w:val="24"/>
          <w:szCs w:val="24"/>
          <w:highlight w:val="none"/>
        </w:rPr>
        <w:t>是/否</w:t>
      </w:r>
      <w:r>
        <w:rPr>
          <w:rFonts w:hint="eastAsia" w:ascii="仿宋" w:hAnsi="仿宋" w:eastAsia="仿宋" w:cs="仿宋"/>
          <w:color w:val="auto"/>
          <w:sz w:val="24"/>
          <w:szCs w:val="24"/>
          <w:highlight w:val="none"/>
        </w:rPr>
        <w:t>）接受联合体</w:t>
      </w:r>
      <w:r>
        <w:rPr>
          <w:rFonts w:hint="eastAsia" w:ascii="仿宋" w:hAnsi="仿宋" w:eastAsia="仿宋" w:cs="仿宋"/>
          <w:color w:val="auto"/>
          <w:sz w:val="24"/>
          <w:szCs w:val="24"/>
          <w:highlight w:val="none"/>
          <w:u w:val="single"/>
        </w:rPr>
        <w:t xml:space="preserve"> 否 </w:t>
      </w:r>
    </w:p>
    <w:p w14:paraId="323917B9">
      <w:pPr>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24"/>
          <w:szCs w:val="24"/>
          <w:highlight w:val="none"/>
        </w:rPr>
      </w:pPr>
      <w:bookmarkStart w:id="13" w:name="_Toc35393630"/>
      <w:bookmarkStart w:id="14" w:name="_Toc28359013"/>
      <w:bookmarkStart w:id="15" w:name="_Toc35393799"/>
      <w:bookmarkStart w:id="16" w:name="_Toc28359090"/>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本项目</w:t>
      </w:r>
      <w:r>
        <w:rPr>
          <w:rFonts w:hint="eastAsia" w:ascii="仿宋" w:hAnsi="仿宋" w:eastAsia="仿宋" w:cs="仿宋"/>
          <w:b/>
          <w:bCs/>
          <w:color w:val="auto"/>
          <w:sz w:val="24"/>
          <w:szCs w:val="24"/>
          <w:highlight w:val="none"/>
        </w:rPr>
        <w:t>申请人的资格要求：</w:t>
      </w:r>
      <w:bookmarkEnd w:id="13"/>
      <w:bookmarkEnd w:id="14"/>
      <w:bookmarkEnd w:id="15"/>
      <w:bookmarkEnd w:id="16"/>
    </w:p>
    <w:p w14:paraId="5A13208B">
      <w:pPr>
        <w:pageBreakBefore w:val="0"/>
        <w:kinsoku/>
        <w:wordWrap/>
        <w:overflowPunct/>
        <w:topLinePunct w:val="0"/>
        <w:bidi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（一）符合政府采购法第二十二条第一款规定的条件，并提供下列材料；</w:t>
      </w:r>
    </w:p>
    <w:p w14:paraId="0FA57210">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具有独立承担民事责任的能力（提供法人或者其他组织的营业执照，提供原件</w:t>
      </w:r>
      <w:r>
        <w:rPr>
          <w:rFonts w:hint="eastAsia" w:ascii="仿宋" w:hAnsi="仿宋" w:eastAsia="仿宋" w:cs="仿宋"/>
          <w:color w:val="auto"/>
          <w:kern w:val="0"/>
          <w:sz w:val="24"/>
          <w:szCs w:val="24"/>
          <w:highlight w:val="none"/>
          <w:lang w:val="en-US" w:eastAsia="zh-CN"/>
        </w:rPr>
        <w:t>复印</w:t>
      </w:r>
      <w:r>
        <w:rPr>
          <w:rFonts w:hint="eastAsia" w:ascii="仿宋" w:hAnsi="仿宋" w:eastAsia="仿宋" w:cs="仿宋"/>
          <w:color w:val="auto"/>
          <w:kern w:val="0"/>
          <w:sz w:val="24"/>
          <w:szCs w:val="24"/>
          <w:highlight w:val="none"/>
          <w:lang w:eastAsia="zh-CN"/>
        </w:rPr>
        <w:t>件）；</w:t>
      </w:r>
    </w:p>
    <w:p w14:paraId="203DC8CD">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具有良好的商业信誉和健全的财务会计制度【提供</w:t>
      </w:r>
      <w:r>
        <w:rPr>
          <w:rFonts w:hint="eastAsia" w:ascii="仿宋" w:hAnsi="仿宋" w:eastAsia="仿宋" w:cs="仿宋"/>
          <w:color w:val="auto"/>
          <w:kern w:val="0"/>
          <w:sz w:val="24"/>
          <w:szCs w:val="24"/>
          <w:highlight w:val="none"/>
          <w:lang w:val="en-US" w:eastAsia="zh-CN"/>
        </w:rPr>
        <w:t>2024</w:t>
      </w:r>
      <w:r>
        <w:rPr>
          <w:rFonts w:hint="eastAsia" w:ascii="仿宋" w:hAnsi="仿宋" w:eastAsia="仿宋" w:cs="仿宋"/>
          <w:color w:val="auto"/>
          <w:kern w:val="0"/>
          <w:sz w:val="24"/>
          <w:szCs w:val="24"/>
          <w:highlight w:val="none"/>
          <w:lang w:eastAsia="zh-CN"/>
        </w:rPr>
        <w:t>年度或</w:t>
      </w:r>
      <w:r>
        <w:rPr>
          <w:rFonts w:hint="eastAsia" w:ascii="仿宋" w:hAnsi="仿宋" w:eastAsia="仿宋" w:cs="仿宋"/>
          <w:color w:val="auto"/>
          <w:kern w:val="0"/>
          <w:sz w:val="24"/>
          <w:szCs w:val="24"/>
          <w:highlight w:val="none"/>
          <w:lang w:val="en-US" w:eastAsia="zh-CN"/>
        </w:rPr>
        <w:t>2025</w:t>
      </w:r>
      <w:r>
        <w:rPr>
          <w:rFonts w:hint="eastAsia" w:ascii="仿宋" w:hAnsi="仿宋" w:eastAsia="仿宋" w:cs="仿宋"/>
          <w:color w:val="auto"/>
          <w:kern w:val="0"/>
          <w:sz w:val="24"/>
          <w:szCs w:val="24"/>
          <w:highlight w:val="none"/>
          <w:lang w:eastAsia="zh-CN"/>
        </w:rPr>
        <w:t>年度的经审计的财务报告（成立不满一年不需提供）：供应商是法人的，应提供经审计的财务报告或其基本开户行出具的资信证明或相关行政部门认可的专业担保机构出具的投标担保函；其他组织和自然人，没有经审计的财务报告，可以提供银行出具的资信证明或相关行政部门认可的专业担保机构出具的投标担保函】；</w:t>
      </w:r>
    </w:p>
    <w:p w14:paraId="2794C652">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具有履行合同所必需的设备和专业技术能力（提供承诺函，按第七章后附格式）；</w:t>
      </w:r>
    </w:p>
    <w:p w14:paraId="58202EC8">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有依法缴纳税收和社会保障资金的良好记录（提供自本公告发布日前6个月内任意1个月的依法缴纳税收和社会保障资金的相关材料）；</w:t>
      </w:r>
    </w:p>
    <w:p w14:paraId="2EF0A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5</w:t>
      </w:r>
      <w:r>
        <w:rPr>
          <w:rFonts w:hint="eastAsia" w:ascii="仿宋" w:hAnsi="仿宋" w:eastAsia="仿宋" w:cs="仿宋"/>
          <w:color w:val="auto"/>
          <w:kern w:val="0"/>
          <w:sz w:val="24"/>
          <w:szCs w:val="24"/>
          <w:highlight w:val="none"/>
          <w:lang w:val="en-US" w:eastAsia="zh-CN"/>
        </w:rPr>
        <w:t>.拟投入本项目的律师团队人员不少于3人。其中，项目负责人（指首席顾问律师）必须为本单位正式职工，具有中华人民共和国国籍、通过全国统一司法考试，依法取得《律师执业证书》并经年度考核合格。</w:t>
      </w:r>
    </w:p>
    <w:p w14:paraId="248BE23E">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参加政府采购活动前三年内，在经营活动中没有重大违法记录（提供参加本项目政府采购活动前3年内在经营活动中没有重大违法记录的书面声明，按第七章后附格式）。</w:t>
      </w:r>
    </w:p>
    <w:p w14:paraId="4AD163A3">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供应商法定代表人参加的，必须提供法定代表人身份证明及法定代表人本人身份证复印件（格式参见第七章）；非法定代表人参加的，必须提供法定代表人签字或盖章的授权委托书及法定代表人、被授权人的两人身份证的复印件（格式参见第七章）；</w:t>
      </w:r>
    </w:p>
    <w:p w14:paraId="4403C0CC">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8.具有中华人民共和国</w:t>
      </w:r>
      <w:r>
        <w:rPr>
          <w:rFonts w:hint="eastAsia" w:ascii="仿宋" w:hAnsi="仿宋" w:eastAsia="仿宋" w:cs="仿宋"/>
          <w:color w:val="auto"/>
          <w:kern w:val="0"/>
          <w:sz w:val="24"/>
          <w:szCs w:val="24"/>
          <w:highlight w:val="none"/>
        </w:rPr>
        <w:t>司法部门颁发的</w:t>
      </w:r>
      <w:r>
        <w:rPr>
          <w:rFonts w:hint="eastAsia" w:ascii="仿宋" w:hAnsi="仿宋" w:eastAsia="仿宋" w:cs="仿宋"/>
          <w:color w:val="auto"/>
          <w:kern w:val="0"/>
          <w:sz w:val="24"/>
          <w:szCs w:val="24"/>
          <w:highlight w:val="none"/>
          <w:lang w:val="en-US" w:eastAsia="zh-CN"/>
        </w:rPr>
        <w:t>《律师事务所执业许可证》或《律师事务所分所执业许可证》；</w:t>
      </w:r>
    </w:p>
    <w:p w14:paraId="697FAB06">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供应商响应文件函（格式按第七章）</w:t>
      </w:r>
    </w:p>
    <w:p w14:paraId="67F073D7">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eastAsia="zh-CN"/>
        </w:rPr>
        <w:t>符合法律、法规规定的其他条件。</w:t>
      </w:r>
    </w:p>
    <w:p w14:paraId="4D6966C2">
      <w:pPr>
        <w:pageBreakBefore w:val="0"/>
        <w:kinsoku/>
        <w:wordWrap/>
        <w:overflowPunct/>
        <w:topLinePunct w:val="0"/>
        <w:bidi w:val="0"/>
        <w:spacing w:line="360" w:lineRule="auto"/>
        <w:ind w:firstLine="482" w:firstLineChars="200"/>
        <w:rPr>
          <w:rFonts w:hint="eastAsia" w:ascii="仿宋" w:hAnsi="仿宋" w:eastAsia="仿宋" w:cs="仿宋"/>
          <w:b/>
          <w:color w:val="auto"/>
          <w:sz w:val="24"/>
          <w:szCs w:val="24"/>
          <w:highlight w:val="none"/>
          <w:u w:val="single"/>
          <w:lang w:eastAsia="zh-CN"/>
        </w:rPr>
      </w:pPr>
      <w:bookmarkStart w:id="17" w:name="_Toc28359014"/>
      <w:bookmarkStart w:id="18" w:name="_Toc28359091"/>
      <w:r>
        <w:rPr>
          <w:rFonts w:hint="eastAsia" w:ascii="仿宋" w:hAnsi="仿宋" w:eastAsia="仿宋" w:cs="仿宋"/>
          <w:b/>
          <w:color w:val="auto"/>
          <w:sz w:val="24"/>
          <w:szCs w:val="24"/>
          <w:highlight w:val="none"/>
        </w:rPr>
        <w:t>（二）落实政府采购政策需满足的资格要求：</w:t>
      </w:r>
      <w:r>
        <w:rPr>
          <w:rFonts w:hint="eastAsia" w:ascii="仿宋" w:hAnsi="仿宋" w:eastAsia="仿宋" w:cs="仿宋"/>
          <w:b/>
          <w:color w:val="auto"/>
          <w:sz w:val="24"/>
          <w:szCs w:val="24"/>
          <w:highlight w:val="none"/>
          <w:u w:val="single"/>
          <w:lang w:val="en-US" w:eastAsia="zh-CN"/>
        </w:rPr>
        <w:t>/</w:t>
      </w:r>
    </w:p>
    <w:p w14:paraId="327A8D78">
      <w:pPr>
        <w:pageBreakBefore w:val="0"/>
        <w:kinsoku/>
        <w:wordWrap/>
        <w:overflowPunct/>
        <w:topLinePunct w:val="0"/>
        <w:bidi w:val="0"/>
        <w:spacing w:line="360" w:lineRule="auto"/>
        <w:ind w:firstLine="482"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b/>
          <w:color w:val="auto"/>
          <w:sz w:val="24"/>
          <w:szCs w:val="24"/>
          <w:highlight w:val="none"/>
        </w:rPr>
        <w:t>(三)本项目的特定资格要求：</w:t>
      </w:r>
      <w:bookmarkStart w:id="19" w:name="_Toc35393800"/>
      <w:bookmarkStart w:id="20" w:name="_Toc35393631"/>
      <w:r>
        <w:rPr>
          <w:rFonts w:hint="eastAsia" w:ascii="仿宋" w:hAnsi="仿宋" w:eastAsia="仿宋" w:cs="仿宋"/>
          <w:b/>
          <w:color w:val="auto"/>
          <w:sz w:val="24"/>
          <w:szCs w:val="24"/>
          <w:highlight w:val="none"/>
          <w:u w:val="single"/>
        </w:rPr>
        <w:t>受聘用单位须经核准登记，无不良记录的律师事务所，具备良好社会声誉、完善的管理制度。（提供合规的律师事务所执业许可证）。</w:t>
      </w:r>
    </w:p>
    <w:p w14:paraId="38FC54F0">
      <w:pPr>
        <w:pageBreakBefore w:val="0"/>
        <w:kinsoku/>
        <w:wordWrap/>
        <w:overflowPunct/>
        <w:topLinePunct w:val="0"/>
        <w:bidi w:val="0"/>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三、获取采购文件</w:t>
      </w:r>
      <w:bookmarkEnd w:id="17"/>
      <w:bookmarkEnd w:id="18"/>
      <w:bookmarkEnd w:id="19"/>
      <w:bookmarkEnd w:id="20"/>
    </w:p>
    <w:p w14:paraId="509241C6">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b/>
          <w:bCs/>
          <w:color w:val="auto"/>
          <w:sz w:val="24"/>
          <w:szCs w:val="24"/>
          <w:highlight w:val="none"/>
          <w:u w:val="singl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u w:val="single"/>
          <w:lang w:eastAsia="zh-CN"/>
        </w:rPr>
        <w:t>2026年04月</w:t>
      </w:r>
      <w:r>
        <w:rPr>
          <w:rFonts w:hint="eastAsia" w:ascii="仿宋" w:hAnsi="仿宋" w:eastAsia="仿宋" w:cs="仿宋"/>
          <w:b/>
          <w:bCs/>
          <w:color w:val="auto"/>
          <w:sz w:val="24"/>
          <w:szCs w:val="24"/>
          <w:highlight w:val="none"/>
          <w:u w:val="single"/>
          <w:lang w:val="en-US" w:eastAsia="zh-CN"/>
        </w:rPr>
        <w:t>30</w:t>
      </w:r>
      <w:r>
        <w:rPr>
          <w:rFonts w:hint="eastAsia" w:ascii="仿宋" w:hAnsi="仿宋" w:eastAsia="仿宋" w:cs="仿宋"/>
          <w:b/>
          <w:bCs/>
          <w:color w:val="auto"/>
          <w:sz w:val="24"/>
          <w:szCs w:val="24"/>
          <w:highlight w:val="none"/>
          <w:u w:val="single"/>
          <w:lang w:eastAsia="zh-CN"/>
        </w:rPr>
        <w:t>日至 2026年05月</w:t>
      </w:r>
      <w:r>
        <w:rPr>
          <w:rFonts w:hint="eastAsia" w:ascii="仿宋" w:hAnsi="仿宋" w:eastAsia="仿宋" w:cs="仿宋"/>
          <w:b/>
          <w:bCs/>
          <w:color w:val="auto"/>
          <w:sz w:val="24"/>
          <w:szCs w:val="24"/>
          <w:highlight w:val="none"/>
          <w:u w:val="single"/>
          <w:lang w:val="en-US" w:eastAsia="zh-CN"/>
        </w:rPr>
        <w:t>20</w:t>
      </w:r>
      <w:r>
        <w:rPr>
          <w:rFonts w:hint="eastAsia" w:ascii="仿宋" w:hAnsi="仿宋" w:eastAsia="仿宋" w:cs="仿宋"/>
          <w:b/>
          <w:bCs/>
          <w:color w:val="auto"/>
          <w:sz w:val="24"/>
          <w:szCs w:val="24"/>
          <w:highlight w:val="none"/>
          <w:u w:val="single"/>
          <w:lang w:eastAsia="zh-CN"/>
        </w:rPr>
        <w:t>日14点00分止</w:t>
      </w:r>
    </w:p>
    <w:p w14:paraId="6BC62713">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地点：请</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rPr>
        <w:t>“南通市住房和城乡建设局官网”直接下载采购文件。</w:t>
      </w:r>
    </w:p>
    <w:p w14:paraId="5E863D5E">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方式：自行下载</w:t>
      </w:r>
    </w:p>
    <w:p w14:paraId="7F97301F">
      <w:pPr>
        <w:pageBreakBefore w:val="0"/>
        <w:kinsoku/>
        <w:wordWrap/>
        <w:overflowPunct/>
        <w:topLinePunct w:val="0"/>
        <w:bidi w:val="0"/>
        <w:spacing w:line="360" w:lineRule="auto"/>
        <w:ind w:firstLine="361" w:firstLineChars="150"/>
        <w:rPr>
          <w:rFonts w:hint="eastAsia" w:ascii="仿宋" w:hAnsi="仿宋" w:eastAsia="仿宋" w:cs="仿宋"/>
          <w:b/>
          <w:color w:val="auto"/>
          <w:sz w:val="24"/>
          <w:szCs w:val="24"/>
          <w:highlight w:val="none"/>
        </w:rPr>
      </w:pPr>
      <w:bookmarkStart w:id="21" w:name="_Toc28359092"/>
      <w:bookmarkStart w:id="22" w:name="_Toc28359015"/>
      <w:bookmarkStart w:id="23" w:name="_Toc35393801"/>
      <w:bookmarkStart w:id="24" w:name="_Toc35393632"/>
      <w:r>
        <w:rPr>
          <w:rFonts w:hint="eastAsia" w:ascii="仿宋" w:hAnsi="仿宋" w:eastAsia="仿宋" w:cs="仿宋"/>
          <w:b/>
          <w:bCs/>
          <w:color w:val="auto"/>
          <w:sz w:val="24"/>
          <w:szCs w:val="24"/>
          <w:highlight w:val="none"/>
        </w:rPr>
        <w:t>四、响应文件提交</w:t>
      </w:r>
      <w:bookmarkEnd w:id="21"/>
      <w:bookmarkEnd w:id="22"/>
      <w:bookmarkEnd w:id="23"/>
      <w:bookmarkEnd w:id="24"/>
      <w:bookmarkStart w:id="25" w:name="_Toc35393633"/>
      <w:bookmarkStart w:id="26" w:name="_Toc35393802"/>
      <w:bookmarkStart w:id="27" w:name="_Toc28359093"/>
      <w:bookmarkStart w:id="28" w:name="_Toc28359016"/>
    </w:p>
    <w:p w14:paraId="0654E4A5">
      <w:pPr>
        <w:pageBreakBefore w:val="0"/>
        <w:kinsoku/>
        <w:wordWrap/>
        <w:overflowPunct/>
        <w:topLinePunct w:val="0"/>
        <w:bidi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截止时间：可在</w:t>
      </w:r>
      <w:r>
        <w:rPr>
          <w:rFonts w:hint="eastAsia" w:ascii="仿宋" w:hAnsi="仿宋" w:eastAsia="仿宋" w:cs="仿宋"/>
          <w:b/>
          <w:bCs/>
          <w:color w:val="auto"/>
          <w:sz w:val="24"/>
          <w:szCs w:val="24"/>
          <w:highlight w:val="none"/>
          <w:u w:val="single"/>
          <w:lang w:eastAsia="zh-CN"/>
        </w:rPr>
        <w:t>2026年05月</w:t>
      </w:r>
      <w:r>
        <w:rPr>
          <w:rFonts w:hint="eastAsia" w:ascii="仿宋" w:hAnsi="仿宋" w:eastAsia="仿宋" w:cs="仿宋"/>
          <w:b/>
          <w:bCs/>
          <w:color w:val="auto"/>
          <w:sz w:val="24"/>
          <w:szCs w:val="24"/>
          <w:highlight w:val="none"/>
          <w:u w:val="single"/>
          <w:lang w:val="en-US" w:eastAsia="zh-CN"/>
        </w:rPr>
        <w:t>20</w:t>
      </w:r>
      <w:r>
        <w:rPr>
          <w:rFonts w:hint="eastAsia" w:ascii="仿宋" w:hAnsi="仿宋" w:eastAsia="仿宋" w:cs="仿宋"/>
          <w:b/>
          <w:bCs/>
          <w:color w:val="auto"/>
          <w:sz w:val="24"/>
          <w:szCs w:val="24"/>
          <w:highlight w:val="none"/>
          <w:u w:val="single"/>
          <w:lang w:eastAsia="zh-CN"/>
        </w:rPr>
        <w:t>日14点00分</w:t>
      </w:r>
      <w:r>
        <w:rPr>
          <w:rFonts w:hint="eastAsia" w:ascii="仿宋" w:hAnsi="仿宋" w:eastAsia="仿宋" w:cs="仿宋"/>
          <w:color w:val="auto"/>
          <w:sz w:val="24"/>
          <w:szCs w:val="24"/>
          <w:highlight w:val="none"/>
          <w:u w:val="single"/>
        </w:rPr>
        <w:t>时</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szCs w:val="24"/>
          <w:highlight w:val="none"/>
          <w:u w:val="single"/>
        </w:rPr>
        <w:t>开始递交投标文件，递交截止时间：</w:t>
      </w:r>
      <w:r>
        <w:rPr>
          <w:rFonts w:hint="eastAsia" w:ascii="仿宋" w:hAnsi="仿宋" w:eastAsia="仿宋" w:cs="仿宋"/>
          <w:b/>
          <w:bCs/>
          <w:color w:val="auto"/>
          <w:sz w:val="24"/>
          <w:szCs w:val="24"/>
          <w:highlight w:val="none"/>
          <w:u w:val="single"/>
          <w:lang w:eastAsia="zh-CN"/>
        </w:rPr>
        <w:t>2026年05月</w:t>
      </w:r>
      <w:r>
        <w:rPr>
          <w:rFonts w:hint="eastAsia" w:ascii="仿宋" w:hAnsi="仿宋" w:eastAsia="仿宋" w:cs="仿宋"/>
          <w:b/>
          <w:bCs/>
          <w:color w:val="auto"/>
          <w:sz w:val="24"/>
          <w:szCs w:val="24"/>
          <w:highlight w:val="none"/>
          <w:u w:val="single"/>
          <w:lang w:val="en-US" w:eastAsia="zh-CN"/>
        </w:rPr>
        <w:t>20</w:t>
      </w:r>
      <w:r>
        <w:rPr>
          <w:rFonts w:hint="eastAsia" w:ascii="仿宋" w:hAnsi="仿宋" w:eastAsia="仿宋" w:cs="仿宋"/>
          <w:b/>
          <w:bCs/>
          <w:color w:val="auto"/>
          <w:sz w:val="24"/>
          <w:szCs w:val="24"/>
          <w:highlight w:val="none"/>
          <w:u w:val="single"/>
          <w:lang w:eastAsia="zh-CN"/>
        </w:rPr>
        <w:t>日14点30分</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highlight w:val="none"/>
        </w:rPr>
        <w:t>逾期送达将作无效响应处理。</w:t>
      </w:r>
    </w:p>
    <w:p w14:paraId="0C3F124C">
      <w:pPr>
        <w:pageBreakBefore w:val="0"/>
        <w:kinsoku/>
        <w:wordWrap/>
        <w:overflowPunct/>
        <w:topLinePunct w:val="0"/>
        <w:bidi w:val="0"/>
        <w:spacing w:line="360" w:lineRule="auto"/>
        <w:ind w:firstLine="240" w:firstLineChars="1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u w:val="single"/>
          <w:lang w:eastAsia="zh-CN"/>
        </w:rPr>
        <w:t>南通市崇川区园林路111号（园林路与观阳路交叉路口西南角绿化带内3层办公楼）1楼会议室</w:t>
      </w:r>
    </w:p>
    <w:p w14:paraId="530A7CD7">
      <w:pPr>
        <w:pageBreakBefore w:val="0"/>
        <w:kinsoku/>
        <w:wordWrap/>
        <w:overflowPunct/>
        <w:topLinePunct w:val="0"/>
        <w:bidi w:val="0"/>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五、开启</w:t>
      </w:r>
    </w:p>
    <w:p w14:paraId="592A32AE">
      <w:pPr>
        <w:pageBreakBefore w:val="0"/>
        <w:kinsoku/>
        <w:wordWrap/>
        <w:overflowPunct/>
        <w:topLinePunct w:val="0"/>
        <w:bidi w:val="0"/>
        <w:spacing w:line="360" w:lineRule="auto"/>
        <w:ind w:firstLine="560" w:firstLineChars="200"/>
        <w:rPr>
          <w:rFonts w:hint="eastAsia" w:ascii="仿宋" w:hAnsi="仿宋" w:eastAsia="仿宋" w:cs="仿宋"/>
          <w:bCs/>
          <w:color w:val="auto"/>
          <w:sz w:val="28"/>
          <w:szCs w:val="28"/>
          <w:highlight w:val="none"/>
          <w:u w:val="single"/>
        </w:rPr>
      </w:pPr>
      <w:r>
        <w:rPr>
          <w:rFonts w:hint="eastAsia" w:ascii="仿宋" w:hAnsi="仿宋" w:eastAsia="仿宋" w:cs="仿宋"/>
          <w:color w:val="auto"/>
          <w:sz w:val="28"/>
          <w:szCs w:val="28"/>
          <w:highlight w:val="none"/>
        </w:rPr>
        <w:t>时间：</w:t>
      </w:r>
      <w:r>
        <w:rPr>
          <w:rFonts w:hint="eastAsia" w:ascii="仿宋" w:hAnsi="仿宋" w:eastAsia="仿宋" w:cs="仿宋"/>
          <w:b/>
          <w:bCs/>
          <w:color w:val="auto"/>
          <w:sz w:val="24"/>
          <w:szCs w:val="24"/>
          <w:highlight w:val="none"/>
          <w:u w:val="single"/>
          <w:lang w:eastAsia="zh-CN"/>
        </w:rPr>
        <w:t>2026年05月</w:t>
      </w:r>
      <w:r>
        <w:rPr>
          <w:rFonts w:hint="eastAsia" w:ascii="仿宋" w:hAnsi="仿宋" w:eastAsia="仿宋" w:cs="仿宋"/>
          <w:b/>
          <w:bCs/>
          <w:color w:val="auto"/>
          <w:sz w:val="24"/>
          <w:szCs w:val="24"/>
          <w:highlight w:val="none"/>
          <w:u w:val="single"/>
          <w:lang w:val="en-US" w:eastAsia="zh-CN"/>
        </w:rPr>
        <w:t>20</w:t>
      </w:r>
      <w:r>
        <w:rPr>
          <w:rFonts w:hint="eastAsia" w:ascii="仿宋" w:hAnsi="仿宋" w:eastAsia="仿宋" w:cs="仿宋"/>
          <w:b/>
          <w:bCs/>
          <w:color w:val="auto"/>
          <w:sz w:val="24"/>
          <w:szCs w:val="24"/>
          <w:highlight w:val="none"/>
          <w:u w:val="single"/>
          <w:lang w:eastAsia="zh-CN"/>
        </w:rPr>
        <w:t>日14点30分</w:t>
      </w:r>
      <w:r>
        <w:rPr>
          <w:rFonts w:hint="eastAsia" w:ascii="仿宋" w:hAnsi="仿宋" w:eastAsia="仿宋" w:cs="仿宋"/>
          <w:color w:val="auto"/>
          <w:sz w:val="24"/>
          <w:szCs w:val="24"/>
          <w:highlight w:val="none"/>
        </w:rPr>
        <w:t>（北京时间）</w:t>
      </w:r>
    </w:p>
    <w:p w14:paraId="4BD3BCAC">
      <w:pPr>
        <w:pageBreakBefore w:val="0"/>
        <w:kinsoku/>
        <w:wordWrap/>
        <w:overflowPunct/>
        <w:topLinePunct w:val="0"/>
        <w:bidi w:val="0"/>
        <w:spacing w:line="360" w:lineRule="auto"/>
        <w:ind w:firstLine="56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8"/>
          <w:szCs w:val="28"/>
          <w:highlight w:val="none"/>
        </w:rPr>
        <w:t>地点：</w:t>
      </w:r>
      <w:bookmarkEnd w:id="25"/>
      <w:bookmarkEnd w:id="26"/>
      <w:bookmarkEnd w:id="27"/>
      <w:bookmarkEnd w:id="28"/>
      <w:bookmarkStart w:id="29" w:name="_Toc35393635"/>
      <w:bookmarkStart w:id="30" w:name="_Toc35393804"/>
      <w:r>
        <w:rPr>
          <w:rFonts w:hint="eastAsia" w:ascii="仿宋" w:hAnsi="仿宋" w:eastAsia="仿宋" w:cs="仿宋"/>
          <w:color w:val="auto"/>
          <w:sz w:val="24"/>
          <w:szCs w:val="24"/>
          <w:highlight w:val="none"/>
          <w:u w:val="single"/>
          <w:lang w:eastAsia="zh-CN"/>
        </w:rPr>
        <w:t>南通市崇川区园林路111号（园林路与观阳路交叉路口西南角绿化带内3层办公楼）1楼会议室</w:t>
      </w:r>
    </w:p>
    <w:p w14:paraId="4B00CAFF">
      <w:pPr>
        <w:pageBreakBefore w:val="0"/>
        <w:kinsoku/>
        <w:wordWrap/>
        <w:overflowPunct/>
        <w:topLinePunct w:val="0"/>
        <w:bidi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六、其他补充事宜</w:t>
      </w:r>
      <w:bookmarkEnd w:id="29"/>
      <w:bookmarkEnd w:id="30"/>
      <w:bookmarkStart w:id="31" w:name="_Toc35393636"/>
      <w:bookmarkStart w:id="32" w:name="_Toc28359095"/>
      <w:bookmarkStart w:id="33" w:name="_Toc35393805"/>
      <w:bookmarkStart w:id="34" w:name="_Toc28359018"/>
    </w:p>
    <w:p w14:paraId="78AD8FD5">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本项目的采购人其他资格要求、项目需求、评分标准，均由采购人提出。相关的询问、质疑，请直接向采购人提出，并由采购人负责答复。</w:t>
      </w:r>
    </w:p>
    <w:p w14:paraId="5CEB55B9">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投标保证金的形式：</w:t>
      </w:r>
      <w:r>
        <w:rPr>
          <w:rFonts w:hint="eastAsia" w:ascii="仿宋" w:hAnsi="仿宋" w:eastAsia="仿宋" w:cs="仿宋"/>
          <w:b/>
          <w:bCs/>
          <w:color w:val="auto"/>
          <w:sz w:val="24"/>
          <w:szCs w:val="24"/>
          <w:highlight w:val="none"/>
          <w:u w:val="single"/>
        </w:rPr>
        <w:t>/</w:t>
      </w:r>
    </w:p>
    <w:p w14:paraId="7C4353E0">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拒绝以下供应商参与投标：</w:t>
      </w:r>
    </w:p>
    <w:p w14:paraId="3E63D426">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供应商之间存在下列互为关联关系的情形之一的，不得同时参加本项目投标：</w:t>
      </w:r>
    </w:p>
    <w:p w14:paraId="3CF6587D">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法定代表人为同一人的两个及两个以上法人；</w:t>
      </w:r>
    </w:p>
    <w:p w14:paraId="5C44C79B">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母公司、直接或间接持股50％及以上的被投资公司；</w:t>
      </w:r>
    </w:p>
    <w:p w14:paraId="061BCFF9">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到现场</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时，请考虑路途拥堵、停车困难等情况，适当提前到达。</w:t>
      </w:r>
    </w:p>
    <w:p w14:paraId="5E4F8837">
      <w:pPr>
        <w:pageBreakBefore w:val="0"/>
        <w:kinsoku/>
        <w:wordWrap/>
        <w:overflowPunct/>
        <w:topLinePunct w:val="0"/>
        <w:bidi w:val="0"/>
        <w:snapToGrid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有关本次</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的事项若存在澄清或修改，敬请及时关注</w:t>
      </w:r>
      <w:r>
        <w:rPr>
          <w:rFonts w:hint="eastAsia" w:ascii="仿宋" w:hAnsi="仿宋" w:eastAsia="仿宋" w:cs="仿宋"/>
          <w:color w:val="auto"/>
          <w:sz w:val="24"/>
          <w:szCs w:val="24"/>
          <w:highlight w:val="none"/>
          <w:lang w:eastAsia="zh-CN"/>
        </w:rPr>
        <w:t>"南通市住房和城乡建设局官网"</w:t>
      </w:r>
      <w:r>
        <w:rPr>
          <w:rFonts w:hint="eastAsia" w:ascii="仿宋" w:hAnsi="仿宋" w:eastAsia="仿宋" w:cs="仿宋"/>
          <w:color w:val="auto"/>
          <w:sz w:val="24"/>
          <w:szCs w:val="24"/>
          <w:highlight w:val="none"/>
        </w:rPr>
        <w:t>发布的信息更正公告。</w:t>
      </w:r>
    </w:p>
    <w:p w14:paraId="13C64706">
      <w:pPr>
        <w:pageBreakBefore w:val="0"/>
        <w:kinsoku/>
        <w:wordWrap/>
        <w:overflowPunct/>
        <w:topLinePunct w:val="0"/>
        <w:bidi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rPr>
        <w:t>本项目</w:t>
      </w:r>
      <w:r>
        <w:rPr>
          <w:rFonts w:hint="eastAsia" w:ascii="仿宋" w:hAnsi="仿宋" w:eastAsia="仿宋" w:cs="仿宋"/>
          <w:b/>
          <w:color w:val="auto"/>
          <w:sz w:val="24"/>
          <w:szCs w:val="24"/>
          <w:highlight w:val="none"/>
        </w:rPr>
        <w:t>纸质投标文件：资格审查资料包（</w:t>
      </w:r>
      <w:r>
        <w:rPr>
          <w:rFonts w:hint="eastAsia" w:ascii="仿宋" w:hAnsi="仿宋" w:eastAsia="仿宋" w:cs="仿宋"/>
          <w:b/>
          <w:color w:val="auto"/>
          <w:sz w:val="24"/>
          <w:szCs w:val="24"/>
          <w:highlight w:val="none"/>
          <w:lang w:eastAsia="zh-CN"/>
        </w:rPr>
        <w:t>一正</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lang w:eastAsia="zh-CN"/>
        </w:rPr>
        <w:t>副</w:t>
      </w:r>
      <w:r>
        <w:rPr>
          <w:rFonts w:hint="eastAsia" w:ascii="仿宋" w:hAnsi="仿宋" w:eastAsia="仿宋" w:cs="仿宋"/>
          <w:b/>
          <w:color w:val="auto"/>
          <w:sz w:val="24"/>
          <w:szCs w:val="24"/>
          <w:highlight w:val="none"/>
        </w:rPr>
        <w:t>，可一并密封），技术标包（</w:t>
      </w:r>
      <w:r>
        <w:rPr>
          <w:rFonts w:hint="eastAsia" w:ascii="仿宋" w:hAnsi="仿宋" w:eastAsia="仿宋" w:cs="仿宋"/>
          <w:b/>
          <w:color w:val="auto"/>
          <w:sz w:val="24"/>
          <w:szCs w:val="24"/>
          <w:highlight w:val="none"/>
          <w:lang w:eastAsia="zh-CN"/>
        </w:rPr>
        <w:t>一正</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lang w:eastAsia="zh-CN"/>
        </w:rPr>
        <w:t>副</w:t>
      </w:r>
      <w:r>
        <w:rPr>
          <w:rFonts w:hint="eastAsia" w:ascii="仿宋" w:hAnsi="仿宋" w:eastAsia="仿宋" w:cs="仿宋"/>
          <w:b/>
          <w:color w:val="auto"/>
          <w:sz w:val="24"/>
          <w:szCs w:val="24"/>
          <w:highlight w:val="none"/>
        </w:rPr>
        <w:t>，可一并密封），报价标包（</w:t>
      </w:r>
      <w:r>
        <w:rPr>
          <w:rFonts w:hint="eastAsia" w:ascii="仿宋" w:hAnsi="仿宋" w:eastAsia="仿宋" w:cs="仿宋"/>
          <w:b/>
          <w:color w:val="auto"/>
          <w:sz w:val="24"/>
          <w:szCs w:val="24"/>
          <w:highlight w:val="none"/>
          <w:lang w:eastAsia="zh-CN"/>
        </w:rPr>
        <w:t>一正</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lang w:eastAsia="zh-CN"/>
        </w:rPr>
        <w:t>副</w:t>
      </w:r>
      <w:r>
        <w:rPr>
          <w:rFonts w:hint="eastAsia" w:ascii="仿宋" w:hAnsi="仿宋" w:eastAsia="仿宋" w:cs="仿宋"/>
          <w:b/>
          <w:color w:val="auto"/>
          <w:sz w:val="24"/>
          <w:szCs w:val="24"/>
          <w:highlight w:val="none"/>
        </w:rPr>
        <w:t>，可一并密封）；</w:t>
      </w:r>
    </w:p>
    <w:p w14:paraId="27554A53">
      <w:pPr>
        <w:pageBreakBefore w:val="0"/>
        <w:kinsoku/>
        <w:wordWrap/>
        <w:overflowPunct/>
        <w:topLinePunct w:val="0"/>
        <w:bidi w:val="0"/>
        <w:spacing w:line="360" w:lineRule="auto"/>
        <w:ind w:firstLine="231" w:firstLineChars="100"/>
        <w:rPr>
          <w:rFonts w:hint="eastAsia" w:ascii="仿宋" w:hAnsi="仿宋" w:eastAsia="仿宋" w:cs="仿宋"/>
          <w:b/>
          <w:color w:val="auto"/>
          <w:kern w:val="0"/>
          <w:sz w:val="24"/>
          <w:szCs w:val="24"/>
          <w:highlight w:val="none"/>
        </w:rPr>
      </w:pPr>
      <w:r>
        <w:rPr>
          <w:rFonts w:hint="eastAsia" w:ascii="仿宋" w:hAnsi="仿宋" w:eastAsia="仿宋" w:cs="仿宋"/>
          <w:b/>
          <w:color w:val="auto"/>
          <w:kern w:val="2"/>
          <w:sz w:val="23"/>
          <w:szCs w:val="23"/>
          <w:highlight w:val="none"/>
          <w:lang w:val="en-US" w:eastAsia="zh-CN"/>
        </w:rPr>
        <w:t>七、</w:t>
      </w:r>
      <w:r>
        <w:rPr>
          <w:rFonts w:hint="eastAsia" w:ascii="仿宋" w:hAnsi="仿宋" w:eastAsia="仿宋" w:cs="仿宋"/>
          <w:b/>
          <w:bCs/>
          <w:color w:val="auto"/>
          <w:sz w:val="24"/>
          <w:szCs w:val="24"/>
          <w:highlight w:val="none"/>
        </w:rPr>
        <w:t>凡对本次采购提出询问，请按以下方式联系。</w:t>
      </w:r>
      <w:bookmarkEnd w:id="31"/>
      <w:bookmarkEnd w:id="32"/>
      <w:bookmarkEnd w:id="33"/>
      <w:bookmarkEnd w:id="34"/>
    </w:p>
    <w:bookmarkEnd w:id="4"/>
    <w:bookmarkEnd w:id="5"/>
    <w:bookmarkEnd w:id="6"/>
    <w:bookmarkEnd w:id="7"/>
    <w:bookmarkEnd w:id="8"/>
    <w:p w14:paraId="58CABDAB">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采购人信息</w:t>
      </w:r>
    </w:p>
    <w:p w14:paraId="2DAA9A3B">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名称：南通市园林绿化管理处</w:t>
      </w:r>
    </w:p>
    <w:p w14:paraId="0B112168">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地址：江苏省南通市崇川区园林路111号</w:t>
      </w:r>
    </w:p>
    <w:p w14:paraId="71915106">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联系人：钱女士</w:t>
      </w:r>
    </w:p>
    <w:p w14:paraId="1C782639">
      <w:pPr>
        <w:pageBreakBefore w:val="0"/>
        <w:kinsoku/>
        <w:wordWrap/>
        <w:overflowPunct/>
        <w:topLinePunct w:val="0"/>
        <w:bidi w:val="0"/>
        <w:spacing w:line="360" w:lineRule="auto"/>
        <w:rPr>
          <w:rFonts w:hint="eastAsia" w:ascii="仿宋" w:hAnsi="仿宋" w:eastAsia="仿宋" w:cs="仿宋"/>
          <w:b/>
          <w:bCs/>
          <w:color w:val="auto"/>
          <w:sz w:val="32"/>
          <w:szCs w:val="32"/>
          <w:highlight w:val="none"/>
        </w:rPr>
      </w:pPr>
      <w:r>
        <w:rPr>
          <w:rFonts w:hint="eastAsia" w:ascii="仿宋" w:hAnsi="仿宋" w:eastAsia="仿宋" w:cs="仿宋"/>
          <w:color w:val="auto"/>
          <w:sz w:val="24"/>
          <w:szCs w:val="24"/>
          <w:highlight w:val="none"/>
        </w:rPr>
        <w:t>联系方式：0513-85010213</w:t>
      </w:r>
      <w:r>
        <w:rPr>
          <w:rFonts w:hint="eastAsia" w:ascii="仿宋" w:hAnsi="仿宋" w:eastAsia="仿宋" w:cs="仿宋"/>
          <w:b/>
          <w:bCs/>
          <w:color w:val="auto"/>
          <w:sz w:val="32"/>
          <w:szCs w:val="32"/>
          <w:highlight w:val="none"/>
        </w:rPr>
        <w:br w:type="page"/>
      </w:r>
    </w:p>
    <w:p w14:paraId="03A20038">
      <w:pPr>
        <w:pageBreakBefore w:val="0"/>
        <w:kinsoku/>
        <w:wordWrap/>
        <w:overflowPunct/>
        <w:topLinePunct w:val="0"/>
        <w:bidi w:val="0"/>
        <w:spacing w:line="36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第二章</w:t>
      </w:r>
      <w:r>
        <w:rPr>
          <w:rFonts w:hint="eastAsia" w:ascii="仿宋" w:hAnsi="仿宋" w:eastAsia="仿宋" w:cs="仿宋"/>
          <w:b/>
          <w:bCs/>
          <w:color w:val="auto"/>
          <w:kern w:val="44"/>
          <w:sz w:val="32"/>
          <w:szCs w:val="32"/>
          <w:highlight w:val="none"/>
          <w:lang w:val="en-US" w:eastAsia="zh-CN"/>
        </w:rPr>
        <w:t xml:space="preserve"> </w:t>
      </w:r>
      <w:r>
        <w:rPr>
          <w:rFonts w:hint="eastAsia" w:ascii="仿宋" w:hAnsi="仿宋" w:eastAsia="仿宋" w:cs="仿宋"/>
          <w:b/>
          <w:bCs/>
          <w:color w:val="auto"/>
          <w:kern w:val="44"/>
          <w:sz w:val="32"/>
          <w:szCs w:val="32"/>
          <w:highlight w:val="none"/>
          <w:lang w:eastAsia="zh-CN"/>
        </w:rPr>
        <w:t>公开招标</w:t>
      </w:r>
      <w:r>
        <w:rPr>
          <w:rFonts w:hint="eastAsia" w:ascii="仿宋" w:hAnsi="仿宋" w:eastAsia="仿宋" w:cs="仿宋"/>
          <w:b/>
          <w:bCs/>
          <w:color w:val="auto"/>
          <w:kern w:val="44"/>
          <w:sz w:val="32"/>
          <w:szCs w:val="32"/>
          <w:highlight w:val="none"/>
        </w:rPr>
        <w:t>须知</w:t>
      </w:r>
    </w:p>
    <w:p w14:paraId="7736B947">
      <w:pPr>
        <w:pageBreakBefore w:val="0"/>
        <w:kinsoku/>
        <w:wordWrap/>
        <w:overflowPunct/>
        <w:topLinePunct w:val="0"/>
        <w:bidi w:val="0"/>
        <w:spacing w:afterLines="50"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一、总则</w:t>
      </w:r>
    </w:p>
    <w:p w14:paraId="7E729C83">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1、适用范围</w:t>
      </w:r>
    </w:p>
    <w:p w14:paraId="2DD7A80E">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 本公开招标文件仅适用此项目。</w:t>
      </w:r>
    </w:p>
    <w:p w14:paraId="6EB31308">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 本项目按照项目分包，分别确定各分包成交供应商。</w:t>
      </w:r>
    </w:p>
    <w:p w14:paraId="50D5562E">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2、合格的供应商</w:t>
      </w:r>
    </w:p>
    <w:p w14:paraId="171191C7">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2.1满足本公开招标文件中合格供应商资格要求的规定。</w:t>
      </w:r>
    </w:p>
    <w:p w14:paraId="3F7C2A84">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 满足本公开招标文件实质性要求和条件的规定。</w:t>
      </w:r>
      <w:r>
        <w:rPr>
          <w:rFonts w:hint="eastAsia" w:ascii="仿宋" w:hAnsi="仿宋" w:eastAsia="仿宋" w:cs="仿宋"/>
          <w:color w:val="auto"/>
          <w:sz w:val="24"/>
          <w:szCs w:val="24"/>
          <w:highlight w:val="none"/>
          <w:lang w:val="en-US" w:eastAsia="zh-CN"/>
        </w:rPr>
        <w:tab/>
      </w:r>
    </w:p>
    <w:p w14:paraId="300F5A54">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3、公开招标文件的约束力</w:t>
      </w:r>
    </w:p>
    <w:p w14:paraId="5B9C7F74">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供应商一旦下载了本公开招标文件并决定参加公开招标，即被认为接受了本公开招标文件的规定和约束，并且视为自公开招标公告期限届满之日起已经知道或应当知道自身权益是否受到了损害。</w:t>
      </w:r>
    </w:p>
    <w:p w14:paraId="4016619E">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bookmarkStart w:id="35" w:name="_Toc16938527"/>
      <w:bookmarkEnd w:id="35"/>
      <w:bookmarkStart w:id="36" w:name="_Toc513029211"/>
      <w:bookmarkEnd w:id="36"/>
      <w:bookmarkStart w:id="37" w:name="_Toc462564070"/>
      <w:bookmarkEnd w:id="37"/>
      <w:bookmarkStart w:id="38" w:name="_Toc20823283"/>
      <w:r>
        <w:rPr>
          <w:rFonts w:hint="eastAsia" w:ascii="仿宋" w:hAnsi="仿宋" w:eastAsia="仿宋" w:cs="仿宋"/>
          <w:color w:val="auto"/>
          <w:sz w:val="24"/>
          <w:szCs w:val="24"/>
          <w:highlight w:val="none"/>
          <w:lang w:val="en-US" w:eastAsia="zh-CN"/>
        </w:rPr>
        <w:t>公开招标文件的</w:t>
      </w:r>
      <w:bookmarkEnd w:id="38"/>
      <w:r>
        <w:rPr>
          <w:rFonts w:hint="eastAsia" w:ascii="仿宋" w:hAnsi="仿宋" w:eastAsia="仿宋" w:cs="仿宋"/>
          <w:color w:val="auto"/>
          <w:sz w:val="24"/>
          <w:szCs w:val="24"/>
          <w:highlight w:val="none"/>
          <w:lang w:val="en-US" w:eastAsia="zh-CN"/>
        </w:rPr>
        <w:t>询问及修改</w:t>
      </w:r>
    </w:p>
    <w:p w14:paraId="000E9FC2">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4.1任何要求对公开招标文件进行询问的供应商，均应在本公开招标文件公告期限届满之日内以电子文件形式（不具单位名称）发送至</w:t>
      </w:r>
      <w:r>
        <w:rPr>
          <w:rFonts w:hint="eastAsia" w:ascii="仿宋" w:hAnsi="仿宋" w:eastAsia="仿宋" w:cs="仿宋"/>
          <w:b/>
          <w:bCs/>
          <w:color w:val="auto"/>
          <w:sz w:val="24"/>
          <w:szCs w:val="24"/>
          <w:highlight w:val="none"/>
          <w:lang w:val="en-US" w:eastAsia="zh-CN"/>
        </w:rPr>
        <w:t>690598202@qq.com</w:t>
      </w:r>
      <w:r>
        <w:rPr>
          <w:rFonts w:hint="eastAsia" w:ascii="仿宋" w:hAnsi="仿宋" w:eastAsia="仿宋" w:cs="仿宋"/>
          <w:color w:val="auto"/>
          <w:sz w:val="24"/>
          <w:szCs w:val="24"/>
          <w:highlight w:val="none"/>
          <w:lang w:val="en-US" w:eastAsia="zh-CN"/>
        </w:rPr>
        <w:t>邮箱向采购人提出。提交首次响应文件截止之日前，采购人可以对已发出的公开招标文件进行必要的澄清或者修改，澄清或者修改的内容作为公开招标文件的组成部分。澄清或者修改的内容可能影响响应文件编制的，采购人将在提交首次响应文件截止时间至少五日前，在</w:t>
      </w:r>
      <w:r>
        <w:rPr>
          <w:rFonts w:hint="eastAsia" w:ascii="仿宋" w:hAnsi="仿宋" w:eastAsia="仿宋" w:cs="仿宋"/>
          <w:color w:val="auto"/>
          <w:sz w:val="24"/>
          <w:szCs w:val="24"/>
          <w:highlight w:val="none"/>
        </w:rPr>
        <w:t>“南通市住房和城乡建设局官网”</w:t>
      </w:r>
      <w:r>
        <w:rPr>
          <w:rFonts w:hint="eastAsia" w:ascii="仿宋" w:hAnsi="仿宋" w:eastAsia="仿宋" w:cs="仿宋"/>
          <w:color w:val="auto"/>
          <w:sz w:val="24"/>
          <w:szCs w:val="24"/>
          <w:highlight w:val="none"/>
          <w:lang w:val="en-US" w:eastAsia="zh-CN"/>
        </w:rPr>
        <w:t>上发布书面更正公告形式通知所有获取公开招标文件的供应商。不足五日的，采购人应当顺延提交首次响应文件截止时间。</w:t>
      </w:r>
    </w:p>
    <w:p w14:paraId="04833C7E">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4.2采购人可以视采购项目的具体情况，组织供应商进行现场考察或召开公开招标前答疑会，但不单独或分别组织只有一个供应商参加的现场考察和答疑会。</w:t>
      </w:r>
    </w:p>
    <w:p w14:paraId="6ABFF300">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5、公开招标文件的解释</w:t>
      </w:r>
    </w:p>
    <w:p w14:paraId="314DC189">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 本公开招标文件由采购人负责解释。</w:t>
      </w:r>
    </w:p>
    <w:p w14:paraId="1A293A9A">
      <w:pPr>
        <w:pageBreakBefore w:val="0"/>
        <w:kinsoku/>
        <w:wordWrap/>
        <w:overflowPunct/>
        <w:topLinePunct w:val="0"/>
        <w:bidi w:val="0"/>
        <w:spacing w:line="360" w:lineRule="auto"/>
        <w:ind w:firstLine="482" w:firstLineChars="200"/>
        <w:rPr>
          <w:rFonts w:hint="eastAsia" w:ascii="仿宋" w:hAnsi="仿宋" w:eastAsia="仿宋" w:cs="仿宋"/>
          <w:b/>
          <w:bCs/>
          <w:color w:val="auto"/>
          <w:sz w:val="24"/>
          <w:szCs w:val="24"/>
          <w:highlight w:val="none"/>
          <w:lang w:val="en-US" w:eastAsia="zh-CN"/>
        </w:rPr>
      </w:pPr>
      <w:bookmarkStart w:id="39" w:name="_Toc14577351"/>
      <w:bookmarkEnd w:id="39"/>
      <w:bookmarkStart w:id="40" w:name="_Toc61149553"/>
      <w:bookmarkEnd w:id="40"/>
      <w:bookmarkStart w:id="41" w:name="_Toc513029213"/>
      <w:bookmarkEnd w:id="41"/>
      <w:bookmarkStart w:id="42" w:name="_Toc462564072"/>
      <w:r>
        <w:rPr>
          <w:rFonts w:hint="eastAsia" w:ascii="仿宋" w:hAnsi="仿宋" w:eastAsia="仿宋" w:cs="仿宋"/>
          <w:b/>
          <w:bCs/>
          <w:color w:val="auto"/>
          <w:sz w:val="24"/>
          <w:szCs w:val="24"/>
          <w:highlight w:val="none"/>
          <w:lang w:val="en-US" w:eastAsia="zh-CN"/>
        </w:rPr>
        <w:t>二、供应商响应文件的编制</w:t>
      </w:r>
      <w:bookmarkEnd w:id="42"/>
    </w:p>
    <w:p w14:paraId="499908B1">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bookmarkStart w:id="43" w:name="_Toc513029214"/>
      <w:bookmarkEnd w:id="43"/>
      <w:bookmarkStart w:id="44" w:name="_Toc14577355"/>
      <w:bookmarkEnd w:id="44"/>
      <w:bookmarkStart w:id="45" w:name="_Toc14577353"/>
      <w:bookmarkEnd w:id="45"/>
      <w:bookmarkStart w:id="46" w:name="_Toc61149558"/>
      <w:bookmarkEnd w:id="46"/>
      <w:bookmarkStart w:id="47" w:name="_Toc513029215"/>
      <w:bookmarkEnd w:id="47"/>
      <w:bookmarkStart w:id="48" w:name="_Toc462564073"/>
      <w:bookmarkEnd w:id="48"/>
      <w:bookmarkStart w:id="49" w:name="_Toc61149555"/>
      <w:bookmarkEnd w:id="49"/>
      <w:bookmarkStart w:id="50" w:name="_Toc61149557"/>
      <w:bookmarkEnd w:id="50"/>
      <w:bookmarkStart w:id="51" w:name="_Toc513029219"/>
      <w:bookmarkEnd w:id="51"/>
      <w:bookmarkStart w:id="52" w:name="_Toc61149554"/>
      <w:bookmarkEnd w:id="52"/>
      <w:bookmarkStart w:id="53" w:name="_Toc513029223"/>
      <w:bookmarkEnd w:id="53"/>
      <w:bookmarkStart w:id="54" w:name="_Toc61149561"/>
      <w:bookmarkEnd w:id="54"/>
      <w:bookmarkStart w:id="55" w:name="_Toc14577357"/>
      <w:bookmarkEnd w:id="55"/>
      <w:bookmarkStart w:id="56" w:name="_Toc462564074"/>
      <w:bookmarkEnd w:id="56"/>
      <w:r>
        <w:rPr>
          <w:rFonts w:hint="eastAsia" w:ascii="仿宋" w:hAnsi="仿宋" w:eastAsia="仿宋" w:cs="仿宋"/>
          <w:color w:val="auto"/>
          <w:sz w:val="24"/>
          <w:szCs w:val="24"/>
          <w:highlight w:val="none"/>
          <w:lang w:val="en-US" w:eastAsia="zh-CN"/>
        </w:rPr>
        <w:t>1、参选响应文件内容</w:t>
      </w:r>
    </w:p>
    <w:p w14:paraId="4C27F789">
      <w:pPr>
        <w:pStyle w:val="9"/>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b/>
          <w:color w:val="auto"/>
          <w:sz w:val="23"/>
          <w:szCs w:val="23"/>
          <w:highlight w:val="none"/>
        </w:rPr>
        <w:t>资格审查资料包（可提供一个密封包，</w:t>
      </w:r>
      <w:r>
        <w:rPr>
          <w:rFonts w:hint="eastAsia" w:ascii="仿宋" w:hAnsi="仿宋" w:eastAsia="仿宋" w:cs="仿宋"/>
          <w:b/>
          <w:color w:val="auto"/>
          <w:sz w:val="23"/>
          <w:szCs w:val="23"/>
          <w:highlight w:val="none"/>
          <w:lang w:eastAsia="zh-CN"/>
        </w:rPr>
        <w:t>一正</w:t>
      </w:r>
      <w:r>
        <w:rPr>
          <w:rFonts w:hint="eastAsia" w:ascii="仿宋" w:hAnsi="仿宋" w:eastAsia="仿宋" w:cs="仿宋"/>
          <w:b/>
          <w:color w:val="auto"/>
          <w:sz w:val="23"/>
          <w:szCs w:val="23"/>
          <w:highlight w:val="none"/>
          <w:lang w:val="en-US" w:eastAsia="zh-CN"/>
        </w:rPr>
        <w:t>二</w:t>
      </w:r>
      <w:r>
        <w:rPr>
          <w:rFonts w:hint="eastAsia" w:ascii="仿宋" w:hAnsi="仿宋" w:eastAsia="仿宋" w:cs="仿宋"/>
          <w:b/>
          <w:color w:val="auto"/>
          <w:sz w:val="23"/>
          <w:szCs w:val="23"/>
          <w:highlight w:val="none"/>
          <w:lang w:eastAsia="zh-CN"/>
        </w:rPr>
        <w:t>副</w:t>
      </w:r>
      <w:r>
        <w:rPr>
          <w:rFonts w:hint="eastAsia" w:ascii="仿宋" w:hAnsi="仿宋" w:eastAsia="仿宋" w:cs="仿宋"/>
          <w:b/>
          <w:color w:val="auto"/>
          <w:sz w:val="23"/>
          <w:szCs w:val="23"/>
          <w:highlight w:val="none"/>
        </w:rPr>
        <w:t>）</w:t>
      </w:r>
    </w:p>
    <w:p w14:paraId="12CCE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color w:val="auto"/>
          <w:kern w:val="0"/>
          <w:sz w:val="24"/>
          <w:szCs w:val="24"/>
          <w:highlight w:val="none"/>
        </w:rPr>
        <w:t>提供法人或者其他组织的营业执照（提供复印件并加盖公章）；</w:t>
      </w:r>
    </w:p>
    <w:p w14:paraId="2C27B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（2）具有良好的商业信誉和健全的财务会计制度【</w:t>
      </w:r>
      <w:r>
        <w:rPr>
          <w:rFonts w:hint="eastAsia" w:ascii="仿宋" w:hAnsi="仿宋" w:eastAsia="仿宋" w:cs="仿宋"/>
          <w:color w:val="auto"/>
          <w:kern w:val="0"/>
          <w:sz w:val="24"/>
          <w:szCs w:val="24"/>
          <w:highlight w:val="none"/>
          <w:lang w:eastAsia="zh-CN"/>
        </w:rPr>
        <w:t>提供</w:t>
      </w:r>
      <w:r>
        <w:rPr>
          <w:rFonts w:hint="eastAsia" w:ascii="仿宋" w:hAnsi="仿宋" w:eastAsia="仿宋" w:cs="仿宋"/>
          <w:color w:val="auto"/>
          <w:kern w:val="0"/>
          <w:sz w:val="24"/>
          <w:szCs w:val="24"/>
          <w:highlight w:val="none"/>
          <w:lang w:val="en-US" w:eastAsia="zh-CN"/>
        </w:rPr>
        <w:t>2024</w:t>
      </w:r>
      <w:r>
        <w:rPr>
          <w:rFonts w:hint="eastAsia" w:ascii="仿宋" w:hAnsi="仿宋" w:eastAsia="仿宋" w:cs="仿宋"/>
          <w:color w:val="auto"/>
          <w:kern w:val="0"/>
          <w:sz w:val="24"/>
          <w:szCs w:val="24"/>
          <w:highlight w:val="none"/>
          <w:lang w:eastAsia="zh-CN"/>
        </w:rPr>
        <w:t>年度或</w:t>
      </w:r>
      <w:r>
        <w:rPr>
          <w:rFonts w:hint="eastAsia" w:ascii="仿宋" w:hAnsi="仿宋" w:eastAsia="仿宋" w:cs="仿宋"/>
          <w:color w:val="auto"/>
          <w:kern w:val="0"/>
          <w:sz w:val="24"/>
          <w:szCs w:val="24"/>
          <w:highlight w:val="none"/>
          <w:lang w:val="en-US" w:eastAsia="zh-CN"/>
        </w:rPr>
        <w:t>2025</w:t>
      </w:r>
      <w:r>
        <w:rPr>
          <w:rFonts w:hint="eastAsia" w:ascii="仿宋" w:hAnsi="仿宋" w:eastAsia="仿宋" w:cs="仿宋"/>
          <w:color w:val="auto"/>
          <w:kern w:val="0"/>
          <w:sz w:val="24"/>
          <w:szCs w:val="24"/>
          <w:highlight w:val="none"/>
          <w:lang w:eastAsia="zh-CN"/>
        </w:rPr>
        <w:t>年度经审计的财务报告（成立不满一年不需提供）：供应商是法人的，应提供经审计的财务报告或其基本开户行出具的资信证明或相关行政部门认可的专业担保机构出具的投标担保函；其他组织和自然人，没有经审计的财务报告，可以提供银行出具的资信证明或相关行政部门认可的专业担保机构出具的投标担保函</w:t>
      </w:r>
      <w:r>
        <w:rPr>
          <w:rFonts w:hint="eastAsia" w:ascii="仿宋" w:hAnsi="仿宋" w:eastAsia="仿宋" w:cs="仿宋"/>
          <w:color w:val="auto"/>
          <w:kern w:val="0"/>
          <w:sz w:val="24"/>
          <w:szCs w:val="24"/>
          <w:highlight w:val="none"/>
        </w:rPr>
        <w:t>】；</w:t>
      </w:r>
    </w:p>
    <w:p w14:paraId="61774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（3）具有履行合同所必须的设备和专业技术能力（提供承诺函，按第七章后附格</w:t>
      </w:r>
      <w:r>
        <w:rPr>
          <w:rFonts w:hint="eastAsia" w:ascii="仿宋" w:hAnsi="仿宋" w:eastAsia="仿宋" w:cs="仿宋"/>
          <w:color w:val="auto"/>
          <w:kern w:val="0"/>
          <w:sz w:val="24"/>
          <w:szCs w:val="24"/>
          <w:highlight w:val="none"/>
          <w:lang w:val="en-US" w:eastAsia="zh-CN"/>
        </w:rPr>
        <w:t>式</w:t>
      </w:r>
      <w:r>
        <w:rPr>
          <w:rFonts w:hint="eastAsia" w:ascii="仿宋" w:hAnsi="仿宋" w:eastAsia="仿宋" w:cs="仿宋"/>
          <w:color w:val="auto"/>
          <w:kern w:val="0"/>
          <w:sz w:val="24"/>
          <w:szCs w:val="24"/>
          <w:highlight w:val="none"/>
        </w:rPr>
        <w:t>）；</w:t>
      </w:r>
    </w:p>
    <w:p w14:paraId="037570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（4）有依法缴纳税收和社会保障资金的良好记录（</w:t>
      </w:r>
      <w:r>
        <w:rPr>
          <w:rFonts w:hint="eastAsia" w:ascii="仿宋" w:hAnsi="仿宋" w:eastAsia="仿宋" w:cs="仿宋"/>
          <w:color w:val="auto"/>
          <w:kern w:val="0"/>
          <w:sz w:val="24"/>
          <w:szCs w:val="24"/>
          <w:highlight w:val="none"/>
          <w:lang w:eastAsia="zh-CN"/>
        </w:rPr>
        <w:t>提供自本公告发布日前6个月内任意1个月的依法缴纳税收和社会保障资金的相关材料</w:t>
      </w:r>
      <w:r>
        <w:rPr>
          <w:rFonts w:hint="eastAsia" w:ascii="仿宋" w:hAnsi="仿宋" w:eastAsia="仿宋" w:cs="仿宋"/>
          <w:color w:val="auto"/>
          <w:kern w:val="0"/>
          <w:sz w:val="24"/>
          <w:szCs w:val="24"/>
          <w:highlight w:val="none"/>
        </w:rPr>
        <w:t>）；</w:t>
      </w:r>
    </w:p>
    <w:p w14:paraId="21B5FB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拟投入本项目的律师团队人员不少于3人。其中，</w:t>
      </w:r>
      <w:r>
        <w:rPr>
          <w:rFonts w:hint="eastAsia" w:ascii="仿宋" w:hAnsi="仿宋" w:eastAsia="仿宋" w:cs="仿宋"/>
          <w:color w:val="auto"/>
          <w:kern w:val="0"/>
          <w:sz w:val="24"/>
          <w:szCs w:val="24"/>
          <w:highlight w:val="none"/>
          <w:lang w:eastAsia="zh-CN"/>
        </w:rPr>
        <w:t>项目负责人（指首席顾问律师）</w:t>
      </w:r>
      <w:r>
        <w:rPr>
          <w:rFonts w:hint="eastAsia" w:ascii="仿宋" w:hAnsi="仿宋" w:eastAsia="仿宋" w:cs="仿宋"/>
          <w:color w:val="auto"/>
          <w:kern w:val="0"/>
          <w:sz w:val="24"/>
          <w:szCs w:val="24"/>
          <w:highlight w:val="none"/>
          <w:lang w:val="en-US" w:eastAsia="zh-CN"/>
        </w:rPr>
        <w:t>必须为本单位正式职工，</w:t>
      </w:r>
      <w:r>
        <w:rPr>
          <w:rFonts w:hint="eastAsia" w:ascii="仿宋" w:hAnsi="仿宋" w:eastAsia="仿宋" w:cs="仿宋"/>
          <w:color w:val="auto"/>
          <w:kern w:val="0"/>
          <w:sz w:val="24"/>
          <w:szCs w:val="24"/>
          <w:highlight w:val="none"/>
          <w:lang w:eastAsia="zh-CN"/>
        </w:rPr>
        <w:t>具有中华人民共和国国籍、通过全国统一司法考试，依法取得《律师执业证书》并经年度考核合格（提供①律师团队名单一览表格式自拟；②项目负责人有效的《律师执业证书》原件的复印件加盖公章；③项目负责人的身份证复印件加盖公章；④企业与项目负责人签订的有效劳动合同复印件加盖公章；⑤社保机构出具并盖章的投标供应商为项目负责人缴纳</w:t>
      </w:r>
      <w:r>
        <w:rPr>
          <w:rFonts w:hint="eastAsia" w:ascii="仿宋" w:hAnsi="仿宋" w:eastAsia="仿宋" w:cs="仿宋"/>
          <w:color w:val="auto"/>
          <w:kern w:val="0"/>
          <w:sz w:val="24"/>
          <w:szCs w:val="24"/>
          <w:highlight w:val="none"/>
          <w:lang w:val="en-US" w:eastAsia="zh-CN"/>
        </w:rPr>
        <w:t>2025</w:t>
      </w:r>
      <w:r>
        <w:rPr>
          <w:rFonts w:hint="eastAsia" w:ascii="仿宋" w:hAnsi="仿宋" w:eastAsia="仿宋" w:cs="仿宋"/>
          <w:color w:val="auto"/>
          <w:kern w:val="0"/>
          <w:sz w:val="24"/>
          <w:szCs w:val="24"/>
          <w:highlight w:val="none"/>
          <w:lang w:eastAsia="zh-CN"/>
        </w:rPr>
        <w:t>年</w:t>
      </w:r>
      <w:r>
        <w:rPr>
          <w:rFonts w:hint="eastAsia" w:ascii="仿宋" w:hAnsi="仿宋" w:eastAsia="仿宋" w:cs="仿宋"/>
          <w:color w:val="auto"/>
          <w:kern w:val="0"/>
          <w:sz w:val="24"/>
          <w:szCs w:val="24"/>
          <w:highlight w:val="none"/>
          <w:lang w:val="en-US" w:eastAsia="zh-CN"/>
        </w:rPr>
        <w:t>09</w:t>
      </w:r>
      <w:r>
        <w:rPr>
          <w:rFonts w:hint="eastAsia" w:ascii="仿宋" w:hAnsi="仿宋" w:eastAsia="仿宋" w:cs="仿宋"/>
          <w:color w:val="auto"/>
          <w:kern w:val="0"/>
          <w:sz w:val="24"/>
          <w:szCs w:val="24"/>
          <w:highlight w:val="none"/>
          <w:lang w:eastAsia="zh-CN"/>
        </w:rPr>
        <w:t>月-</w:t>
      </w:r>
      <w:r>
        <w:rPr>
          <w:rFonts w:hint="eastAsia" w:ascii="仿宋" w:hAnsi="仿宋" w:eastAsia="仿宋" w:cs="仿宋"/>
          <w:color w:val="auto"/>
          <w:kern w:val="0"/>
          <w:sz w:val="24"/>
          <w:szCs w:val="24"/>
          <w:highlight w:val="none"/>
          <w:lang w:val="en-US" w:eastAsia="zh-CN"/>
        </w:rPr>
        <w:t>2026</w:t>
      </w:r>
      <w:r>
        <w:rPr>
          <w:rFonts w:hint="eastAsia" w:ascii="仿宋" w:hAnsi="仿宋" w:eastAsia="仿宋" w:cs="仿宋"/>
          <w:color w:val="auto"/>
          <w:kern w:val="0"/>
          <w:sz w:val="24"/>
          <w:szCs w:val="24"/>
          <w:highlight w:val="none"/>
          <w:lang w:eastAsia="zh-CN"/>
        </w:rPr>
        <w:t>年0</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月连续六个月的养老保险缴费清单复印件）。</w:t>
      </w:r>
    </w:p>
    <w:p w14:paraId="66558F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参加政府采购活动</w:t>
      </w:r>
      <w:r>
        <w:rPr>
          <w:rFonts w:hint="eastAsia" w:ascii="仿宋" w:hAnsi="仿宋" w:eastAsia="仿宋" w:cs="仿宋"/>
          <w:color w:val="auto"/>
          <w:kern w:val="0"/>
          <w:sz w:val="24"/>
          <w:szCs w:val="24"/>
          <w:highlight w:val="none"/>
          <w:lang w:eastAsia="zh-CN"/>
        </w:rPr>
        <w:t>前三年内</w:t>
      </w:r>
      <w:r>
        <w:rPr>
          <w:rFonts w:hint="eastAsia" w:ascii="仿宋" w:hAnsi="仿宋" w:eastAsia="仿宋" w:cs="仿宋"/>
          <w:color w:val="auto"/>
          <w:kern w:val="0"/>
          <w:sz w:val="24"/>
          <w:szCs w:val="24"/>
          <w:highlight w:val="none"/>
        </w:rPr>
        <w:t>，在经营活动中没有重大违法记录（按第七章后附格式）。</w:t>
      </w:r>
    </w:p>
    <w:p w14:paraId="47C3D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供应商法定代表人参加的，必须提供法定代表人身份证明及法定代表人本人身份证复印件（格式参见第七章）；非法定代表人参加的，必须提供法定代表人签字或盖章的授权委托书及法定代表人、被授权人的两人身份证的复印件（格式参见第七章）</w:t>
      </w:r>
      <w:r>
        <w:rPr>
          <w:rFonts w:hint="eastAsia" w:ascii="仿宋" w:hAnsi="仿宋" w:eastAsia="仿宋" w:cs="仿宋"/>
          <w:color w:val="auto"/>
          <w:kern w:val="0"/>
          <w:sz w:val="24"/>
          <w:szCs w:val="24"/>
          <w:highlight w:val="none"/>
        </w:rPr>
        <w:t>的这两项（须加盖公章）；</w:t>
      </w:r>
    </w:p>
    <w:p w14:paraId="5A51E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具有中华人民共和国</w:t>
      </w:r>
      <w:r>
        <w:rPr>
          <w:rFonts w:hint="eastAsia" w:ascii="仿宋" w:hAnsi="仿宋" w:eastAsia="仿宋" w:cs="仿宋"/>
          <w:color w:val="auto"/>
          <w:kern w:val="0"/>
          <w:sz w:val="24"/>
          <w:szCs w:val="24"/>
          <w:highlight w:val="none"/>
        </w:rPr>
        <w:t>司法部门颁发的</w:t>
      </w:r>
      <w:r>
        <w:rPr>
          <w:rFonts w:hint="eastAsia" w:ascii="仿宋" w:hAnsi="仿宋" w:eastAsia="仿宋" w:cs="仿宋"/>
          <w:color w:val="auto"/>
          <w:kern w:val="0"/>
          <w:sz w:val="24"/>
          <w:szCs w:val="24"/>
          <w:highlight w:val="none"/>
          <w:lang w:val="en-US" w:eastAsia="zh-CN"/>
        </w:rPr>
        <w:t>《律师事务所执业许可证》或《律师事务所分所执业许可证》</w:t>
      </w:r>
      <w:r>
        <w:rPr>
          <w:rFonts w:hint="eastAsia" w:ascii="仿宋" w:hAnsi="仿宋" w:eastAsia="仿宋" w:cs="仿宋"/>
          <w:color w:val="auto"/>
          <w:kern w:val="0"/>
          <w:sz w:val="24"/>
          <w:szCs w:val="24"/>
          <w:highlight w:val="none"/>
        </w:rPr>
        <w:t>（提供复印件并加盖公章）</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 xml:space="preserve">                </w:t>
      </w:r>
    </w:p>
    <w:p w14:paraId="1281DD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）供应商响应文件函（格式按第七章）</w:t>
      </w:r>
      <w:r>
        <w:rPr>
          <w:rFonts w:hint="eastAsia" w:ascii="仿宋" w:hAnsi="仿宋" w:eastAsia="仿宋" w:cs="仿宋"/>
          <w:color w:val="auto"/>
          <w:kern w:val="0"/>
          <w:sz w:val="24"/>
          <w:szCs w:val="24"/>
          <w:highlight w:val="none"/>
          <w:lang w:eastAsia="zh-CN"/>
        </w:rPr>
        <w:t>。</w:t>
      </w:r>
    </w:p>
    <w:p w14:paraId="2BA9FC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）符合法律、法规规定的其他条件。</w:t>
      </w:r>
    </w:p>
    <w:p w14:paraId="608E78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以上未尽之处详见第五章资格审查</w:t>
      </w:r>
    </w:p>
    <w:p w14:paraId="44C0965D">
      <w:pPr>
        <w:pageBreakBefore w:val="0"/>
        <w:kinsoku/>
        <w:wordWrap/>
        <w:overflowPunct/>
        <w:topLinePunct w:val="0"/>
        <w:bidi w:val="0"/>
        <w:spacing w:line="360" w:lineRule="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2</w:t>
      </w:r>
      <w:r>
        <w:rPr>
          <w:rFonts w:hint="eastAsia" w:ascii="仿宋" w:hAnsi="仿宋" w:eastAsia="仿宋" w:cs="仿宋"/>
          <w:b/>
          <w:color w:val="auto"/>
          <w:kern w:val="0"/>
          <w:sz w:val="24"/>
          <w:szCs w:val="24"/>
          <w:highlight w:val="none"/>
        </w:rPr>
        <w:t xml:space="preserve">  技术标（可提供一个密封包，</w:t>
      </w:r>
      <w:r>
        <w:rPr>
          <w:rFonts w:hint="eastAsia" w:ascii="仿宋" w:hAnsi="仿宋" w:eastAsia="仿宋" w:cs="仿宋"/>
          <w:b/>
          <w:color w:val="auto"/>
          <w:kern w:val="0"/>
          <w:sz w:val="24"/>
          <w:szCs w:val="24"/>
          <w:highlight w:val="none"/>
          <w:lang w:eastAsia="zh-CN"/>
        </w:rPr>
        <w:t>一正</w:t>
      </w:r>
      <w:r>
        <w:rPr>
          <w:rFonts w:hint="eastAsia" w:ascii="仿宋" w:hAnsi="仿宋" w:eastAsia="仿宋" w:cs="仿宋"/>
          <w:b/>
          <w:color w:val="auto"/>
          <w:kern w:val="0"/>
          <w:sz w:val="24"/>
          <w:szCs w:val="24"/>
          <w:highlight w:val="none"/>
          <w:lang w:val="en-US" w:eastAsia="zh-CN"/>
        </w:rPr>
        <w:t>二</w:t>
      </w:r>
      <w:r>
        <w:rPr>
          <w:rFonts w:hint="eastAsia" w:ascii="仿宋" w:hAnsi="仿宋" w:eastAsia="仿宋" w:cs="仿宋"/>
          <w:b/>
          <w:color w:val="auto"/>
          <w:kern w:val="0"/>
          <w:sz w:val="24"/>
          <w:szCs w:val="24"/>
          <w:highlight w:val="none"/>
          <w:lang w:eastAsia="zh-CN"/>
        </w:rPr>
        <w:t>副</w:t>
      </w:r>
      <w:r>
        <w:rPr>
          <w:rFonts w:hint="eastAsia" w:ascii="仿宋" w:hAnsi="仿宋" w:eastAsia="仿宋" w:cs="仿宋"/>
          <w:b/>
          <w:color w:val="auto"/>
          <w:kern w:val="0"/>
          <w:sz w:val="24"/>
          <w:szCs w:val="24"/>
          <w:highlight w:val="none"/>
        </w:rPr>
        <w:t>）</w:t>
      </w:r>
    </w:p>
    <w:p w14:paraId="6C1AB0C4">
      <w:pPr>
        <w:pageBreakBefore w:val="0"/>
        <w:kinsoku/>
        <w:wordWrap/>
        <w:overflowPunct/>
        <w:topLinePunct w:val="0"/>
        <w:bidi w:val="0"/>
        <w:spacing w:line="360" w:lineRule="auto"/>
        <w:ind w:firstLine="359" w:firstLineChars="14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（1）封面</w:t>
      </w:r>
    </w:p>
    <w:p w14:paraId="02C93BE4">
      <w:pPr>
        <w:pageBreakBefore w:val="0"/>
        <w:kinsoku/>
        <w:wordWrap/>
        <w:overflowPunct/>
        <w:topLinePunct w:val="0"/>
        <w:bidi w:val="0"/>
        <w:spacing w:line="360" w:lineRule="auto"/>
        <w:ind w:firstLine="359" w:firstLineChars="14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（2）投标响应函</w:t>
      </w:r>
    </w:p>
    <w:p w14:paraId="167BD965">
      <w:pPr>
        <w:pageBreakBefore w:val="0"/>
        <w:kinsoku/>
        <w:wordWrap/>
        <w:overflowPunct/>
        <w:topLinePunct w:val="0"/>
        <w:bidi w:val="0"/>
        <w:spacing w:line="360" w:lineRule="auto"/>
        <w:ind w:firstLine="359" w:firstLineChars="14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（3）根据第六章“评标办法”2.2.2 条款技术标的评审因素及评审标准提供相关投标资料。</w:t>
      </w:r>
    </w:p>
    <w:p w14:paraId="7E1E902C">
      <w:pPr>
        <w:pageBreakBefore w:val="0"/>
        <w:kinsoku/>
        <w:wordWrap/>
        <w:overflowPunct/>
        <w:topLinePunct w:val="0"/>
        <w:bidi w:val="0"/>
        <w:spacing w:line="360" w:lineRule="auto"/>
        <w:ind w:firstLine="359" w:firstLineChars="14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（4）商务技术条款响应一览表</w:t>
      </w:r>
    </w:p>
    <w:p w14:paraId="70DB6FBC">
      <w:pPr>
        <w:pageBreakBefore w:val="0"/>
        <w:kinsoku/>
        <w:wordWrap/>
        <w:overflowPunct/>
        <w:topLinePunct w:val="0"/>
        <w:bidi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（5）投标人认为需要提交的其他资料。</w:t>
      </w:r>
    </w:p>
    <w:p w14:paraId="4D62FC05">
      <w:pPr>
        <w:pageBreakBefore w:val="0"/>
        <w:kinsoku/>
        <w:wordWrap/>
        <w:overflowPunct/>
        <w:topLinePunct w:val="0"/>
        <w:bidi w:val="0"/>
        <w:adjustRightInd w:val="0"/>
        <w:snapToGrid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注明：各投标单位根据本项目技术标文件目录中的内容按顺序编制目录和页码范围（以</w:t>
      </w:r>
      <w:r>
        <w:rPr>
          <w:rFonts w:hint="eastAsia" w:ascii="仿宋" w:hAnsi="仿宋" w:eastAsia="仿宋" w:cs="仿宋"/>
          <w:bCs/>
          <w:color w:val="auto"/>
          <w:sz w:val="24"/>
          <w:szCs w:val="24"/>
          <w:highlight w:val="none"/>
        </w:rPr>
        <w:t>上条款的具体内容及要求请按照本</w:t>
      </w:r>
      <w:r>
        <w:rPr>
          <w:rFonts w:hint="eastAsia" w:ascii="仿宋" w:hAnsi="仿宋" w:eastAsia="仿宋" w:cs="仿宋"/>
          <w:bCs/>
          <w:color w:val="auto"/>
          <w:sz w:val="24"/>
          <w:szCs w:val="24"/>
          <w:highlight w:val="none"/>
          <w:lang w:eastAsia="zh-CN"/>
        </w:rPr>
        <w:t>公开招标</w:t>
      </w:r>
      <w:r>
        <w:rPr>
          <w:rFonts w:hint="eastAsia" w:ascii="仿宋" w:hAnsi="仿宋" w:eastAsia="仿宋" w:cs="仿宋"/>
          <w:bCs/>
          <w:color w:val="auto"/>
          <w:sz w:val="24"/>
          <w:szCs w:val="24"/>
          <w:highlight w:val="none"/>
        </w:rPr>
        <w:t>文件第六章“评标办法”2.2.2 条款技术标的评审因素及评审标准提供相关投标资料），以上条款中相关所有证明材料或证书需提供复印件并加盖单位公章，</w:t>
      </w:r>
      <w:r>
        <w:rPr>
          <w:rFonts w:hint="eastAsia" w:ascii="仿宋" w:hAnsi="仿宋" w:eastAsia="仿宋" w:cs="仿宋"/>
          <w:bCs/>
          <w:color w:val="auto"/>
          <w:sz w:val="24"/>
          <w:szCs w:val="24"/>
          <w:highlight w:val="none"/>
          <w:lang w:val="en-US" w:eastAsia="zh-CN"/>
        </w:rPr>
        <w:t>投标文件中资料不清晰或资料不全的</w:t>
      </w:r>
      <w:r>
        <w:rPr>
          <w:rFonts w:hint="eastAsia" w:ascii="仿宋" w:hAnsi="仿宋" w:eastAsia="仿宋" w:cs="仿宋"/>
          <w:bCs/>
          <w:color w:val="auto"/>
          <w:sz w:val="24"/>
          <w:szCs w:val="24"/>
          <w:highlight w:val="none"/>
        </w:rPr>
        <w:t>不予得分。造成一切后果由投标单位承担。</w:t>
      </w:r>
    </w:p>
    <w:p w14:paraId="7C2D88E8">
      <w:pPr>
        <w:pageBreakBefore w:val="0"/>
        <w:kinsoku/>
        <w:wordWrap/>
        <w:overflowPunct/>
        <w:topLinePunct w:val="0"/>
        <w:bidi w:val="0"/>
        <w:spacing w:line="360" w:lineRule="auto"/>
        <w:ind w:firstLine="231" w:firstLineChars="100"/>
        <w:rPr>
          <w:rFonts w:hint="eastAsia" w:ascii="仿宋" w:hAnsi="仿宋" w:eastAsia="仿宋" w:cs="仿宋"/>
          <w:b/>
          <w:color w:val="auto"/>
          <w:kern w:val="0"/>
          <w:sz w:val="24"/>
          <w:szCs w:val="24"/>
          <w:highlight w:val="none"/>
        </w:rPr>
      </w:pPr>
      <w:r>
        <w:rPr>
          <w:rFonts w:hint="eastAsia" w:ascii="仿宋" w:hAnsi="仿宋" w:eastAsia="仿宋" w:cs="仿宋"/>
          <w:b/>
          <w:color w:val="auto"/>
          <w:sz w:val="23"/>
          <w:szCs w:val="23"/>
          <w:highlight w:val="none"/>
        </w:rPr>
        <w:t>1.</w:t>
      </w:r>
      <w:r>
        <w:rPr>
          <w:rFonts w:hint="eastAsia" w:ascii="仿宋" w:hAnsi="仿宋" w:eastAsia="仿宋" w:cs="仿宋"/>
          <w:b/>
          <w:color w:val="auto"/>
          <w:sz w:val="23"/>
          <w:szCs w:val="23"/>
          <w:highlight w:val="none"/>
          <w:lang w:val="en-US" w:eastAsia="zh-CN"/>
        </w:rPr>
        <w:t>3</w:t>
      </w:r>
      <w:r>
        <w:rPr>
          <w:rFonts w:hint="eastAsia" w:ascii="仿宋" w:hAnsi="仿宋" w:eastAsia="仿宋" w:cs="仿宋"/>
          <w:b/>
          <w:color w:val="auto"/>
          <w:sz w:val="23"/>
          <w:szCs w:val="23"/>
          <w:highlight w:val="none"/>
        </w:rPr>
        <w:t>报价标包</w:t>
      </w: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可</w:t>
      </w:r>
      <w:r>
        <w:rPr>
          <w:rFonts w:hint="eastAsia" w:ascii="仿宋" w:hAnsi="仿宋" w:eastAsia="仿宋" w:cs="仿宋"/>
          <w:b/>
          <w:color w:val="auto"/>
          <w:kern w:val="0"/>
          <w:sz w:val="24"/>
          <w:szCs w:val="24"/>
          <w:highlight w:val="none"/>
        </w:rPr>
        <w:t>提供一个密封包，一正</w:t>
      </w:r>
      <w:r>
        <w:rPr>
          <w:rFonts w:hint="eastAsia" w:ascii="仿宋" w:hAnsi="仿宋" w:eastAsia="仿宋" w:cs="仿宋"/>
          <w:b/>
          <w:color w:val="auto"/>
          <w:kern w:val="0"/>
          <w:sz w:val="24"/>
          <w:szCs w:val="24"/>
          <w:highlight w:val="none"/>
          <w:lang w:val="en-US" w:eastAsia="zh-CN"/>
        </w:rPr>
        <w:t>二</w:t>
      </w:r>
      <w:r>
        <w:rPr>
          <w:rFonts w:hint="eastAsia" w:ascii="仿宋" w:hAnsi="仿宋" w:eastAsia="仿宋" w:cs="仿宋"/>
          <w:b/>
          <w:color w:val="auto"/>
          <w:kern w:val="0"/>
          <w:sz w:val="24"/>
          <w:szCs w:val="24"/>
          <w:highlight w:val="none"/>
        </w:rPr>
        <w:t>副）</w:t>
      </w:r>
    </w:p>
    <w:p w14:paraId="0903A174">
      <w:pPr>
        <w:pageBreakBefore w:val="0"/>
        <w:kinsoku/>
        <w:wordWrap/>
        <w:overflowPunct/>
        <w:topLinePunct w:val="0"/>
        <w:bidi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（1）封面</w:t>
      </w:r>
    </w:p>
    <w:p w14:paraId="2B52CBEC">
      <w:pPr>
        <w:pageBreakBefore w:val="0"/>
        <w:kinsoku/>
        <w:wordWrap/>
        <w:overflowPunct/>
        <w:topLinePunct w:val="0"/>
        <w:bidi w:val="0"/>
        <w:spacing w:line="360" w:lineRule="auto"/>
        <w:ind w:firstLine="360" w:firstLineChars="15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（2）供应商响应文件报价表</w:t>
      </w:r>
    </w:p>
    <w:p w14:paraId="63F39AA5">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报价</w:t>
      </w:r>
    </w:p>
    <w:p w14:paraId="4B5D9F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2.1参加公开招标的供应商应按照公开招标文件规定格式填报供应商响应文件报价表，除免费代理案件外，其他案件的代理费用另行约定。</w:t>
      </w:r>
    </w:p>
    <w:p w14:paraId="3FD0E81D">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2.2标的物</w:t>
      </w:r>
    </w:p>
    <w:p w14:paraId="78E56F70">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详见项目工作内容和技术要求。</w:t>
      </w:r>
    </w:p>
    <w:p w14:paraId="7C41404D">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2.3有关费用处理</w:t>
      </w:r>
    </w:p>
    <w:p w14:paraId="286DC50C">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本次采购供应商的总报价应包括完成本次招标范围内全部工作内容所需的所有费用。</w:t>
      </w:r>
    </w:p>
    <w:p w14:paraId="15183EA9">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最终报价应是固定不变的，不得以任何理由予以变更。任何可变的或者附有条件的响应报价，采购人均将予以拒绝。</w:t>
      </w:r>
    </w:p>
    <w:p w14:paraId="44899C52">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2）最低响应报价不能作为本次招标采购的成交保证。</w:t>
      </w:r>
    </w:p>
    <w:p w14:paraId="57090E3D">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2.4其它费用处理</w:t>
      </w:r>
    </w:p>
    <w:p w14:paraId="69428BCB">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文件未列明，而供应商认为必须的费用也须列入报价。</w:t>
      </w:r>
    </w:p>
    <w:p w14:paraId="15805FA5">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2.5报价采用的货币</w:t>
      </w:r>
    </w:p>
    <w:p w14:paraId="602FB9CE">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响应文件中的单价和总价，无特殊规定的采用人民币报价，以元为单位标注。</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文件中另有规定的按规定执行。</w:t>
      </w:r>
    </w:p>
    <w:p w14:paraId="678FF1E8">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 供应商响应文件报价表上的价格应按</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文件规定填写。</w:t>
      </w:r>
    </w:p>
    <w:p w14:paraId="349F647B">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bookmarkStart w:id="57" w:name="_Toc513029221"/>
      <w:bookmarkEnd w:id="57"/>
      <w:bookmarkStart w:id="58" w:name="_Toc14577359"/>
      <w:bookmarkEnd w:id="58"/>
      <w:bookmarkStart w:id="59" w:name="_Toc61149559"/>
      <w:r>
        <w:rPr>
          <w:rFonts w:hint="eastAsia" w:ascii="仿宋" w:hAnsi="仿宋" w:eastAsia="仿宋" w:cs="仿宋"/>
          <w:color w:val="auto"/>
          <w:kern w:val="0"/>
          <w:sz w:val="24"/>
          <w:szCs w:val="24"/>
          <w:highlight w:val="none"/>
        </w:rPr>
        <w:t>3、项目工作内容和技术要求响应方案</w:t>
      </w:r>
      <w:bookmarkEnd w:id="59"/>
    </w:p>
    <w:p w14:paraId="345C1955">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3.1提供为完成本项目的总体实施方案。</w:t>
      </w:r>
    </w:p>
    <w:p w14:paraId="53A0702B">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3.2对</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文件中项目工作内容和技术要求的技术与商务条款要求逐项作出应答，并提供依据或说明。</w:t>
      </w:r>
    </w:p>
    <w:p w14:paraId="64E75D6F">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3.3供应商认为需要的其他技术文件或说明。</w:t>
      </w:r>
    </w:p>
    <w:p w14:paraId="7993C593">
      <w:pPr>
        <w:pageBreakBefore w:val="0"/>
        <w:kinsoku/>
        <w:wordWrap/>
        <w:overflowPunct/>
        <w:topLinePunct w:val="0"/>
        <w:bidi w:val="0"/>
        <w:spacing w:line="360" w:lineRule="auto"/>
        <w:ind w:firstLine="482" w:firstLineChars="200"/>
        <w:rPr>
          <w:rFonts w:hint="eastAsia" w:ascii="仿宋" w:hAnsi="仿宋" w:eastAsia="仿宋" w:cs="仿宋"/>
          <w:b/>
          <w:bCs/>
          <w:color w:val="auto"/>
          <w:kern w:val="0"/>
          <w:sz w:val="24"/>
          <w:szCs w:val="24"/>
          <w:highlight w:val="none"/>
        </w:rPr>
      </w:pPr>
      <w:bookmarkStart w:id="60" w:name="_Toc513029224"/>
      <w:bookmarkEnd w:id="60"/>
      <w:bookmarkStart w:id="61" w:name="_Toc14577362"/>
      <w:bookmarkEnd w:id="61"/>
      <w:bookmarkStart w:id="62" w:name="_Toc61149562"/>
      <w:r>
        <w:rPr>
          <w:rFonts w:hint="eastAsia" w:ascii="仿宋" w:hAnsi="仿宋" w:eastAsia="仿宋" w:cs="仿宋"/>
          <w:b/>
          <w:bCs/>
          <w:color w:val="auto"/>
          <w:kern w:val="0"/>
          <w:sz w:val="24"/>
          <w:szCs w:val="24"/>
          <w:highlight w:val="none"/>
        </w:rPr>
        <w:t>三、</w:t>
      </w:r>
      <w:r>
        <w:rPr>
          <w:rFonts w:hint="eastAsia" w:ascii="仿宋" w:hAnsi="仿宋" w:eastAsia="仿宋" w:cs="仿宋"/>
          <w:b/>
          <w:bCs/>
          <w:color w:val="auto"/>
          <w:kern w:val="0"/>
          <w:sz w:val="24"/>
          <w:szCs w:val="24"/>
          <w:highlight w:val="none"/>
          <w:lang w:eastAsia="zh-CN"/>
        </w:rPr>
        <w:t>参选</w:t>
      </w:r>
      <w:r>
        <w:rPr>
          <w:rFonts w:hint="eastAsia" w:ascii="仿宋" w:hAnsi="仿宋" w:eastAsia="仿宋" w:cs="仿宋"/>
          <w:b/>
          <w:bCs/>
          <w:color w:val="auto"/>
          <w:kern w:val="0"/>
          <w:sz w:val="24"/>
          <w:szCs w:val="24"/>
          <w:highlight w:val="none"/>
        </w:rPr>
        <w:t>文件的递交</w:t>
      </w:r>
      <w:bookmarkEnd w:id="62"/>
    </w:p>
    <w:p w14:paraId="3A612157">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bookmarkStart w:id="63" w:name="_Toc462564084"/>
      <w:bookmarkEnd w:id="63"/>
      <w:bookmarkStart w:id="64" w:name="_Toc14577363"/>
      <w:bookmarkEnd w:id="64"/>
      <w:bookmarkStart w:id="65" w:name="_Toc513029225"/>
      <w:bookmarkEnd w:id="65"/>
      <w:bookmarkStart w:id="66" w:name="_Toc61149563"/>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文件的密封和标记</w:t>
      </w:r>
      <w:bookmarkEnd w:id="66"/>
    </w:p>
    <w:p w14:paraId="7C02741C">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1.11.1供应商应严格按照</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lang w:val="en-US" w:eastAsia="zh-CN"/>
        </w:rPr>
        <w:t>文件</w:t>
      </w:r>
      <w:r>
        <w:rPr>
          <w:rFonts w:hint="eastAsia" w:ascii="仿宋" w:hAnsi="仿宋" w:eastAsia="仿宋" w:cs="仿宋"/>
          <w:color w:val="auto"/>
          <w:kern w:val="0"/>
          <w:sz w:val="24"/>
          <w:szCs w:val="24"/>
          <w:highlight w:val="none"/>
        </w:rPr>
        <w:t>要求的份数准备</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文件，每份</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文件须清楚地标明“正本”</w:t>
      </w:r>
      <w:r>
        <w:rPr>
          <w:rFonts w:hint="eastAsia" w:ascii="仿宋" w:hAnsi="仿宋" w:eastAsia="仿宋" w:cs="仿宋"/>
          <w:color w:val="auto"/>
          <w:kern w:val="0"/>
          <w:sz w:val="24"/>
          <w:szCs w:val="24"/>
          <w:highlight w:val="none"/>
          <w:lang w:val="en-US" w:eastAsia="zh-CN"/>
        </w:rPr>
        <w:t>或“副本”</w:t>
      </w:r>
      <w:r>
        <w:rPr>
          <w:rFonts w:hint="eastAsia" w:ascii="仿宋" w:hAnsi="仿宋" w:eastAsia="仿宋" w:cs="仿宋"/>
          <w:color w:val="auto"/>
          <w:kern w:val="0"/>
          <w:sz w:val="24"/>
          <w:szCs w:val="24"/>
          <w:highlight w:val="none"/>
        </w:rPr>
        <w:t>字样。供应商应将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资格审查资料包</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“技术标</w:t>
      </w:r>
      <w:r>
        <w:rPr>
          <w:rFonts w:hint="eastAsia" w:ascii="仿宋" w:hAnsi="仿宋" w:eastAsia="仿宋" w:cs="仿宋"/>
          <w:color w:val="auto"/>
          <w:kern w:val="0"/>
          <w:sz w:val="24"/>
          <w:szCs w:val="24"/>
          <w:highlight w:val="none"/>
          <w:lang w:val="en-US" w:eastAsia="zh-CN"/>
        </w:rPr>
        <w:t>包</w:t>
      </w:r>
      <w:r>
        <w:rPr>
          <w:rFonts w:hint="eastAsia" w:ascii="仿宋" w:hAnsi="仿宋" w:eastAsia="仿宋" w:cs="仿宋"/>
          <w:color w:val="auto"/>
          <w:kern w:val="0"/>
          <w:sz w:val="24"/>
          <w:szCs w:val="24"/>
          <w:highlight w:val="none"/>
        </w:rPr>
        <w:t>”、“报价</w:t>
      </w:r>
      <w:r>
        <w:rPr>
          <w:rFonts w:hint="eastAsia" w:ascii="仿宋" w:hAnsi="仿宋" w:eastAsia="仿宋" w:cs="仿宋"/>
          <w:color w:val="auto"/>
          <w:kern w:val="0"/>
          <w:sz w:val="24"/>
          <w:szCs w:val="24"/>
          <w:highlight w:val="none"/>
          <w:lang w:val="en-US" w:eastAsia="zh-CN"/>
        </w:rPr>
        <w:t>标</w:t>
      </w:r>
      <w:r>
        <w:rPr>
          <w:rFonts w:hint="eastAsia" w:ascii="仿宋" w:hAnsi="仿宋" w:eastAsia="仿宋" w:cs="仿宋"/>
          <w:color w:val="auto"/>
          <w:kern w:val="0"/>
          <w:sz w:val="24"/>
          <w:szCs w:val="24"/>
          <w:highlight w:val="none"/>
        </w:rPr>
        <w:t>包”内的所有材料</w:t>
      </w:r>
      <w:r>
        <w:rPr>
          <w:rFonts w:hint="eastAsia" w:ascii="仿宋" w:hAnsi="仿宋" w:eastAsia="仿宋" w:cs="仿宋"/>
          <w:color w:val="auto"/>
          <w:kern w:val="0"/>
          <w:sz w:val="24"/>
          <w:szCs w:val="24"/>
          <w:highlight w:val="none"/>
          <w:lang w:val="en-US" w:eastAsia="zh-CN"/>
        </w:rPr>
        <w:t>及</w:t>
      </w:r>
      <w:r>
        <w:rPr>
          <w:rFonts w:hint="eastAsia" w:ascii="仿宋" w:hAnsi="仿宋" w:eastAsia="仿宋" w:cs="仿宋"/>
          <w:color w:val="auto"/>
          <w:kern w:val="0"/>
          <w:sz w:val="24"/>
          <w:szCs w:val="24"/>
          <w:highlight w:val="none"/>
        </w:rPr>
        <w:t>复印件，须加盖本项目响应单位的公章并装订成册，各一份“正本”，</w:t>
      </w: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rPr>
        <w:t>份“副本”，以便在评审时，供评委检查及提供留存。</w:t>
      </w:r>
    </w:p>
    <w:p w14:paraId="09E7C2FC">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1.2密封的</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文件应：</w:t>
      </w:r>
    </w:p>
    <w:p w14:paraId="2C6771D4">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（1）按采购邀请中注明的地址送达规定地点；</w:t>
      </w:r>
    </w:p>
    <w:p w14:paraId="2C1501A0">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（2）注明参加</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文件编号及参加的分包号；</w:t>
      </w:r>
    </w:p>
    <w:p w14:paraId="7ECF141E">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（3）密</w:t>
      </w:r>
      <w:r>
        <w:rPr>
          <w:rFonts w:hint="eastAsia" w:ascii="仿宋" w:hAnsi="仿宋" w:eastAsia="仿宋" w:cs="仿宋"/>
          <w:color w:val="auto"/>
          <w:kern w:val="0"/>
          <w:sz w:val="24"/>
          <w:szCs w:val="24"/>
          <w:highlight w:val="none"/>
          <w:lang w:val="en-US" w:eastAsia="zh-CN"/>
        </w:rPr>
        <w:t>封</w:t>
      </w:r>
      <w:r>
        <w:rPr>
          <w:rFonts w:hint="eastAsia" w:ascii="仿宋" w:hAnsi="仿宋" w:eastAsia="仿宋" w:cs="仿宋"/>
          <w:color w:val="auto"/>
          <w:kern w:val="0"/>
          <w:sz w:val="24"/>
          <w:szCs w:val="24"/>
          <w:highlight w:val="none"/>
        </w:rPr>
        <w:t>包装上应写明供应商名称</w:t>
      </w:r>
      <w:r>
        <w:rPr>
          <w:rFonts w:hint="eastAsia" w:ascii="仿宋" w:hAnsi="仿宋" w:eastAsia="仿宋" w:cs="仿宋"/>
          <w:color w:val="auto"/>
          <w:kern w:val="0"/>
          <w:sz w:val="24"/>
          <w:szCs w:val="24"/>
          <w:highlight w:val="none"/>
          <w:lang w:eastAsia="zh-CN"/>
        </w:rPr>
        <w:t>；</w:t>
      </w:r>
    </w:p>
    <w:p w14:paraId="28728100">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密封包装袋上均需加盖响应单位公章。</w:t>
      </w:r>
    </w:p>
    <w:p w14:paraId="114D0698">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1.3如果密封包装未按要求密封和加写标记，</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对误投或过早启封概不负责。对由此造成提前开封的</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将予以拒绝，作无效响应处理。</w:t>
      </w:r>
    </w:p>
    <w:p w14:paraId="06F0A2DA">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bookmarkStart w:id="67" w:name="_Toc61149564"/>
      <w:bookmarkEnd w:id="67"/>
      <w:bookmarkStart w:id="68" w:name="_Toc14577364"/>
      <w:bookmarkEnd w:id="68"/>
      <w:bookmarkStart w:id="69" w:name="_Toc513029226"/>
      <w:r>
        <w:rPr>
          <w:rFonts w:hint="eastAsia" w:ascii="仿宋" w:hAnsi="仿宋" w:eastAsia="仿宋" w:cs="仿宋"/>
          <w:color w:val="auto"/>
          <w:kern w:val="0"/>
          <w:sz w:val="24"/>
          <w:szCs w:val="24"/>
          <w:highlight w:val="none"/>
        </w:rPr>
        <w:t>2、</w:t>
      </w:r>
      <w:bookmarkEnd w:id="69"/>
      <w:r>
        <w:rPr>
          <w:rFonts w:hint="eastAsia" w:ascii="仿宋" w:hAnsi="仿宋" w:eastAsia="仿宋" w:cs="仿宋"/>
          <w:color w:val="auto"/>
          <w:kern w:val="0"/>
          <w:sz w:val="24"/>
          <w:szCs w:val="24"/>
          <w:highlight w:val="none"/>
        </w:rPr>
        <w:t>响应文件开启时间</w:t>
      </w:r>
    </w:p>
    <w:p w14:paraId="5C203AC8">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收到响应文件的时间不得迟于本</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文件规定的响应文件接收截止时间。</w:t>
      </w:r>
    </w:p>
    <w:p w14:paraId="3CCAF50E">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有权通过修改</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文件推迟响应文件接收截止时间，在此情况下，供应商的所有权利和义务以及受制的</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文件接收截止时间均应以延长后新的</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文件接收截止时间为准。</w:t>
      </w:r>
    </w:p>
    <w:p w14:paraId="64E9312C">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bookmarkStart w:id="70" w:name="_Toc61149565"/>
      <w:bookmarkEnd w:id="70"/>
      <w:bookmarkStart w:id="71" w:name="_Toc14577365"/>
      <w:bookmarkEnd w:id="71"/>
      <w:bookmarkStart w:id="72" w:name="_Toc513029227"/>
      <w:r>
        <w:rPr>
          <w:rFonts w:hint="eastAsia" w:ascii="仿宋" w:hAnsi="仿宋" w:eastAsia="仿宋" w:cs="仿宋"/>
          <w:color w:val="auto"/>
          <w:kern w:val="0"/>
          <w:sz w:val="24"/>
          <w:szCs w:val="24"/>
          <w:highlight w:val="none"/>
        </w:rPr>
        <w:t>3、迟交的</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w:t>
      </w:r>
      <w:bookmarkEnd w:id="72"/>
    </w:p>
    <w:p w14:paraId="4AD1E79C">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将拒绝在规定的</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文件接收截止时间后接收任何</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w:t>
      </w:r>
    </w:p>
    <w:p w14:paraId="7919560D">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bookmarkStart w:id="73" w:name="_Toc61149566"/>
      <w:bookmarkEnd w:id="73"/>
      <w:bookmarkStart w:id="74" w:name="_Toc14577366"/>
      <w:bookmarkEnd w:id="74"/>
      <w:bookmarkStart w:id="75" w:name="_Toc513029228"/>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文件的修改和撤回</w:t>
      </w:r>
      <w:bookmarkEnd w:id="75"/>
    </w:p>
    <w:p w14:paraId="7C1C894F">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4.1供应商在递交</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文件后，可以修改或撤回其</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文件，但这种修改和撤回，必须在规定的</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文件接收截止时间前，以书面形式送达指定地点。</w:t>
      </w:r>
    </w:p>
    <w:p w14:paraId="2B739FF0">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4.2供应商的修改或撤回通知书，应按本文件规定进行编制、密封、标记和发送，并应在封套上加注“修改”和“撤回”字样。</w:t>
      </w:r>
    </w:p>
    <w:p w14:paraId="435EE635">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 供应商在提交最后报价之前，可以根据</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情况退出</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w:t>
      </w:r>
    </w:p>
    <w:p w14:paraId="7A965C00">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5、响应有效期</w:t>
      </w:r>
    </w:p>
    <w:p w14:paraId="3CAC2C8E">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响应有效期为</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规定的</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文件接收截止时间后六十（60）天。响应有效期比规定短的将被视为非实质性响应性而予以拒绝。</w:t>
      </w:r>
    </w:p>
    <w:p w14:paraId="71E3F6A0">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在特殊情况下，</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于原响应有效期满之前，可向供应商提出延长响应有效期的要求。这种要求与答复均应采用书面形式。供应商可以拒绝</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的这一要求而放弃响应，</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在接到供应商书面答复后，同意延长响应有效期的供应商既不能要求也不允许修改其</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文件，同时受响应有效期约束的所有权利与义务均延长至新的有效期。</w:t>
      </w:r>
    </w:p>
    <w:p w14:paraId="1EF00DD9">
      <w:pPr>
        <w:pageBreakBefore w:val="0"/>
        <w:kinsoku/>
        <w:wordWrap/>
        <w:overflowPunct/>
        <w:topLinePunct w:val="0"/>
        <w:bidi w:val="0"/>
        <w:spacing w:line="360" w:lineRule="auto"/>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四、评审</w:t>
      </w:r>
    </w:p>
    <w:p w14:paraId="562DB682">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bookmarkStart w:id="76" w:name="_Toc20823302"/>
      <w:bookmarkEnd w:id="76"/>
      <w:bookmarkStart w:id="77" w:name="_Toc513029230"/>
      <w:bookmarkEnd w:id="77"/>
      <w:bookmarkStart w:id="78" w:name="_Toc16938546"/>
      <w:r>
        <w:rPr>
          <w:rFonts w:hint="eastAsia" w:ascii="仿宋" w:hAnsi="仿宋" w:eastAsia="仿宋" w:cs="仿宋"/>
          <w:color w:val="auto"/>
          <w:kern w:val="0"/>
          <w:sz w:val="24"/>
          <w:szCs w:val="24"/>
          <w:highlight w:val="none"/>
        </w:rPr>
        <w:t>1、</w:t>
      </w:r>
      <w:bookmarkEnd w:id="78"/>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仪式</w:t>
      </w:r>
    </w:p>
    <w:p w14:paraId="13DAA3CA">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将在采购邀请中规定的时间和地点组织</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开始仪式，仪式由</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主持，供应商应委派携带有效证件的代表准时参加，参加仪式的代表需签名以证明其出席。</w:t>
      </w:r>
    </w:p>
    <w:p w14:paraId="5D94FD14">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bookmarkStart w:id="79" w:name="_Toc16938547"/>
      <w:bookmarkEnd w:id="79"/>
      <w:bookmarkStart w:id="80" w:name="_Toc513029231"/>
      <w:bookmarkEnd w:id="80"/>
      <w:bookmarkStart w:id="81" w:name="_Toc20823303"/>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w:t>
      </w:r>
      <w:bookmarkEnd w:id="81"/>
    </w:p>
    <w:p w14:paraId="245AC442">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本次</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依据《中华人民共和国政府采购法》及有关法规成立</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小组由采购人共3人以上单数组成。</w:t>
      </w:r>
    </w:p>
    <w:p w14:paraId="002D5838">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2.2 </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小组的职责：</w:t>
      </w:r>
    </w:p>
    <w:p w14:paraId="2BAF0CAB">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小组成员应当按照客观、公正、审慎的原则，根据</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文件规定的评审程序、评审方法和评审标准进行独立评审。</w:t>
      </w:r>
    </w:p>
    <w:p w14:paraId="4531F5C4">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小组成员应当遵守评审工作纪律，不得泄露评审情况和评审中获悉的商业秘密，对个人的评审意见承担法律责任；</w:t>
      </w:r>
    </w:p>
    <w:p w14:paraId="3019AA03">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小组成员在评审过程中发现供应商有行贿、提供虚假材料或者串通等违法行为的，应当及时向财政部门报告。</w:t>
      </w:r>
    </w:p>
    <w:p w14:paraId="2332F0D7">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小组成员在评审过程中受到非法干涉的，应当及时向财政、监察等部门举报。</w:t>
      </w:r>
    </w:p>
    <w:p w14:paraId="31D74CEC">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（5）配合采购单位答复供应商提出的质疑；配合财政部门的投诉处理和监督检查工作。</w:t>
      </w:r>
    </w:p>
    <w:p w14:paraId="4F075CB4">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w:t>
      </w:r>
      <w:r>
        <w:rPr>
          <w:rFonts w:hint="eastAsia" w:ascii="仿宋" w:hAnsi="仿宋" w:eastAsia="仿宋" w:cs="仿宋"/>
          <w:color w:val="auto"/>
          <w:kern w:val="0"/>
          <w:sz w:val="24"/>
          <w:szCs w:val="24"/>
          <w:highlight w:val="none"/>
        </w:rPr>
        <w:t>评审有关记录由</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小组成员签名，存档备查。</w:t>
      </w:r>
    </w:p>
    <w:p w14:paraId="33AB2EC1">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2.4</w:t>
      </w:r>
      <w:r>
        <w:rPr>
          <w:rFonts w:hint="eastAsia" w:ascii="仿宋" w:hAnsi="仿宋" w:eastAsia="仿宋" w:cs="仿宋"/>
          <w:color w:val="auto"/>
          <w:kern w:val="0"/>
          <w:sz w:val="24"/>
          <w:szCs w:val="24"/>
          <w:highlight w:val="none"/>
        </w:rPr>
        <w:t>供应商的法定代理人（负责人）或被授权人须持身份证准时参加</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w:t>
      </w:r>
    </w:p>
    <w:p w14:paraId="6E5AF50A">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3、评审过程的保密与公正</w:t>
      </w:r>
    </w:p>
    <w:p w14:paraId="3F755392">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小组、采购人、相关监督人员等与评审工作有关的人员，对评审情况以及在评审过程中获悉的国家秘密、商业秘密负有保密责任。</w:t>
      </w:r>
    </w:p>
    <w:p w14:paraId="7D75F74F">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3.2在评审过程中，供应商不得以任何行为影响评审过程，否则其</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文件将被作为无效响应文件。</w:t>
      </w:r>
    </w:p>
    <w:p w14:paraId="7FAA837C">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小组成员应当按照客观、公正、审慎的原则，根据</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文件规定的评审程序、评审方法和评审标准进行独立评审。未实质性响应</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文件的</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文件按无效响应处理，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小组应当告知提交</w:t>
      </w:r>
      <w:r>
        <w:rPr>
          <w:rFonts w:hint="eastAsia" w:ascii="仿宋" w:hAnsi="仿宋" w:eastAsia="仿宋" w:cs="仿宋"/>
          <w:color w:val="auto"/>
          <w:kern w:val="0"/>
          <w:sz w:val="24"/>
          <w:szCs w:val="24"/>
          <w:highlight w:val="none"/>
          <w:lang w:eastAsia="zh-CN"/>
        </w:rPr>
        <w:t>参选</w:t>
      </w:r>
      <w:r>
        <w:rPr>
          <w:rFonts w:hint="eastAsia" w:ascii="仿宋" w:hAnsi="仿宋" w:eastAsia="仿宋" w:cs="仿宋"/>
          <w:color w:val="auto"/>
          <w:kern w:val="0"/>
          <w:sz w:val="24"/>
          <w:szCs w:val="24"/>
          <w:highlight w:val="none"/>
        </w:rPr>
        <w:t>文件的供应商。</w:t>
      </w:r>
    </w:p>
    <w:p w14:paraId="492F9CA0">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bookmarkStart w:id="82" w:name="_Toc513029232"/>
      <w:bookmarkEnd w:id="82"/>
      <w:bookmarkStart w:id="83" w:name="_Toc16938548"/>
      <w:bookmarkEnd w:id="83"/>
      <w:bookmarkStart w:id="84" w:name="_Toc20823304"/>
      <w:r>
        <w:rPr>
          <w:rFonts w:hint="eastAsia" w:ascii="仿宋" w:hAnsi="仿宋" w:eastAsia="仿宋" w:cs="仿宋"/>
          <w:color w:val="auto"/>
          <w:kern w:val="0"/>
          <w:sz w:val="24"/>
          <w:szCs w:val="24"/>
          <w:highlight w:val="none"/>
        </w:rPr>
        <w:t>4、评审过程的澄清</w:t>
      </w:r>
      <w:bookmarkEnd w:id="84"/>
      <w:r>
        <w:rPr>
          <w:rFonts w:hint="eastAsia" w:ascii="仿宋" w:hAnsi="仿宋" w:eastAsia="仿宋" w:cs="仿宋"/>
          <w:color w:val="auto"/>
          <w:kern w:val="0"/>
          <w:sz w:val="24"/>
          <w:szCs w:val="24"/>
          <w:highlight w:val="none"/>
        </w:rPr>
        <w:t>、说明和更正</w:t>
      </w:r>
    </w:p>
    <w:p w14:paraId="35B8A5F1">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611D8C">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4.2接到</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小组要求的供应商应派人按</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7F0DB1CE">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 接到</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小组澄清要求的供应商如未按规定做出澄清，其风险由供应商自行承担。</w:t>
      </w:r>
    </w:p>
    <w:p w14:paraId="5911C112">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bookmarkStart w:id="85" w:name="_Toc513029233"/>
      <w:bookmarkEnd w:id="85"/>
      <w:bookmarkStart w:id="86" w:name="_Toc20823305"/>
      <w:bookmarkEnd w:id="86"/>
      <w:bookmarkStart w:id="87" w:name="_Toc16938549"/>
      <w:r>
        <w:rPr>
          <w:rFonts w:hint="eastAsia" w:ascii="仿宋" w:hAnsi="仿宋" w:eastAsia="仿宋" w:cs="仿宋"/>
          <w:color w:val="auto"/>
          <w:kern w:val="0"/>
          <w:sz w:val="24"/>
          <w:szCs w:val="24"/>
          <w:highlight w:val="none"/>
        </w:rPr>
        <w:t>5、</w:t>
      </w:r>
      <w:bookmarkEnd w:id="87"/>
      <w:r>
        <w:rPr>
          <w:rFonts w:hint="eastAsia" w:ascii="仿宋" w:hAnsi="仿宋" w:eastAsia="仿宋" w:cs="仿宋"/>
          <w:color w:val="auto"/>
          <w:kern w:val="0"/>
          <w:sz w:val="24"/>
          <w:szCs w:val="24"/>
          <w:highlight w:val="none"/>
        </w:rPr>
        <w:t>参选人资格性、符合性审查</w:t>
      </w:r>
    </w:p>
    <w:p w14:paraId="0117C99C">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参选人资格性、符合性不合格的，其参选文件判定为无效参选文件。合格的，评委对其参选文件继续评审。</w:t>
      </w:r>
    </w:p>
    <w:p w14:paraId="7FA0C27A">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bookmarkStart w:id="88" w:name="_Toc16938550"/>
      <w:bookmarkEnd w:id="88"/>
      <w:bookmarkStart w:id="89" w:name="_Toc513029234"/>
      <w:bookmarkEnd w:id="89"/>
      <w:bookmarkStart w:id="90" w:name="_Toc20823306"/>
      <w:r>
        <w:rPr>
          <w:rFonts w:hint="eastAsia" w:ascii="仿宋" w:hAnsi="仿宋" w:eastAsia="仿宋" w:cs="仿宋"/>
          <w:color w:val="auto"/>
          <w:kern w:val="0"/>
          <w:sz w:val="24"/>
          <w:szCs w:val="24"/>
          <w:highlight w:val="none"/>
        </w:rPr>
        <w:t>6、</w:t>
      </w:r>
      <w:bookmarkEnd w:id="90"/>
      <w:r>
        <w:rPr>
          <w:rFonts w:hint="eastAsia" w:ascii="仿宋" w:hAnsi="仿宋" w:eastAsia="仿宋" w:cs="仿宋"/>
          <w:color w:val="auto"/>
          <w:kern w:val="0"/>
          <w:sz w:val="24"/>
          <w:szCs w:val="24"/>
          <w:highlight w:val="none"/>
        </w:rPr>
        <w:t>评审方法和标准</w:t>
      </w:r>
    </w:p>
    <w:p w14:paraId="263BCAA6">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bookmarkStart w:id="91" w:name="_Toc513029235"/>
      <w:bookmarkEnd w:id="91"/>
      <w:bookmarkStart w:id="92" w:name="_Toc16938551"/>
      <w:bookmarkEnd w:id="92"/>
      <w:r>
        <w:rPr>
          <w:rFonts w:hint="eastAsia" w:ascii="仿宋" w:hAnsi="仿宋" w:eastAsia="仿宋" w:cs="仿宋"/>
          <w:color w:val="auto"/>
          <w:kern w:val="0"/>
          <w:sz w:val="24"/>
          <w:szCs w:val="24"/>
          <w:highlight w:val="none"/>
        </w:rPr>
        <w:t>采用综合评分法。分资格审查、价格响应文件、商务技术响应文件三部分评审，总分值为100分，加分和减分因素除外。</w:t>
      </w:r>
    </w:p>
    <w:p w14:paraId="3AE846D2">
      <w:pPr>
        <w:pageBreakBefore w:val="0"/>
        <w:kinsoku/>
        <w:wordWrap/>
        <w:overflowPunct/>
        <w:topLinePunct w:val="0"/>
        <w:bidi w:val="0"/>
        <w:spacing w:line="360" w:lineRule="auto"/>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五、成交</w:t>
      </w:r>
    </w:p>
    <w:p w14:paraId="133CF6CA">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bookmarkStart w:id="93" w:name="_Toc16938554"/>
      <w:bookmarkEnd w:id="93"/>
      <w:bookmarkStart w:id="94" w:name="_Toc513029238"/>
      <w:bookmarkEnd w:id="94"/>
      <w:bookmarkStart w:id="95" w:name="_Toc20823310"/>
      <w:r>
        <w:rPr>
          <w:rFonts w:hint="eastAsia" w:ascii="仿宋" w:hAnsi="仿宋" w:eastAsia="仿宋" w:cs="仿宋"/>
          <w:color w:val="auto"/>
          <w:kern w:val="0"/>
          <w:sz w:val="24"/>
          <w:szCs w:val="24"/>
          <w:highlight w:val="none"/>
        </w:rPr>
        <w:t>1、</w:t>
      </w:r>
      <w:bookmarkEnd w:id="95"/>
      <w:r>
        <w:rPr>
          <w:rFonts w:hint="eastAsia" w:ascii="仿宋" w:hAnsi="仿宋" w:eastAsia="仿宋" w:cs="仿宋"/>
          <w:color w:val="auto"/>
          <w:kern w:val="0"/>
          <w:sz w:val="24"/>
          <w:szCs w:val="24"/>
          <w:highlight w:val="none"/>
        </w:rPr>
        <w:t>确定成交单位</w:t>
      </w:r>
    </w:p>
    <w:p w14:paraId="483A5C5F">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1.1采购人根据</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小组推荐的成交候选人确定成交供应商。采购人确定成交供应商后，将在</w:t>
      </w:r>
      <w:r>
        <w:rPr>
          <w:rFonts w:hint="eastAsia" w:ascii="仿宋" w:hAnsi="仿宋" w:eastAsia="仿宋" w:cs="仿宋"/>
          <w:color w:val="auto"/>
          <w:kern w:val="0"/>
          <w:sz w:val="24"/>
          <w:szCs w:val="24"/>
          <w:highlight w:val="none"/>
          <w:lang w:eastAsia="zh-CN"/>
        </w:rPr>
        <w:t>“南通市住房和城乡建设局官网”</w:t>
      </w:r>
      <w:r>
        <w:rPr>
          <w:rFonts w:hint="eastAsia" w:ascii="仿宋" w:hAnsi="仿宋" w:eastAsia="仿宋" w:cs="仿宋"/>
          <w:color w:val="auto"/>
          <w:kern w:val="0"/>
          <w:sz w:val="24"/>
          <w:szCs w:val="24"/>
          <w:highlight w:val="none"/>
        </w:rPr>
        <w:t>发布</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公告，公告期限为1个工作日。</w:t>
      </w:r>
    </w:p>
    <w:p w14:paraId="59988671">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1.2若有充分证据证明，成交供应商出现下列情况之一的，一经查实，将被取消成交资格：</w:t>
      </w:r>
    </w:p>
    <w:p w14:paraId="50A1A30A">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（1）提供虚假材料谋取成交的；</w:t>
      </w:r>
    </w:p>
    <w:p w14:paraId="7267D3DF">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（2）与评审专家、采购人</w:t>
      </w:r>
      <w:r>
        <w:rPr>
          <w:rFonts w:hint="eastAsia" w:ascii="仿宋" w:hAnsi="仿宋" w:eastAsia="仿宋" w:cs="仿宋"/>
          <w:color w:val="auto"/>
          <w:kern w:val="0"/>
          <w:sz w:val="24"/>
          <w:szCs w:val="24"/>
          <w:highlight w:val="none"/>
          <w:lang w:eastAsia="zh-CN"/>
        </w:rPr>
        <w:t>或</w:t>
      </w:r>
      <w:r>
        <w:rPr>
          <w:rFonts w:hint="eastAsia" w:ascii="仿宋" w:hAnsi="仿宋" w:eastAsia="仿宋" w:cs="仿宋"/>
          <w:color w:val="auto"/>
          <w:kern w:val="0"/>
          <w:sz w:val="24"/>
          <w:szCs w:val="24"/>
          <w:highlight w:val="none"/>
        </w:rPr>
        <w:t>其他供应商恶意串通的；</w:t>
      </w:r>
    </w:p>
    <w:p w14:paraId="1D002F32">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（3）向评审专家或采购人行贿或者提供其他不正当利益的；</w:t>
      </w:r>
    </w:p>
    <w:p w14:paraId="274171F6">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（4）恶意竞争，最终报价明显低于其自身合理成本且又无法提供证明的；</w:t>
      </w:r>
    </w:p>
    <w:p w14:paraId="3A4FE543">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（5）不满足本</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文件规定的实质性要求，但在评审过程中又未被</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小组发现的；</w:t>
      </w:r>
    </w:p>
    <w:p w14:paraId="4520C550">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（6）成交后无正当理由拒不与采购人签订政府采购合同或者未按照</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文件确定的事项签订政府采购合同；</w:t>
      </w:r>
    </w:p>
    <w:p w14:paraId="22654ED9">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（7）将政府采购合同转包；</w:t>
      </w:r>
    </w:p>
    <w:p w14:paraId="6560AF8D">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（8）法律、法规、规章规定的属于成交无效的其他情形。</w:t>
      </w:r>
    </w:p>
    <w:p w14:paraId="2E5C4405">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2、质疑处理</w:t>
      </w:r>
    </w:p>
    <w:p w14:paraId="3888AC9A">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2.1供应商认为</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文件、采购过程和采购结果使自己的权益受到损害的，可以在知道或应知其权益受到损害之日起七个工作日内，以书面形式向采购人提出质疑。上述应知其权益受到损害之日，是指：</w:t>
      </w:r>
    </w:p>
    <w:p w14:paraId="5E3F0488">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（1）对可以质疑的</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文件提出质疑的，为收到</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文件之日或者</w:t>
      </w:r>
      <w:r>
        <w:rPr>
          <w:rFonts w:hint="eastAsia" w:ascii="仿宋" w:hAnsi="仿宋" w:eastAsia="仿宋" w:cs="仿宋"/>
          <w:color w:val="auto"/>
          <w:kern w:val="0"/>
          <w:sz w:val="24"/>
          <w:szCs w:val="24"/>
          <w:highlight w:val="none"/>
          <w:lang w:eastAsia="zh-CN"/>
        </w:rPr>
        <w:t>公开招标</w:t>
      </w:r>
      <w:r>
        <w:rPr>
          <w:rFonts w:hint="eastAsia" w:ascii="仿宋" w:hAnsi="仿宋" w:eastAsia="仿宋" w:cs="仿宋"/>
          <w:color w:val="auto"/>
          <w:kern w:val="0"/>
          <w:sz w:val="24"/>
          <w:szCs w:val="24"/>
          <w:highlight w:val="none"/>
        </w:rPr>
        <w:t>文件公告期限届满之日；</w:t>
      </w:r>
    </w:p>
    <w:p w14:paraId="171EB690">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（2）对采购过程提出质疑的，为各采购程序环节结束之日；</w:t>
      </w:r>
    </w:p>
    <w:p w14:paraId="5CE46213">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（3）对成交结果提出质疑的，为成交结果公告期限届满之日。</w:t>
      </w:r>
    </w:p>
    <w:p w14:paraId="6269687A">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2.2质疑必须由供应商法定代表人或授权代表（响应文件中所确定的）以原件送达的方式提交，未按上述要求提交的质疑函（含传真、电子邮件等）</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有权不予受理。</w:t>
      </w:r>
    </w:p>
    <w:p w14:paraId="69752EE1">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2.3未参加采购活动的供应商或在采购活动中自身权益未受到损害的供应商所提出的质疑不予受理。</w:t>
      </w:r>
    </w:p>
    <w:p w14:paraId="4523EA4E">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2.4质疑函应当包括下列内容：</w:t>
      </w:r>
    </w:p>
    <w:p w14:paraId="14297446">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（1）质疑供应商的名称、地址、邮编、联系人、联系电话；</w:t>
      </w:r>
    </w:p>
    <w:p w14:paraId="095759AB">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（2）具体的质疑事项及明确的请求；</w:t>
      </w:r>
    </w:p>
    <w:p w14:paraId="301B881B">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（3）认为自己合法权益受到损害或可能受到损害的相关证据材料；</w:t>
      </w:r>
    </w:p>
    <w:p w14:paraId="0DB556F0">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（4）提起质疑的日期；</w:t>
      </w:r>
    </w:p>
    <w:p w14:paraId="384B536A">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（5）质疑函应当署名：质疑人为自然人的，应当由本人签字并附有效身份证明；质疑人为法人或其他组织的，应当由法定代表人签字并加盖单位公章。质疑人委托代理质疑的，应当向</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提交授权委托书，并载明委托代理的具体权限和事项。</w:t>
      </w:r>
    </w:p>
    <w:p w14:paraId="00FB3EB9">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收到质疑函后，将对质疑的形式和内容进行审查，如质疑函内容、格式不符合规定，</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将告知质疑人进行补正。</w:t>
      </w:r>
    </w:p>
    <w:p w14:paraId="1AC4FBA2">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2.6质疑人应当在法定质疑期限内进行补正并重新提交质疑函，拒不补正或者在法定期限内未重新提交质疑函的，为无效质疑，</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有权不予受理。</w:t>
      </w:r>
    </w:p>
    <w:p w14:paraId="55EB5281">
      <w:pPr>
        <w:pageBreakBefore w:val="0"/>
        <w:kinsoku/>
        <w:wordWrap/>
        <w:overflowPunct/>
        <w:topLinePunct w:val="0"/>
        <w:bidi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2.7对于内容、格式符合规定的质疑函，</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将在收到参加供应商的书面质疑后七个工作日内作出答复，并以书面形式通知质疑供应商和其他相关供应商，答复的内容不涉及商业秘密。</w:t>
      </w:r>
    </w:p>
    <w:p w14:paraId="3BB30406">
      <w:pPr>
        <w:pageBreakBefore w:val="0"/>
        <w:kinsoku/>
        <w:wordWrap/>
        <w:overflowPunct/>
        <w:topLinePunct w:val="0"/>
        <w:bidi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2.8供应商提出书面质疑必须有理、有据，不得恶意质疑或提交虚假质疑。否则，一经查实，</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有权依据政府采购的有关规定，报请政府采购监管部</w:t>
      </w:r>
      <w:r>
        <w:rPr>
          <w:rFonts w:hint="eastAsia" w:ascii="仿宋" w:hAnsi="仿宋" w:eastAsia="仿宋" w:cs="仿宋"/>
          <w:color w:val="auto"/>
          <w:sz w:val="24"/>
          <w:szCs w:val="24"/>
          <w:highlight w:val="none"/>
        </w:rPr>
        <w:t>门对该供应商进行相应的行政处罚。</w:t>
      </w:r>
    </w:p>
    <w:p w14:paraId="04F09791">
      <w:pPr>
        <w:pageBreakBefore w:val="0"/>
        <w:kinsoku/>
        <w:wordWrap/>
        <w:overflowPunct/>
        <w:topLinePunct w:val="0"/>
        <w:bidi w:val="0"/>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注明：本</w:t>
      </w:r>
      <w:r>
        <w:rPr>
          <w:rFonts w:hint="eastAsia" w:ascii="仿宋" w:hAnsi="仿宋" w:eastAsia="仿宋" w:cs="仿宋"/>
          <w:b/>
          <w:bCs/>
          <w:color w:val="auto"/>
          <w:sz w:val="24"/>
          <w:szCs w:val="24"/>
          <w:highlight w:val="none"/>
          <w:lang w:eastAsia="zh-CN"/>
        </w:rPr>
        <w:t>公开招标</w:t>
      </w:r>
      <w:r>
        <w:rPr>
          <w:rFonts w:hint="eastAsia" w:ascii="仿宋" w:hAnsi="仿宋" w:eastAsia="仿宋" w:cs="仿宋"/>
          <w:b/>
          <w:bCs/>
          <w:color w:val="auto"/>
          <w:sz w:val="24"/>
          <w:szCs w:val="24"/>
          <w:highlight w:val="none"/>
        </w:rPr>
        <w:t>文件要求所有</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应在法定质疑期内一次性提出针对同一采购程序环节的质疑。</w:t>
      </w:r>
    </w:p>
    <w:p w14:paraId="7C548ADE">
      <w:pPr>
        <w:pageBreakBefore w:val="0"/>
        <w:kinsoku/>
        <w:wordWrap/>
        <w:overflowPunct/>
        <w:topLinePunct w:val="0"/>
        <w:bidi w:val="0"/>
        <w:spacing w:line="360" w:lineRule="auto"/>
        <w:ind w:firstLine="480"/>
        <w:rPr>
          <w:rFonts w:hint="eastAsia" w:ascii="仿宋" w:hAnsi="仿宋" w:eastAsia="仿宋" w:cs="仿宋"/>
          <w:b/>
          <w:bCs/>
          <w:color w:val="auto"/>
          <w:sz w:val="24"/>
          <w:szCs w:val="24"/>
          <w:highlight w:val="none"/>
        </w:rPr>
      </w:pPr>
      <w:bookmarkStart w:id="96" w:name="_Toc20823309"/>
      <w:bookmarkEnd w:id="96"/>
      <w:bookmarkStart w:id="97" w:name="_Toc16938553"/>
      <w:bookmarkEnd w:id="97"/>
      <w:bookmarkStart w:id="98" w:name="_Toc513029237"/>
      <w:r>
        <w:rPr>
          <w:rFonts w:hint="eastAsia" w:ascii="仿宋" w:hAnsi="仿宋" w:eastAsia="仿宋" w:cs="仿宋"/>
          <w:b/>
          <w:bCs/>
          <w:color w:val="auto"/>
          <w:sz w:val="24"/>
          <w:szCs w:val="24"/>
          <w:highlight w:val="none"/>
        </w:rPr>
        <w:t>六、合同签订相关事项</w:t>
      </w:r>
      <w:bookmarkEnd w:id="98"/>
    </w:p>
    <w:p w14:paraId="513C07BA">
      <w:pPr>
        <w:pageBreakBefore w:val="0"/>
        <w:kinsoku/>
        <w:wordWrap/>
        <w:overflowPunct/>
        <w:topLinePunct w:val="0"/>
        <w:bidi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1、签订合同</w:t>
      </w:r>
    </w:p>
    <w:p w14:paraId="1C9B720C">
      <w:pPr>
        <w:pageBreakBefore w:val="0"/>
        <w:kinsoku/>
        <w:wordWrap/>
        <w:overflowPunct/>
        <w:topLinePunct w:val="0"/>
        <w:bidi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1.l成交供应商确定后，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将向成交供应商发出成交通知书。成交供应商应按成交通知书规定的时间、地点,按照</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文件确定的事项与采购人签订政府采购合同，且不得迟于成交通知书发出之日起</w:t>
      </w:r>
      <w:r>
        <w:rPr>
          <w:rFonts w:hint="eastAsia" w:ascii="仿宋" w:hAnsi="仿宋" w:eastAsia="仿宋" w:cs="仿宋"/>
          <w:color w:val="auto"/>
          <w:sz w:val="24"/>
          <w:szCs w:val="24"/>
          <w:highlight w:val="none"/>
          <w:lang w:val="en-US" w:eastAsia="zh-CN"/>
        </w:rPr>
        <w:t>十五</w:t>
      </w:r>
      <w:r>
        <w:rPr>
          <w:rFonts w:hint="eastAsia" w:ascii="仿宋" w:hAnsi="仿宋" w:eastAsia="仿宋" w:cs="仿宋"/>
          <w:color w:val="auto"/>
          <w:sz w:val="24"/>
          <w:szCs w:val="24"/>
          <w:highlight w:val="none"/>
        </w:rPr>
        <w:t>日内，由此给采购人造成损失的，成交供应商还应承担赔偿责任。</w:t>
      </w:r>
    </w:p>
    <w:p w14:paraId="3AB2C0C3">
      <w:pPr>
        <w:pageBreakBefore w:val="0"/>
        <w:kinsoku/>
        <w:wordWrap/>
        <w:overflowPunct/>
        <w:topLinePunct w:val="0"/>
        <w:bidi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文件、成交供应商的响应文件及采购过程中有关澄清、承诺文件均应作为合同附件。</w:t>
      </w:r>
    </w:p>
    <w:p w14:paraId="61CB99DE">
      <w:pPr>
        <w:pageBreakBefore w:val="0"/>
        <w:kinsoku/>
        <w:wordWrap/>
        <w:overflowPunct/>
        <w:topLinePunct w:val="0"/>
        <w:bidi w:val="0"/>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1.3 签订合同后，成交供应商不得将成交产品或服务进行转包。未经采购人同意，成交供应商也不得采用分包的形式履行合同，否则采购人有权终止合同，成交供应商的履约保证金将不予</w:t>
      </w:r>
      <w:r>
        <w:rPr>
          <w:rFonts w:hint="eastAsia" w:ascii="仿宋" w:hAnsi="仿宋" w:eastAsia="仿宋" w:cs="仿宋"/>
          <w:color w:val="auto"/>
          <w:kern w:val="0"/>
          <w:sz w:val="24"/>
          <w:szCs w:val="24"/>
          <w:highlight w:val="none"/>
        </w:rPr>
        <w:t>退还。转包或分包造成采购人损失的，成交供应商应承担相应赔偿责任。</w:t>
      </w:r>
    </w:p>
    <w:p w14:paraId="60D18621">
      <w:pPr>
        <w:pageBreakBefore w:val="0"/>
        <w:kinsoku/>
        <w:wordWrap/>
        <w:overflowPunct/>
        <w:topLinePunct w:val="0"/>
        <w:bidi w:val="0"/>
        <w:spacing w:line="360" w:lineRule="auto"/>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2、履约保证金</w:t>
      </w:r>
    </w:p>
    <w:p w14:paraId="5AB771FD">
      <w:pPr>
        <w:pageBreakBefore w:val="0"/>
        <w:kinsoku/>
        <w:wordWrap/>
        <w:overflowPunct/>
        <w:topLinePunct w:val="0"/>
        <w:bidi w:val="0"/>
        <w:spacing w:line="360" w:lineRule="auto"/>
        <w:ind w:firstLine="480" w:firstLineChars="200"/>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2.1履约保证金为</w:t>
      </w:r>
      <w:r>
        <w:rPr>
          <w:rFonts w:hint="eastAsia" w:ascii="仿宋" w:hAnsi="仿宋" w:eastAsia="仿宋" w:cs="仿宋"/>
          <w:color w:val="auto"/>
          <w:kern w:val="0"/>
          <w:sz w:val="24"/>
          <w:szCs w:val="24"/>
          <w:highlight w:val="none"/>
          <w:lang w:val="en-US" w:eastAsia="zh-CN"/>
        </w:rPr>
        <w:t>中标价的*10%</w:t>
      </w:r>
      <w:r>
        <w:rPr>
          <w:rFonts w:hint="eastAsia" w:ascii="仿宋" w:hAnsi="仿宋" w:eastAsia="仿宋" w:cs="仿宋"/>
          <w:color w:val="auto"/>
          <w:kern w:val="0"/>
          <w:sz w:val="24"/>
          <w:szCs w:val="24"/>
          <w:highlight w:val="none"/>
        </w:rPr>
        <w:t>。</w:t>
      </w:r>
      <w:r>
        <w:rPr>
          <w:rFonts w:hint="eastAsia" w:ascii="仿宋" w:hAnsi="仿宋" w:eastAsia="仿宋" w:cs="仿宋"/>
          <w:b/>
          <w:bCs/>
          <w:color w:val="auto"/>
          <w:kern w:val="0"/>
          <w:sz w:val="24"/>
          <w:szCs w:val="24"/>
          <w:highlight w:val="none"/>
        </w:rPr>
        <w:t>履约保证金在本项目整个服务周期结束后</w:t>
      </w:r>
      <w:r>
        <w:rPr>
          <w:rFonts w:hint="eastAsia" w:ascii="仿宋" w:hAnsi="仿宋" w:eastAsia="仿宋" w:cs="仿宋"/>
          <w:b/>
          <w:bCs/>
          <w:color w:val="auto"/>
          <w:kern w:val="0"/>
          <w:sz w:val="24"/>
          <w:szCs w:val="24"/>
          <w:highlight w:val="none"/>
          <w:lang w:val="en-US" w:eastAsia="zh-CN"/>
        </w:rPr>
        <w:t>在无任何质量问题的前提下</w:t>
      </w:r>
      <w:r>
        <w:rPr>
          <w:rFonts w:hint="eastAsia" w:ascii="仿宋" w:hAnsi="仿宋" w:eastAsia="仿宋" w:cs="仿宋"/>
          <w:b/>
          <w:bCs/>
          <w:color w:val="auto"/>
          <w:kern w:val="0"/>
          <w:sz w:val="24"/>
          <w:szCs w:val="24"/>
          <w:highlight w:val="none"/>
        </w:rPr>
        <w:t>无息退还。</w:t>
      </w:r>
    </w:p>
    <w:p w14:paraId="75F8F0E5">
      <w:pPr>
        <w:pStyle w:val="9"/>
        <w:pageBreakBefore w:val="0"/>
        <w:kinsoku/>
        <w:wordWrap/>
        <w:overflowPunct/>
        <w:topLinePunct w:val="0"/>
        <w:bidi w:val="0"/>
        <w:spacing w:line="360" w:lineRule="auto"/>
        <w:rPr>
          <w:rFonts w:hint="eastAsia"/>
          <w:highlight w:val="none"/>
          <w:lang w:val="en-US" w:eastAsia="zh-CN"/>
        </w:rPr>
      </w:pPr>
    </w:p>
    <w:p w14:paraId="4980C16C">
      <w:pPr>
        <w:pageBreakBefore w:val="0"/>
        <w:kinsoku/>
        <w:wordWrap/>
        <w:overflowPunct/>
        <w:topLinePunct w:val="0"/>
        <w:bidi w:val="0"/>
        <w:spacing w:line="360" w:lineRule="auto"/>
        <w:ind w:firstLine="480"/>
        <w:rPr>
          <w:rFonts w:hint="eastAsia" w:ascii="仿宋" w:hAnsi="仿宋" w:eastAsia="仿宋" w:cs="仿宋"/>
          <w:color w:val="auto"/>
          <w:sz w:val="24"/>
          <w:szCs w:val="24"/>
          <w:highlight w:val="none"/>
        </w:rPr>
      </w:pPr>
    </w:p>
    <w:p w14:paraId="247F8A6E">
      <w:pPr>
        <w:pageBreakBefore w:val="0"/>
        <w:kinsoku/>
        <w:wordWrap/>
        <w:overflowPunct/>
        <w:topLinePunct w:val="0"/>
        <w:bidi w:val="0"/>
        <w:spacing w:line="360" w:lineRule="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14:paraId="253DE2A1">
      <w:pPr>
        <w:pStyle w:val="3"/>
        <w:pageBreakBefore w:val="0"/>
        <w:kinsoku/>
        <w:wordWrap/>
        <w:overflowPunct/>
        <w:topLinePunct w:val="0"/>
        <w:bidi w:val="0"/>
        <w:spacing w:line="360" w:lineRule="auto"/>
        <w:jc w:val="center"/>
        <w:rPr>
          <w:rFonts w:hint="eastAsia" w:ascii="仿宋" w:hAnsi="仿宋" w:eastAsia="仿宋" w:cs="仿宋"/>
          <w:b/>
          <w:bCs/>
          <w:color w:val="auto"/>
          <w:kern w:val="44"/>
          <w:sz w:val="44"/>
          <w:szCs w:val="44"/>
          <w:highlight w:val="none"/>
        </w:rPr>
      </w:pPr>
      <w:r>
        <w:rPr>
          <w:rFonts w:hint="eastAsia" w:ascii="仿宋" w:hAnsi="仿宋" w:eastAsia="仿宋" w:cs="仿宋"/>
          <w:b/>
          <w:bCs/>
          <w:color w:val="auto"/>
          <w:kern w:val="44"/>
          <w:sz w:val="32"/>
          <w:szCs w:val="32"/>
          <w:highlight w:val="none"/>
          <w:lang w:val="en-US" w:eastAsia="zh-CN" w:bidi="ar-SA"/>
        </w:rPr>
        <w:t>第三章</w:t>
      </w:r>
      <w:bookmarkStart w:id="99" w:name="_Toc20823346"/>
      <w:bookmarkStart w:id="100" w:name="_Toc120614244"/>
      <w:bookmarkStart w:id="101" w:name="_Toc16938590"/>
      <w:bookmarkStart w:id="102" w:name="_Toc479962292"/>
      <w:r>
        <w:rPr>
          <w:rFonts w:hint="eastAsia" w:ascii="仿宋" w:hAnsi="仿宋" w:eastAsia="仿宋" w:cs="仿宋"/>
          <w:b/>
          <w:bCs/>
          <w:color w:val="auto"/>
          <w:kern w:val="44"/>
          <w:sz w:val="32"/>
          <w:szCs w:val="32"/>
          <w:highlight w:val="none"/>
          <w:lang w:val="en-US" w:eastAsia="zh-CN" w:bidi="ar-SA"/>
        </w:rPr>
        <w:t xml:space="preserve"> 合同条款及格式</w:t>
      </w:r>
    </w:p>
    <w:bookmarkEnd w:id="99"/>
    <w:bookmarkEnd w:id="100"/>
    <w:bookmarkEnd w:id="101"/>
    <w:bookmarkEnd w:id="102"/>
    <w:p w14:paraId="0545A7DA">
      <w:pPr>
        <w:pageBreakBefore w:val="0"/>
        <w:kinsoku/>
        <w:wordWrap/>
        <w:overflowPunct/>
        <w:topLinePunct w:val="0"/>
        <w:bidi w:val="0"/>
        <w:spacing w:line="360" w:lineRule="auto"/>
        <w:rPr>
          <w:rFonts w:hint="eastAsia" w:ascii="仿宋" w:hAnsi="仿宋" w:eastAsia="仿宋" w:cs="仿宋"/>
          <w:color w:val="auto"/>
          <w:highlight w:val="none"/>
        </w:rPr>
      </w:pPr>
    </w:p>
    <w:p w14:paraId="223F8FBC">
      <w:pPr>
        <w:pageBreakBefore w:val="0"/>
        <w:kinsoku/>
        <w:wordWrap/>
        <w:overflowPunct/>
        <w:topLinePunct w:val="0"/>
        <w:bidi w:val="0"/>
        <w:snapToGrid w:val="0"/>
        <w:spacing w:line="360" w:lineRule="auto"/>
        <w:ind w:left="5276" w:leftChars="267" w:hanging="4715" w:hangingChars="2050"/>
        <w:rPr>
          <w:rFonts w:hint="eastAsia" w:ascii="仿宋" w:hAnsi="仿宋" w:eastAsia="仿宋" w:cs="仿宋"/>
          <w:color w:val="auto"/>
          <w:sz w:val="23"/>
          <w:szCs w:val="23"/>
          <w:highlight w:val="none"/>
        </w:rPr>
      </w:pPr>
    </w:p>
    <w:p w14:paraId="07EEFF36">
      <w:pPr>
        <w:pageBreakBefore w:val="0"/>
        <w:kinsoku/>
        <w:wordWrap/>
        <w:overflowPunct/>
        <w:topLinePunct w:val="0"/>
        <w:bidi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合同主要条款</w:t>
      </w:r>
    </w:p>
    <w:p w14:paraId="05481BA3">
      <w:pPr>
        <w:pageBreakBefore w:val="0"/>
        <w:kinsoku/>
        <w:wordWrap/>
        <w:overflowPunct/>
        <w:topLinePunct w:val="0"/>
        <w:bidi w:val="0"/>
        <w:spacing w:line="360" w:lineRule="auto"/>
        <w:jc w:val="center"/>
        <w:rPr>
          <w:rFonts w:hint="eastAsia" w:ascii="仿宋" w:hAnsi="仿宋" w:eastAsia="仿宋" w:cs="仿宋"/>
          <w:b/>
          <w:bCs/>
          <w:color w:val="auto"/>
          <w:sz w:val="32"/>
          <w:szCs w:val="32"/>
          <w:highlight w:val="none"/>
        </w:rPr>
      </w:pPr>
    </w:p>
    <w:p w14:paraId="67C6E251">
      <w:pPr>
        <w:pageBreakBefore w:val="0"/>
        <w:kinsoku/>
        <w:wordWrap/>
        <w:overflowPunct/>
        <w:topLinePunct w:val="0"/>
        <w:bidi w:val="0"/>
        <w:spacing w:after="156" w:afterLines="50"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6"/>
          <w:szCs w:val="36"/>
          <w:highlight w:val="none"/>
          <w:lang w:eastAsia="zh-CN"/>
        </w:rPr>
        <w:t>南通市园林绿化管理处法律顾问服务项目</w:t>
      </w:r>
    </w:p>
    <w:p w14:paraId="59E2660B">
      <w:pPr>
        <w:pageBreakBefore w:val="0"/>
        <w:widowControl/>
        <w:shd w:val="clear" w:color="auto" w:fill="FFFFFF"/>
        <w:kinsoku/>
        <w:wordWrap/>
        <w:overflowPunct/>
        <w:topLinePunct w:val="0"/>
        <w:bidi w:val="0"/>
        <w:spacing w:line="360" w:lineRule="auto"/>
        <w:jc w:val="center"/>
        <w:rPr>
          <w:rFonts w:hint="eastAsia" w:ascii="仿宋" w:hAnsi="仿宋" w:eastAsia="仿宋" w:cs="仿宋"/>
          <w:b/>
          <w:bCs/>
          <w:color w:val="auto"/>
          <w:sz w:val="30"/>
          <w:szCs w:val="30"/>
          <w:highlight w:val="none"/>
        </w:rPr>
      </w:pPr>
    </w:p>
    <w:p w14:paraId="027D924A">
      <w:pPr>
        <w:pageBreakBefore w:val="0"/>
        <w:widowControl/>
        <w:shd w:val="clear" w:color="auto" w:fill="FFFFFF"/>
        <w:kinsoku/>
        <w:wordWrap/>
        <w:overflowPunct/>
        <w:topLinePunct w:val="0"/>
        <w:bidi w:val="0"/>
        <w:spacing w:line="360" w:lineRule="auto"/>
        <w:jc w:val="center"/>
        <w:rPr>
          <w:rFonts w:hint="eastAsia" w:ascii="仿宋" w:hAnsi="仿宋" w:eastAsia="仿宋" w:cs="仿宋"/>
          <w:b/>
          <w:bCs/>
          <w:color w:val="auto"/>
          <w:sz w:val="28"/>
          <w:szCs w:val="28"/>
          <w:highlight w:val="none"/>
        </w:rPr>
      </w:pPr>
    </w:p>
    <w:p w14:paraId="6D0A0CD1">
      <w:pPr>
        <w:pageBreakBefore w:val="0"/>
        <w:widowControl/>
        <w:shd w:val="clear" w:color="auto" w:fill="FFFFFF"/>
        <w:kinsoku/>
        <w:wordWrap/>
        <w:overflowPunct/>
        <w:topLinePunct w:val="0"/>
        <w:bidi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合同书</w:t>
      </w:r>
    </w:p>
    <w:p w14:paraId="348823B3">
      <w:pPr>
        <w:pageBreakBefore w:val="0"/>
        <w:widowControl/>
        <w:shd w:val="clear" w:color="auto" w:fill="FFFFFF"/>
        <w:kinsoku/>
        <w:wordWrap/>
        <w:overflowPunct/>
        <w:topLinePunct w:val="0"/>
        <w:bidi w:val="0"/>
        <w:spacing w:line="360" w:lineRule="auto"/>
        <w:jc w:val="center"/>
        <w:rPr>
          <w:rFonts w:hint="eastAsia" w:ascii="仿宋" w:hAnsi="仿宋" w:eastAsia="仿宋" w:cs="仿宋"/>
          <w:b/>
          <w:bCs/>
          <w:color w:val="auto"/>
          <w:sz w:val="28"/>
          <w:szCs w:val="28"/>
          <w:highlight w:val="none"/>
        </w:rPr>
      </w:pPr>
    </w:p>
    <w:p w14:paraId="78AED11C">
      <w:pPr>
        <w:pageBreakBefore w:val="0"/>
        <w:widowControl/>
        <w:shd w:val="clear" w:color="auto" w:fill="FFFFFF"/>
        <w:kinsoku/>
        <w:wordWrap/>
        <w:overflowPunct/>
        <w:topLinePunct w:val="0"/>
        <w:bidi w:val="0"/>
        <w:spacing w:line="360" w:lineRule="auto"/>
        <w:jc w:val="center"/>
        <w:rPr>
          <w:rFonts w:hint="eastAsia" w:ascii="仿宋" w:hAnsi="仿宋" w:eastAsia="仿宋" w:cs="仿宋"/>
          <w:b/>
          <w:bCs/>
          <w:color w:val="auto"/>
          <w:sz w:val="28"/>
          <w:szCs w:val="28"/>
          <w:highlight w:val="none"/>
        </w:rPr>
      </w:pPr>
    </w:p>
    <w:p w14:paraId="35114088">
      <w:pPr>
        <w:pageBreakBefore w:val="0"/>
        <w:widowControl/>
        <w:shd w:val="clear" w:color="auto" w:fill="FFFFFF"/>
        <w:kinsoku/>
        <w:wordWrap/>
        <w:overflowPunct/>
        <w:topLinePunct w:val="0"/>
        <w:bidi w:val="0"/>
        <w:spacing w:line="360" w:lineRule="auto"/>
        <w:jc w:val="center"/>
        <w:rPr>
          <w:rFonts w:hint="eastAsia" w:ascii="仿宋" w:hAnsi="仿宋" w:eastAsia="仿宋" w:cs="仿宋"/>
          <w:b/>
          <w:bCs/>
          <w:color w:val="auto"/>
          <w:sz w:val="28"/>
          <w:szCs w:val="28"/>
          <w:highlight w:val="none"/>
        </w:rPr>
      </w:pPr>
    </w:p>
    <w:p w14:paraId="4D354206">
      <w:pPr>
        <w:pageBreakBefore w:val="0"/>
        <w:widowControl/>
        <w:shd w:val="clear" w:color="auto" w:fill="FFFFFF"/>
        <w:kinsoku/>
        <w:wordWrap/>
        <w:overflowPunct/>
        <w:topLinePunct w:val="0"/>
        <w:bidi w:val="0"/>
        <w:spacing w:line="360" w:lineRule="auto"/>
        <w:jc w:val="center"/>
        <w:rPr>
          <w:rFonts w:hint="eastAsia" w:ascii="仿宋" w:hAnsi="仿宋" w:eastAsia="仿宋" w:cs="仿宋"/>
          <w:b/>
          <w:bCs/>
          <w:color w:val="auto"/>
          <w:sz w:val="28"/>
          <w:szCs w:val="28"/>
          <w:highlight w:val="none"/>
        </w:rPr>
      </w:pPr>
    </w:p>
    <w:p w14:paraId="3E777C56">
      <w:pPr>
        <w:pageBreakBefore w:val="0"/>
        <w:widowControl/>
        <w:shd w:val="clear" w:color="auto" w:fill="FFFFFF"/>
        <w:kinsoku/>
        <w:wordWrap/>
        <w:overflowPunct/>
        <w:topLinePunct w:val="0"/>
        <w:bidi w:val="0"/>
        <w:spacing w:line="360" w:lineRule="auto"/>
        <w:jc w:val="center"/>
        <w:rPr>
          <w:rFonts w:hint="eastAsia" w:ascii="仿宋" w:hAnsi="仿宋" w:eastAsia="仿宋" w:cs="仿宋"/>
          <w:b/>
          <w:bCs/>
          <w:color w:val="auto"/>
          <w:sz w:val="28"/>
          <w:szCs w:val="28"/>
          <w:highlight w:val="none"/>
        </w:rPr>
      </w:pPr>
    </w:p>
    <w:p w14:paraId="70EC0DB6">
      <w:pPr>
        <w:pageBreakBefore w:val="0"/>
        <w:widowControl/>
        <w:shd w:val="clear" w:color="auto" w:fill="FFFFFF"/>
        <w:kinsoku/>
        <w:wordWrap/>
        <w:overflowPunct/>
        <w:topLinePunct w:val="0"/>
        <w:bidi w:val="0"/>
        <w:spacing w:line="360" w:lineRule="auto"/>
        <w:jc w:val="center"/>
        <w:rPr>
          <w:rFonts w:hint="eastAsia" w:ascii="仿宋" w:hAnsi="仿宋" w:eastAsia="仿宋" w:cs="仿宋"/>
          <w:b/>
          <w:bCs/>
          <w:color w:val="auto"/>
          <w:sz w:val="28"/>
          <w:szCs w:val="28"/>
          <w:highlight w:val="none"/>
        </w:rPr>
      </w:pPr>
    </w:p>
    <w:p w14:paraId="20A9F2F9">
      <w:pPr>
        <w:pageBreakBefore w:val="0"/>
        <w:widowControl/>
        <w:shd w:val="clear" w:color="auto" w:fill="FFFFFF"/>
        <w:kinsoku/>
        <w:wordWrap/>
        <w:overflowPunct/>
        <w:topLinePunct w:val="0"/>
        <w:bidi w:val="0"/>
        <w:spacing w:line="360" w:lineRule="auto"/>
        <w:jc w:val="center"/>
        <w:rPr>
          <w:rFonts w:hint="eastAsia" w:ascii="仿宋" w:hAnsi="仿宋" w:eastAsia="仿宋" w:cs="仿宋"/>
          <w:b/>
          <w:bCs/>
          <w:color w:val="auto"/>
          <w:sz w:val="28"/>
          <w:szCs w:val="28"/>
          <w:highlight w:val="none"/>
        </w:rPr>
      </w:pPr>
    </w:p>
    <w:p w14:paraId="1A4808CC">
      <w:pPr>
        <w:pageBreakBefore w:val="0"/>
        <w:widowControl/>
        <w:shd w:val="clear" w:color="auto" w:fill="FFFFFF"/>
        <w:kinsoku/>
        <w:wordWrap/>
        <w:overflowPunct/>
        <w:topLinePunct w:val="0"/>
        <w:bidi w:val="0"/>
        <w:spacing w:line="360" w:lineRule="auto"/>
        <w:jc w:val="center"/>
        <w:rPr>
          <w:rFonts w:hint="eastAsia" w:ascii="仿宋" w:hAnsi="仿宋" w:eastAsia="仿宋" w:cs="仿宋"/>
          <w:b/>
          <w:bCs/>
          <w:color w:val="auto"/>
          <w:sz w:val="28"/>
          <w:szCs w:val="28"/>
          <w:highlight w:val="none"/>
        </w:rPr>
      </w:pPr>
    </w:p>
    <w:p w14:paraId="22DA2EFD">
      <w:pPr>
        <w:pageBreakBefore w:val="0"/>
        <w:widowControl/>
        <w:shd w:val="clear" w:color="auto" w:fill="FFFFFF"/>
        <w:kinsoku/>
        <w:wordWrap/>
        <w:overflowPunct/>
        <w:topLinePunct w:val="0"/>
        <w:bidi w:val="0"/>
        <w:spacing w:line="360" w:lineRule="auto"/>
        <w:jc w:val="center"/>
        <w:rPr>
          <w:rFonts w:hint="eastAsia" w:ascii="仿宋" w:hAnsi="仿宋" w:eastAsia="仿宋" w:cs="仿宋"/>
          <w:b/>
          <w:bCs/>
          <w:color w:val="auto"/>
          <w:sz w:val="28"/>
          <w:szCs w:val="28"/>
          <w:highlight w:val="none"/>
        </w:rPr>
      </w:pPr>
    </w:p>
    <w:p w14:paraId="2B01B034">
      <w:pPr>
        <w:pageBreakBefore w:val="0"/>
        <w:widowControl/>
        <w:shd w:val="clear" w:color="auto" w:fill="FFFFFF"/>
        <w:kinsoku/>
        <w:wordWrap/>
        <w:overflowPunct/>
        <w:topLinePunct w:val="0"/>
        <w:bidi w:val="0"/>
        <w:spacing w:line="360" w:lineRule="auto"/>
        <w:rPr>
          <w:rFonts w:hint="eastAsia" w:ascii="仿宋" w:hAnsi="仿宋" w:eastAsia="仿宋" w:cs="仿宋"/>
          <w:b/>
          <w:bCs/>
          <w:color w:val="auto"/>
          <w:sz w:val="28"/>
          <w:szCs w:val="28"/>
          <w:highlight w:val="none"/>
        </w:rPr>
      </w:pPr>
    </w:p>
    <w:p w14:paraId="0D81C8ED">
      <w:pPr>
        <w:pageBreakBefore w:val="0"/>
        <w:widowControl/>
        <w:shd w:val="clear" w:color="auto" w:fill="FFFFFF"/>
        <w:kinsoku/>
        <w:wordWrap/>
        <w:overflowPunct/>
        <w:topLinePunct w:val="0"/>
        <w:bidi w:val="0"/>
        <w:spacing w:line="360" w:lineRule="auto"/>
        <w:ind w:firstLine="1120" w:firstLineChars="4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甲方：</w:t>
      </w:r>
      <w:r>
        <w:rPr>
          <w:rFonts w:hint="eastAsia" w:ascii="仿宋" w:hAnsi="仿宋" w:eastAsia="仿宋" w:cs="仿宋"/>
          <w:b/>
          <w:bCs/>
          <w:color w:val="auto"/>
          <w:sz w:val="28"/>
          <w:szCs w:val="28"/>
          <w:highlight w:val="none"/>
          <w:u w:val="single"/>
          <w:lang w:eastAsia="zh-CN"/>
        </w:rPr>
        <w:t>南通市园林绿化管理处</w:t>
      </w:r>
    </w:p>
    <w:p w14:paraId="2CB8B7A1">
      <w:pPr>
        <w:pStyle w:val="9"/>
        <w:pageBreakBefore w:val="0"/>
        <w:kinsoku/>
        <w:wordWrap/>
        <w:overflowPunct/>
        <w:topLinePunct w:val="0"/>
        <w:bidi w:val="0"/>
        <w:spacing w:line="360" w:lineRule="auto"/>
        <w:ind w:firstLine="1120" w:firstLineChars="400"/>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rPr>
        <w:t>乙方：</w:t>
      </w:r>
      <w:r>
        <w:rPr>
          <w:rFonts w:hint="eastAsia" w:ascii="仿宋" w:hAnsi="仿宋" w:eastAsia="仿宋" w:cs="仿宋"/>
          <w:color w:val="auto"/>
          <w:highlight w:val="none"/>
          <w:u w:val="single"/>
        </w:rPr>
        <w:t>（成交单位）</w:t>
      </w:r>
      <w:r>
        <w:rPr>
          <w:rFonts w:hint="eastAsia" w:ascii="仿宋" w:hAnsi="仿宋" w:eastAsia="仿宋" w:cs="仿宋"/>
          <w:color w:val="auto"/>
          <w:highlight w:val="none"/>
          <w:u w:val="single"/>
          <w:lang w:val="en-US" w:eastAsia="zh-CN"/>
        </w:rPr>
        <w:t xml:space="preserve">                </w:t>
      </w:r>
    </w:p>
    <w:p w14:paraId="349ECF18">
      <w:pPr>
        <w:pStyle w:val="9"/>
        <w:pageBreakBefore w:val="0"/>
        <w:kinsoku/>
        <w:wordWrap/>
        <w:overflowPunct/>
        <w:topLinePunct w:val="0"/>
        <w:bidi w:val="0"/>
        <w:spacing w:line="360" w:lineRule="auto"/>
        <w:ind w:firstLine="1120" w:firstLineChars="400"/>
        <w:rPr>
          <w:rFonts w:hint="eastAsia" w:ascii="仿宋" w:hAnsi="仿宋" w:eastAsia="仿宋" w:cs="仿宋"/>
          <w:color w:val="auto"/>
          <w:highlight w:val="none"/>
          <w:u w:val="single"/>
        </w:rPr>
      </w:pPr>
      <w:r>
        <w:rPr>
          <w:rFonts w:hint="eastAsia" w:ascii="仿宋" w:hAnsi="仿宋" w:eastAsia="仿宋" w:cs="仿宋"/>
          <w:color w:val="auto"/>
          <w:highlight w:val="none"/>
        </w:rPr>
        <w:t>签订日期：</w:t>
      </w:r>
    </w:p>
    <w:p w14:paraId="257AAE99">
      <w:pPr>
        <w:pageBreakBefore w:val="0"/>
        <w:kinsoku/>
        <w:wordWrap/>
        <w:overflowPunct/>
        <w:topLinePunct w:val="0"/>
        <w:bidi w:val="0"/>
        <w:spacing w:line="360" w:lineRule="auto"/>
        <w:ind w:firstLine="4320" w:firstLineChars="1800"/>
        <w:rPr>
          <w:rFonts w:hint="eastAsia" w:ascii="仿宋" w:hAnsi="仿宋" w:eastAsia="仿宋" w:cs="仿宋"/>
          <w:color w:val="auto"/>
          <w:sz w:val="24"/>
          <w:szCs w:val="24"/>
          <w:highlight w:val="none"/>
        </w:rPr>
      </w:pPr>
      <w:bookmarkStart w:id="103" w:name="_Toc482131735"/>
      <w:bookmarkEnd w:id="103"/>
      <w:bookmarkStart w:id="104" w:name="_Toc25542"/>
      <w:bookmarkEnd w:id="104"/>
    </w:p>
    <w:p w14:paraId="74BE26D1">
      <w:pPr>
        <w:pStyle w:val="87"/>
        <w:pageBreakBefore w:val="0"/>
        <w:kinsoku/>
        <w:wordWrap/>
        <w:overflowPunct/>
        <w:topLinePunct w:val="0"/>
        <w:bidi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54276F3F">
      <w:pPr>
        <w:pageBreakBefore w:val="0"/>
        <w:kinsoku/>
        <w:wordWrap/>
        <w:overflowPunct/>
        <w:topLinePunct w:val="0"/>
        <w:bidi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甲方：</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eastAsia="zh-CN"/>
        </w:rPr>
        <w:t>南通市园林绿化管理处</w:t>
      </w:r>
      <w:r>
        <w:rPr>
          <w:rFonts w:hint="eastAsia" w:ascii="仿宋" w:hAnsi="仿宋" w:eastAsia="仿宋" w:cs="仿宋"/>
          <w:bCs/>
          <w:sz w:val="24"/>
          <w:szCs w:val="24"/>
          <w:highlight w:val="none"/>
          <w:u w:val="single"/>
        </w:rPr>
        <w:t xml:space="preserve">（简称甲方）  </w:t>
      </w:r>
    </w:p>
    <w:p w14:paraId="0A553C73">
      <w:pPr>
        <w:pageBreakBefore w:val="0"/>
        <w:kinsoku/>
        <w:wordWrap/>
        <w:overflowPunct/>
        <w:topLinePunct w:val="0"/>
        <w:bidi w:val="0"/>
        <w:spacing w:line="360" w:lineRule="auto"/>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乙方：</w:t>
      </w:r>
    </w:p>
    <w:p w14:paraId="2C53E9F2">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根据《中华人民共和国政府采购法》规定，本着公开、公平、公正和择优的原则，经专家评委严格评审并推荐乙方为成交供应商。在真实、充分地表达各自意愿的基础上，根据《中华人民共和国合同法》的规定，达成如下协议，并由双方共同恪守。</w:t>
      </w:r>
    </w:p>
    <w:p w14:paraId="0C5AF444">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根据《中华人民共和国政府采购法》、《中华人民共和国律师法》等法律法规的规定，甲乙双方按照</w:t>
      </w:r>
      <w:r>
        <w:rPr>
          <w:rFonts w:hint="eastAsia" w:ascii="仿宋" w:hAnsi="仿宋" w:eastAsia="仿宋" w:cs="仿宋"/>
          <w:bCs/>
          <w:sz w:val="24"/>
          <w:szCs w:val="24"/>
          <w:highlight w:val="none"/>
          <w:lang w:eastAsia="zh-CN"/>
        </w:rPr>
        <w:t>南通市园林绿化管理处法律顾问服务项目</w:t>
      </w:r>
      <w:r>
        <w:rPr>
          <w:rFonts w:hint="eastAsia" w:ascii="仿宋" w:hAnsi="仿宋" w:eastAsia="仿宋" w:cs="仿宋"/>
          <w:bCs/>
          <w:sz w:val="24"/>
          <w:szCs w:val="24"/>
          <w:highlight w:val="none"/>
        </w:rPr>
        <w:t>的采购结果签订本合同。</w:t>
      </w:r>
    </w:p>
    <w:p w14:paraId="1E9B9D28">
      <w:pPr>
        <w:keepNext w:val="0"/>
        <w:keepLines w:val="0"/>
        <w:pageBreakBefore w:val="0"/>
        <w:widowControl w:val="0"/>
        <w:tabs>
          <w:tab w:val="left" w:pos="858"/>
        </w:tabs>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聘请事项</w:t>
      </w:r>
    </w:p>
    <w:p w14:paraId="1DBEF080">
      <w:pPr>
        <w:keepNext w:val="0"/>
        <w:keepLines w:val="0"/>
        <w:pageBreakBefore w:val="0"/>
        <w:widowControl w:val="0"/>
        <w:kinsoku/>
        <w:wordWrap/>
        <w:overflowPunct/>
        <w:topLinePunct w:val="0"/>
        <w:autoSpaceDE/>
        <w:autoSpaceDN/>
        <w:bidi w:val="0"/>
        <w:adjustRightInd/>
        <w:spacing w:line="360" w:lineRule="auto"/>
        <w:ind w:firstLine="50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1．甲方因发展需要，聘任乙方律师作为公司常年法律顾问。乙方接受甲方的委托，同意并指派</w:t>
      </w:r>
      <w:r>
        <w:rPr>
          <w:rFonts w:hint="eastAsia" w:ascii="仿宋" w:hAnsi="仿宋" w:eastAsia="仿宋" w:cs="仿宋"/>
          <w:color w:val="auto"/>
          <w:spacing w:val="5"/>
          <w:sz w:val="24"/>
          <w:szCs w:val="24"/>
          <w:highlight w:val="none"/>
          <w:u w:val="single"/>
        </w:rPr>
        <w:t xml:space="preserve">             </w:t>
      </w:r>
      <w:r>
        <w:rPr>
          <w:rFonts w:hint="eastAsia" w:ascii="仿宋" w:hAnsi="仿宋" w:eastAsia="仿宋" w:cs="仿宋"/>
          <w:color w:val="auto"/>
          <w:spacing w:val="5"/>
          <w:sz w:val="24"/>
          <w:szCs w:val="24"/>
          <w:highlight w:val="none"/>
        </w:rPr>
        <w:t>律师作为甲方的法律顾问；</w:t>
      </w:r>
    </w:p>
    <w:p w14:paraId="5A3E7B75">
      <w:pPr>
        <w:keepNext w:val="0"/>
        <w:keepLines w:val="0"/>
        <w:pageBreakBefore w:val="0"/>
        <w:widowControl w:val="0"/>
        <w:kinsoku/>
        <w:wordWrap/>
        <w:overflowPunct/>
        <w:topLinePunct w:val="0"/>
        <w:autoSpaceDE/>
        <w:autoSpaceDN/>
        <w:bidi w:val="0"/>
        <w:adjustRightInd/>
        <w:spacing w:line="360" w:lineRule="auto"/>
        <w:ind w:firstLine="50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2．乙方律师应以自己的专业知识和技能，在顾问期内为甲方提供综合性的法律服务；</w:t>
      </w:r>
    </w:p>
    <w:p w14:paraId="5E1BAE79">
      <w:pPr>
        <w:keepNext w:val="0"/>
        <w:keepLines w:val="0"/>
        <w:pageBreakBefore w:val="0"/>
        <w:widowControl w:val="0"/>
        <w:kinsoku/>
        <w:wordWrap/>
        <w:overflowPunct/>
        <w:topLinePunct w:val="0"/>
        <w:autoSpaceDE/>
        <w:autoSpaceDN/>
        <w:bidi w:val="0"/>
        <w:adjustRightInd/>
        <w:spacing w:line="360" w:lineRule="auto"/>
        <w:ind w:firstLine="50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3．乙方若需根据实际服务内容调整本方之工作人员，需事先征得甲方同意。</w:t>
      </w:r>
    </w:p>
    <w:p w14:paraId="52BB7433">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  乙方的服务范围</w:t>
      </w:r>
    </w:p>
    <w:p w14:paraId="6192D73D">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一</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服务内容</w:t>
      </w:r>
    </w:p>
    <w:p w14:paraId="235A03AC">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供应商</w:t>
      </w:r>
      <w:r>
        <w:rPr>
          <w:rFonts w:hint="eastAsia" w:ascii="仿宋" w:hAnsi="仿宋" w:eastAsia="仿宋" w:cs="仿宋"/>
          <w:bCs/>
          <w:sz w:val="24"/>
          <w:szCs w:val="24"/>
          <w:highlight w:val="none"/>
        </w:rPr>
        <w:t>作为独立的法律支持机构，负责为</w:t>
      </w:r>
      <w:r>
        <w:rPr>
          <w:rFonts w:hint="eastAsia" w:ascii="仿宋" w:hAnsi="仿宋" w:eastAsia="仿宋" w:cs="仿宋"/>
          <w:bCs/>
          <w:sz w:val="24"/>
          <w:szCs w:val="24"/>
          <w:highlight w:val="none"/>
          <w:lang w:eastAsia="zh-CN"/>
        </w:rPr>
        <w:t>采购人</w:t>
      </w:r>
      <w:r>
        <w:rPr>
          <w:rFonts w:hint="eastAsia" w:ascii="仿宋" w:hAnsi="仿宋" w:eastAsia="仿宋" w:cs="仿宋"/>
          <w:bCs/>
          <w:sz w:val="24"/>
          <w:szCs w:val="24"/>
          <w:highlight w:val="none"/>
        </w:rPr>
        <w:t>提供如下法律服务：</w:t>
      </w:r>
    </w:p>
    <w:p w14:paraId="40386996">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.日常法律咨询服务。就聘请方职能工作和业务遇到的一般、简单法律问题，应聘请方要求提供口头或者书面的法律分析意见。</w:t>
      </w:r>
    </w:p>
    <w:p w14:paraId="28E5C906">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.出具法律意见书。涉及重大决策、重大项目、重要合同、重大信访案件、重大突发事件及其他重大事项等法律事务，出具法律意见书，并协助起草、修改相关法律文书及予以相应妥善、正确处理。</w:t>
      </w:r>
    </w:p>
    <w:p w14:paraId="141C438B">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.出具合法性审查意见书。对聘请方起草的地方性法规和规章草案，以及起草或者法定职权范围内审查的重要规范性文件，出具合法性审查意见书。</w:t>
      </w:r>
    </w:p>
    <w:p w14:paraId="6A49DC51">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.提供法律培训服务。结合聘请方特点，为聘请方举办法律讲座，每年不少于2次。</w:t>
      </w:r>
    </w:p>
    <w:p w14:paraId="5966FD07">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按照聘请方要求参与各类普通事项谈判。</w:t>
      </w:r>
    </w:p>
    <w:p w14:paraId="0D51D890">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6.按照聘请方需求对合同、协议等法律文书的起草、审核修改、磋商及模板制定，并出具法律意见书。</w:t>
      </w:r>
    </w:p>
    <w:p w14:paraId="00A43AA8">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7.根据聘请方需求发送律师函。</w:t>
      </w:r>
    </w:p>
    <w:p w14:paraId="458D5163">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8.协助聘请方做好单位内部规章制度的建立与完善，防范法律风险。</w:t>
      </w:r>
    </w:p>
    <w:p w14:paraId="44D04C09">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9.协助聘请方做好劳动人事等专项法律风险防控。</w:t>
      </w:r>
    </w:p>
    <w:p w14:paraId="192465B5">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代理或协助办理复议诉讼案件，就案件的疑难问题、风险点处理提供专业法律意见；视案件复杂情形，免费代理1件（至案件终审）的诉讼案件。</w:t>
      </w:r>
    </w:p>
    <w:p w14:paraId="41C9690F">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11.</w:t>
      </w:r>
      <w:r>
        <w:rPr>
          <w:rFonts w:hint="eastAsia" w:ascii="仿宋" w:hAnsi="仿宋" w:eastAsia="仿宋" w:cs="仿宋"/>
          <w:bCs/>
          <w:sz w:val="24"/>
          <w:szCs w:val="24"/>
          <w:highlight w:val="none"/>
        </w:rPr>
        <w:t>协助聘请方办理其他法律事务。</w:t>
      </w:r>
    </w:p>
    <w:p w14:paraId="1466B37B">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成交</w:t>
      </w:r>
      <w:r>
        <w:rPr>
          <w:rFonts w:hint="eastAsia" w:ascii="仿宋" w:hAnsi="仿宋" w:eastAsia="仿宋" w:cs="仿宋"/>
          <w:bCs/>
          <w:sz w:val="24"/>
          <w:szCs w:val="24"/>
          <w:highlight w:val="none"/>
        </w:rPr>
        <w:t>单位提供上述法律服务，不再另行收费。</w:t>
      </w:r>
    </w:p>
    <w:p w14:paraId="7D5A5A7D">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关于采购人涉及的下述事件根据发生情况进行收费：</w:t>
      </w:r>
    </w:p>
    <w:p w14:paraId="45EC559A">
      <w:pPr>
        <w:pageBreakBefore w:val="0"/>
        <w:kinsoku/>
        <w:wordWrap/>
        <w:overflowPunct/>
        <w:topLinePunct w:val="0"/>
        <w:bidi w:val="0"/>
        <w:spacing w:line="360" w:lineRule="auto"/>
        <w:ind w:firstLine="482" w:firstLineChars="200"/>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诉讼类服务。除免费代理案件外，受理采购人委托的诉讼、仲裁、复议等案件的服务。本项为不可竞争费。按照国家发改委、司法部相关文件以及江苏省物价局、江苏省司法厅办分费421号文件规定的收费标准下限的六折收取。</w:t>
      </w:r>
    </w:p>
    <w:p w14:paraId="6AAE7022">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（二）服务响应要求</w:t>
      </w:r>
    </w:p>
    <w:p w14:paraId="3BC2DAA6">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接到聘请方口头或书面通知后，被聘请方（指中标后签订服务合同的法律顾问单位）应在2小时内或约定时间到达聘请方通知的地点提供法律服务。</w:t>
      </w:r>
    </w:p>
    <w:p w14:paraId="1AD6C5DD">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被聘请方未按照服务响应要求执行的，聘请方有权终止合同，已发生的服务费用按</w:t>
      </w:r>
      <w:r>
        <w:rPr>
          <w:rFonts w:hint="eastAsia" w:ascii="仿宋" w:hAnsi="仿宋" w:eastAsia="仿宋" w:cs="仿宋"/>
          <w:bCs/>
          <w:sz w:val="24"/>
          <w:szCs w:val="24"/>
          <w:highlight w:val="none"/>
          <w:lang w:eastAsia="zh-CN"/>
        </w:rPr>
        <w:t>实</w:t>
      </w:r>
      <w:r>
        <w:rPr>
          <w:rFonts w:hint="eastAsia" w:ascii="仿宋" w:hAnsi="仿宋" w:eastAsia="仿宋" w:cs="仿宋"/>
          <w:bCs/>
          <w:sz w:val="24"/>
          <w:szCs w:val="24"/>
          <w:highlight w:val="none"/>
        </w:rPr>
        <w:t>进行结算，因此产生的所有损失由被聘请方自行承担。</w:t>
      </w:r>
    </w:p>
    <w:p w14:paraId="5BA339CE">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  甲方的义务</w:t>
      </w:r>
    </w:p>
    <w:p w14:paraId="0A8FD6C2">
      <w:pPr>
        <w:keepNext w:val="0"/>
        <w:keepLines w:val="0"/>
        <w:pageBreakBefore w:val="0"/>
        <w:widowControl w:val="0"/>
        <w:kinsoku/>
        <w:wordWrap/>
        <w:overflowPunct/>
        <w:topLinePunct w:val="0"/>
        <w:autoSpaceDE/>
        <w:autoSpaceDN/>
        <w:bidi w:val="0"/>
        <w:adjustRightInd/>
        <w:spacing w:line="360" w:lineRule="auto"/>
        <w:ind w:firstLine="50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1．甲方应当全面、客观和及时地向乙方提供与法律事务有关的情况报告、文件、资料等；</w:t>
      </w:r>
    </w:p>
    <w:p w14:paraId="1A2DAFFE">
      <w:pPr>
        <w:keepNext w:val="0"/>
        <w:keepLines w:val="0"/>
        <w:pageBreakBefore w:val="0"/>
        <w:widowControl w:val="0"/>
        <w:kinsoku/>
        <w:wordWrap/>
        <w:overflowPunct/>
        <w:topLinePunct w:val="0"/>
        <w:autoSpaceDE/>
        <w:autoSpaceDN/>
        <w:bidi w:val="0"/>
        <w:adjustRightInd/>
        <w:spacing w:line="360" w:lineRule="auto"/>
        <w:ind w:firstLine="50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2</w:t>
      </w:r>
      <w:r>
        <w:rPr>
          <w:rFonts w:hint="eastAsia" w:ascii="仿宋" w:hAnsi="仿宋" w:eastAsia="仿宋" w:cs="仿宋"/>
          <w:color w:val="auto"/>
          <w:spacing w:val="5"/>
          <w:sz w:val="24"/>
          <w:szCs w:val="24"/>
          <w:highlight w:val="none"/>
          <w:lang w:val="en-US" w:eastAsia="zh-CN"/>
        </w:rPr>
        <w:t>.</w:t>
      </w:r>
      <w:r>
        <w:rPr>
          <w:rFonts w:hint="eastAsia" w:ascii="仿宋" w:hAnsi="仿宋" w:eastAsia="仿宋" w:cs="仿宋"/>
          <w:color w:val="auto"/>
          <w:spacing w:val="5"/>
          <w:sz w:val="24"/>
          <w:szCs w:val="24"/>
          <w:highlight w:val="none"/>
        </w:rPr>
        <w:t>甲方应当向乙方律师提出明确、合理的服务要求；</w:t>
      </w:r>
    </w:p>
    <w:p w14:paraId="620FB60C">
      <w:pPr>
        <w:keepNext w:val="0"/>
        <w:keepLines w:val="0"/>
        <w:pageBreakBefore w:val="0"/>
        <w:widowControl w:val="0"/>
        <w:kinsoku/>
        <w:wordWrap/>
        <w:overflowPunct/>
        <w:topLinePunct w:val="0"/>
        <w:autoSpaceDE/>
        <w:autoSpaceDN/>
        <w:bidi w:val="0"/>
        <w:adjustRightInd/>
        <w:spacing w:line="360" w:lineRule="auto"/>
        <w:ind w:firstLine="50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3</w:t>
      </w:r>
      <w:r>
        <w:rPr>
          <w:rFonts w:hint="eastAsia" w:ascii="仿宋" w:hAnsi="仿宋" w:eastAsia="仿宋" w:cs="仿宋"/>
          <w:color w:val="auto"/>
          <w:spacing w:val="5"/>
          <w:sz w:val="24"/>
          <w:szCs w:val="24"/>
          <w:highlight w:val="none"/>
          <w:lang w:val="en-US" w:eastAsia="zh-CN"/>
        </w:rPr>
        <w:t>.</w:t>
      </w:r>
      <w:r>
        <w:rPr>
          <w:rFonts w:hint="eastAsia" w:ascii="仿宋" w:hAnsi="仿宋" w:eastAsia="仿宋" w:cs="仿宋"/>
          <w:color w:val="auto"/>
          <w:spacing w:val="5"/>
          <w:sz w:val="24"/>
          <w:szCs w:val="24"/>
          <w:highlight w:val="none"/>
        </w:rPr>
        <w:t>甲方委托乙方办理诉讼、仲裁案件、非诉法律事务时，应当与乙方另行签订委托代理协议，签发授权书；</w:t>
      </w:r>
    </w:p>
    <w:p w14:paraId="642EF9E2">
      <w:pPr>
        <w:keepNext w:val="0"/>
        <w:keepLines w:val="0"/>
        <w:pageBreakBefore w:val="0"/>
        <w:widowControl w:val="0"/>
        <w:kinsoku/>
        <w:wordWrap/>
        <w:overflowPunct/>
        <w:topLinePunct w:val="0"/>
        <w:autoSpaceDE/>
        <w:autoSpaceDN/>
        <w:bidi w:val="0"/>
        <w:adjustRightInd/>
        <w:spacing w:line="360" w:lineRule="auto"/>
        <w:ind w:firstLine="50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4</w:t>
      </w:r>
      <w:r>
        <w:rPr>
          <w:rFonts w:hint="eastAsia" w:ascii="仿宋" w:hAnsi="仿宋" w:eastAsia="仿宋" w:cs="仿宋"/>
          <w:color w:val="auto"/>
          <w:spacing w:val="5"/>
          <w:sz w:val="24"/>
          <w:szCs w:val="24"/>
          <w:highlight w:val="none"/>
          <w:lang w:val="en-US" w:eastAsia="zh-CN"/>
        </w:rPr>
        <w:t>.</w:t>
      </w:r>
      <w:r>
        <w:rPr>
          <w:rFonts w:hint="eastAsia" w:ascii="仿宋" w:hAnsi="仿宋" w:eastAsia="仿宋" w:cs="仿宋"/>
          <w:color w:val="auto"/>
          <w:spacing w:val="5"/>
          <w:sz w:val="24"/>
          <w:szCs w:val="24"/>
          <w:highlight w:val="none"/>
        </w:rPr>
        <w:t>甲方应当按时、足额向乙方支付法律顾问费和工作费用；</w:t>
      </w:r>
    </w:p>
    <w:p w14:paraId="709D8FE4">
      <w:pPr>
        <w:keepNext w:val="0"/>
        <w:keepLines w:val="0"/>
        <w:pageBreakBefore w:val="0"/>
        <w:widowControl w:val="0"/>
        <w:kinsoku/>
        <w:wordWrap/>
        <w:overflowPunct/>
        <w:topLinePunct w:val="0"/>
        <w:autoSpaceDE/>
        <w:autoSpaceDN/>
        <w:bidi w:val="0"/>
        <w:adjustRightInd/>
        <w:spacing w:line="360" w:lineRule="auto"/>
        <w:ind w:firstLine="50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5</w:t>
      </w:r>
      <w:r>
        <w:rPr>
          <w:rFonts w:hint="eastAsia" w:ascii="仿宋" w:hAnsi="仿宋" w:eastAsia="仿宋" w:cs="仿宋"/>
          <w:color w:val="auto"/>
          <w:spacing w:val="5"/>
          <w:sz w:val="24"/>
          <w:szCs w:val="24"/>
          <w:highlight w:val="none"/>
          <w:lang w:val="en-US" w:eastAsia="zh-CN"/>
        </w:rPr>
        <w:t>.</w:t>
      </w:r>
      <w:r>
        <w:rPr>
          <w:rFonts w:hint="eastAsia" w:ascii="仿宋" w:hAnsi="仿宋" w:eastAsia="仿宋" w:cs="仿宋"/>
          <w:color w:val="auto"/>
          <w:spacing w:val="5"/>
          <w:sz w:val="24"/>
          <w:szCs w:val="24"/>
          <w:highlight w:val="none"/>
        </w:rPr>
        <w:t>甲方联系人为</w:t>
      </w:r>
      <w:r>
        <w:rPr>
          <w:rFonts w:hint="eastAsia" w:ascii="仿宋" w:hAnsi="仿宋" w:eastAsia="仿宋" w:cs="仿宋"/>
          <w:color w:val="auto"/>
          <w:spacing w:val="5"/>
          <w:sz w:val="24"/>
          <w:szCs w:val="24"/>
          <w:highlight w:val="none"/>
          <w:u w:val="single"/>
        </w:rPr>
        <w:t xml:space="preserve">        </w:t>
      </w:r>
      <w:r>
        <w:rPr>
          <w:rFonts w:hint="eastAsia" w:ascii="仿宋" w:hAnsi="仿宋" w:eastAsia="仿宋" w:cs="仿宋"/>
          <w:color w:val="auto"/>
          <w:spacing w:val="5"/>
          <w:sz w:val="24"/>
          <w:szCs w:val="24"/>
          <w:highlight w:val="none"/>
        </w:rPr>
        <w:t>，甲方更换联系人应当及时通知乙方；</w:t>
      </w:r>
    </w:p>
    <w:p w14:paraId="2D44B917">
      <w:pPr>
        <w:keepNext w:val="0"/>
        <w:keepLines w:val="0"/>
        <w:pageBreakBefore w:val="0"/>
        <w:widowControl w:val="0"/>
        <w:kinsoku/>
        <w:wordWrap/>
        <w:overflowPunct/>
        <w:topLinePunct w:val="0"/>
        <w:autoSpaceDE/>
        <w:autoSpaceDN/>
        <w:bidi w:val="0"/>
        <w:adjustRightInd/>
        <w:spacing w:line="360" w:lineRule="auto"/>
        <w:ind w:firstLine="50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6</w:t>
      </w:r>
      <w:r>
        <w:rPr>
          <w:rFonts w:hint="eastAsia" w:ascii="仿宋" w:hAnsi="仿宋" w:eastAsia="仿宋" w:cs="仿宋"/>
          <w:color w:val="auto"/>
          <w:spacing w:val="5"/>
          <w:sz w:val="24"/>
          <w:szCs w:val="24"/>
          <w:highlight w:val="none"/>
          <w:lang w:val="en-US" w:eastAsia="zh-CN"/>
        </w:rPr>
        <w:t>.</w:t>
      </w:r>
      <w:r>
        <w:rPr>
          <w:rFonts w:hint="eastAsia" w:ascii="仿宋" w:hAnsi="仿宋" w:eastAsia="仿宋" w:cs="仿宋"/>
          <w:color w:val="auto"/>
          <w:spacing w:val="5"/>
          <w:sz w:val="24"/>
          <w:szCs w:val="24"/>
          <w:highlight w:val="none"/>
        </w:rPr>
        <w:t>甲方有责任对委托事项做出独立的判断、决策。</w:t>
      </w:r>
    </w:p>
    <w:p w14:paraId="2242AA8D">
      <w:pPr>
        <w:keepNext w:val="0"/>
        <w:keepLines w:val="0"/>
        <w:pageBreakBefore w:val="0"/>
        <w:widowControl w:val="0"/>
        <w:kinsoku/>
        <w:wordWrap/>
        <w:overflowPunct/>
        <w:topLinePunct w:val="0"/>
        <w:autoSpaceDE/>
        <w:autoSpaceDN/>
        <w:bidi w:val="0"/>
        <w:adjustRightInd/>
        <w:spacing w:line="360" w:lineRule="auto"/>
        <w:ind w:firstLine="50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7.乙方对在担任甲方法律顾问期间个案代理费的收取予以优惠。</w:t>
      </w:r>
    </w:p>
    <w:p w14:paraId="73B8B4E9">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shd w:val="pct10" w:color="auto" w:fill="FFFFFF"/>
        </w:rPr>
      </w:pPr>
      <w:r>
        <w:rPr>
          <w:rFonts w:hint="eastAsia" w:ascii="仿宋" w:hAnsi="仿宋" w:eastAsia="仿宋" w:cs="仿宋"/>
          <w:b/>
          <w:bCs/>
          <w:color w:val="auto"/>
          <w:sz w:val="24"/>
          <w:szCs w:val="24"/>
          <w:highlight w:val="none"/>
        </w:rPr>
        <w:t>第四条  乙方的义务</w:t>
      </w:r>
      <w:r>
        <w:rPr>
          <w:rFonts w:hint="eastAsia" w:ascii="仿宋" w:hAnsi="仿宋" w:eastAsia="仿宋" w:cs="仿宋"/>
          <w:color w:val="auto"/>
          <w:spacing w:val="5"/>
          <w:sz w:val="24"/>
          <w:szCs w:val="24"/>
          <w:highlight w:val="none"/>
        </w:rPr>
        <w:t xml:space="preserve"> </w:t>
      </w:r>
    </w:p>
    <w:p w14:paraId="717F2C8C">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1.乙方律师应当在取得甲方委托和收到甲方提供的文件资料后，及时完成委托事项，并应甲方要求通报工作进程；</w:t>
      </w:r>
    </w:p>
    <w:p w14:paraId="0BB27DD9">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2.乙方律师在担任常年法律顾问期间，不得为甲方员工个人提供任何不利于甲方的咨询意见；</w:t>
      </w:r>
    </w:p>
    <w:p w14:paraId="1787081D">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3.乙方律师未经甲方同意，不得担任与甲方具有法律利益冲突的另一方的诉讼案件代理人；</w:t>
      </w:r>
    </w:p>
    <w:p w14:paraId="5F9B3467">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4.乙方律师对其获知的甲方商业秘密负有保密责任，非由法律规定或者甲方同意，不得向任何第三方披露。</w:t>
      </w:r>
    </w:p>
    <w:p w14:paraId="179B0A7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第五条  工作方式</w:t>
      </w:r>
    </w:p>
    <w:p w14:paraId="1849B1B6">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1.法律顾问期内，工作时间、地点和方式，由双方约定。</w:t>
      </w:r>
    </w:p>
    <w:p w14:paraId="3F22F0BB">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2.为及时实施和完成甲方委托的法律事务，双方约定，除重大紧急事项外，甲方应提前1-2个工作日通知乙方。</w:t>
      </w:r>
    </w:p>
    <w:p w14:paraId="78D3153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  法律顾问费</w:t>
      </w:r>
    </w:p>
    <w:p w14:paraId="79BF6E5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经双方协商，就律师费及相关费用达成如下协议：</w:t>
      </w:r>
    </w:p>
    <w:p w14:paraId="593BF8F3">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1.乙方收取法律顾问费，已充分考虑了以下因素：(1)耗费的工作时间；(2)法律事务的难易程度；(3)委托人的承受能力；(4)律师可能承担的风险和责任；(5)律师的社会信誉和工作水平。</w:t>
      </w:r>
    </w:p>
    <w:p w14:paraId="29198BAE">
      <w:pPr>
        <w:keepNext w:val="0"/>
        <w:keepLines w:val="0"/>
        <w:pageBreakBefore w:val="0"/>
        <w:widowControl w:val="0"/>
        <w:kinsoku/>
        <w:wordWrap/>
        <w:overflowPunct/>
        <w:topLinePunct w:val="0"/>
        <w:autoSpaceDE/>
        <w:autoSpaceDN/>
        <w:bidi w:val="0"/>
        <w:adjustRightInd/>
        <w:spacing w:line="360" w:lineRule="auto"/>
        <w:ind w:firstLine="50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2.法律顾问费为</w:t>
      </w:r>
      <w:r>
        <w:rPr>
          <w:rFonts w:hint="eastAsia" w:ascii="仿宋" w:hAnsi="仿宋" w:eastAsia="仿宋" w:cs="仿宋"/>
          <w:color w:val="auto"/>
          <w:spacing w:val="5"/>
          <w:sz w:val="24"/>
          <w:szCs w:val="24"/>
          <w:highlight w:val="none"/>
          <w:u w:val="single"/>
        </w:rPr>
        <w:t xml:space="preserve">￥   </w:t>
      </w:r>
      <w:r>
        <w:rPr>
          <w:rFonts w:hint="eastAsia" w:ascii="仿宋" w:hAnsi="仿宋" w:eastAsia="仿宋" w:cs="仿宋"/>
          <w:color w:val="auto"/>
          <w:spacing w:val="5"/>
          <w:sz w:val="24"/>
          <w:szCs w:val="24"/>
          <w:highlight w:val="none"/>
          <w:u w:val="single"/>
          <w:lang w:val="en-US" w:eastAsia="zh-CN"/>
        </w:rPr>
        <w:t xml:space="preserve">   </w:t>
      </w:r>
      <w:r>
        <w:rPr>
          <w:rFonts w:hint="eastAsia" w:ascii="仿宋" w:hAnsi="仿宋" w:eastAsia="仿宋" w:cs="仿宋"/>
          <w:color w:val="auto"/>
          <w:spacing w:val="5"/>
          <w:sz w:val="24"/>
          <w:szCs w:val="24"/>
          <w:highlight w:val="none"/>
          <w:u w:val="single"/>
        </w:rPr>
        <w:t xml:space="preserve">（大写金额为： </w:t>
      </w:r>
      <w:r>
        <w:rPr>
          <w:rFonts w:hint="eastAsia" w:ascii="仿宋" w:hAnsi="仿宋" w:eastAsia="仿宋" w:cs="仿宋"/>
          <w:color w:val="auto"/>
          <w:spacing w:val="5"/>
          <w:sz w:val="24"/>
          <w:szCs w:val="24"/>
          <w:highlight w:val="none"/>
          <w:u w:val="single"/>
          <w:lang w:val="en-US" w:eastAsia="zh-CN"/>
        </w:rPr>
        <w:t xml:space="preserve">    </w:t>
      </w:r>
      <w:r>
        <w:rPr>
          <w:rFonts w:hint="eastAsia" w:ascii="仿宋" w:hAnsi="仿宋" w:eastAsia="仿宋" w:cs="仿宋"/>
          <w:color w:val="auto"/>
          <w:spacing w:val="5"/>
          <w:sz w:val="24"/>
          <w:szCs w:val="24"/>
          <w:highlight w:val="none"/>
          <w:u w:val="single"/>
        </w:rPr>
        <w:t xml:space="preserve">  ）</w:t>
      </w:r>
      <w:r>
        <w:rPr>
          <w:rFonts w:hint="eastAsia" w:ascii="仿宋" w:hAnsi="仿宋" w:eastAsia="仿宋" w:cs="仿宋"/>
          <w:color w:val="auto"/>
          <w:spacing w:val="5"/>
          <w:sz w:val="24"/>
          <w:szCs w:val="24"/>
          <w:highlight w:val="none"/>
        </w:rPr>
        <w:t>。</w:t>
      </w:r>
    </w:p>
    <w:p w14:paraId="28E579B8">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3.支付时间为：</w:t>
      </w:r>
    </w:p>
    <w:p w14:paraId="61ED4FFA">
      <w:pPr>
        <w:pageBreakBefore w:val="0"/>
        <w:kinsoku/>
        <w:wordWrap/>
        <w:overflowPunct/>
        <w:topLinePunct w:val="0"/>
        <w:bidi w:val="0"/>
        <w:spacing w:line="360" w:lineRule="auto"/>
        <w:ind w:left="479" w:leftChars="228" w:firstLine="0" w:firstLineChars="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（1）日常法律咨询服务费用每年年底一次性支付。</w:t>
      </w:r>
    </w:p>
    <w:p w14:paraId="193B2BDE">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（2）诉讼类服务费待案件终审后，下一个年度按照规定的收费标准下限六折一次性支付。</w:t>
      </w:r>
    </w:p>
    <w:p w14:paraId="174F9422">
      <w:pPr>
        <w:keepNext w:val="0"/>
        <w:keepLines w:val="0"/>
        <w:pageBreakBefore w:val="0"/>
        <w:widowControl w:val="0"/>
        <w:kinsoku/>
        <w:wordWrap/>
        <w:overflowPunct/>
        <w:topLinePunct w:val="0"/>
        <w:autoSpaceDE/>
        <w:autoSpaceDN/>
        <w:bidi w:val="0"/>
        <w:adjustRightInd/>
        <w:spacing w:line="360" w:lineRule="auto"/>
        <w:ind w:firstLine="502"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b/>
          <w:bCs/>
          <w:color w:val="auto"/>
          <w:spacing w:val="5"/>
          <w:sz w:val="24"/>
          <w:szCs w:val="24"/>
          <w:highlight w:val="none"/>
          <w:lang w:val="en-US" w:eastAsia="zh-CN"/>
        </w:rPr>
        <w:t>本项目以</w:t>
      </w:r>
      <w:r>
        <w:rPr>
          <w:rFonts w:hint="eastAsia" w:ascii="仿宋" w:hAnsi="仿宋" w:eastAsia="仿宋" w:cs="仿宋"/>
          <w:b/>
          <w:bCs/>
          <w:color w:val="auto"/>
          <w:spacing w:val="5"/>
          <w:sz w:val="24"/>
          <w:szCs w:val="24"/>
          <w:highlight w:val="none"/>
          <w:u w:val="single"/>
          <w:lang w:val="en-US" w:eastAsia="zh-CN"/>
        </w:rPr>
        <w:t>南通市园林绿化管理处</w:t>
      </w:r>
      <w:r>
        <w:rPr>
          <w:rFonts w:hint="eastAsia" w:ascii="仿宋" w:hAnsi="仿宋" w:eastAsia="仿宋" w:cs="仿宋"/>
          <w:b/>
          <w:bCs/>
          <w:color w:val="auto"/>
          <w:spacing w:val="5"/>
          <w:sz w:val="24"/>
          <w:szCs w:val="24"/>
          <w:highlight w:val="none"/>
          <w:lang w:val="en-US" w:eastAsia="zh-CN"/>
        </w:rPr>
        <w:t>付款结算，结算时</w:t>
      </w:r>
      <w:r>
        <w:rPr>
          <w:rFonts w:hint="eastAsia" w:ascii="仿宋" w:hAnsi="仿宋" w:eastAsia="仿宋" w:cs="仿宋"/>
          <w:b/>
          <w:bCs/>
          <w:color w:val="auto"/>
          <w:spacing w:val="5"/>
          <w:sz w:val="24"/>
          <w:szCs w:val="24"/>
          <w:highlight w:val="none"/>
        </w:rPr>
        <w:t>乙方应出具正式</w:t>
      </w:r>
      <w:r>
        <w:rPr>
          <w:rFonts w:hint="eastAsia" w:ascii="仿宋" w:hAnsi="仿宋" w:eastAsia="仿宋" w:cs="仿宋"/>
          <w:b/>
          <w:bCs/>
          <w:color w:val="auto"/>
          <w:spacing w:val="5"/>
          <w:sz w:val="24"/>
          <w:szCs w:val="24"/>
          <w:highlight w:val="none"/>
          <w:lang w:val="en-US" w:eastAsia="zh-CN"/>
        </w:rPr>
        <w:t>的增值税</w:t>
      </w:r>
      <w:r>
        <w:rPr>
          <w:rFonts w:hint="eastAsia" w:ascii="仿宋" w:hAnsi="仿宋" w:eastAsia="仿宋" w:cs="仿宋"/>
          <w:b/>
          <w:bCs/>
          <w:color w:val="auto"/>
          <w:spacing w:val="5"/>
          <w:sz w:val="24"/>
          <w:szCs w:val="24"/>
          <w:highlight w:val="none"/>
        </w:rPr>
        <w:t>发票。</w:t>
      </w:r>
    </w:p>
    <w:p w14:paraId="761E975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乙方账户: </w:t>
      </w:r>
    </w:p>
    <w:p w14:paraId="5AF31F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开户行：  </w:t>
      </w:r>
    </w:p>
    <w:p w14:paraId="3B433922">
      <w:pPr>
        <w:keepNext w:val="0"/>
        <w:keepLines w:val="0"/>
        <w:pageBreakBefore w:val="0"/>
        <w:widowControl w:val="0"/>
        <w:kinsoku/>
        <w:wordWrap/>
        <w:overflowPunct/>
        <w:topLinePunct w:val="0"/>
        <w:autoSpaceDE/>
        <w:autoSpaceDN/>
        <w:bidi w:val="0"/>
        <w:adjustRightInd/>
        <w:spacing w:line="360" w:lineRule="auto"/>
        <w:ind w:firstLine="500" w:firstLineChars="200"/>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4.本协议第二条第</w:t>
      </w:r>
      <w:r>
        <w:rPr>
          <w:rFonts w:hint="eastAsia" w:ascii="仿宋" w:hAnsi="仿宋" w:eastAsia="仿宋" w:cs="仿宋"/>
          <w:color w:val="auto"/>
          <w:spacing w:val="5"/>
          <w:sz w:val="24"/>
          <w:szCs w:val="24"/>
          <w:highlight w:val="none"/>
          <w:u w:val="single"/>
        </w:rPr>
        <w:t xml:space="preserve">     </w:t>
      </w:r>
      <w:r>
        <w:rPr>
          <w:rFonts w:hint="eastAsia" w:ascii="仿宋" w:hAnsi="仿宋" w:eastAsia="仿宋" w:cs="仿宋"/>
          <w:color w:val="auto"/>
          <w:spacing w:val="5"/>
          <w:sz w:val="24"/>
          <w:szCs w:val="24"/>
          <w:highlight w:val="none"/>
        </w:rPr>
        <w:t>项代理诉讼、仲裁案件时按</w:t>
      </w:r>
      <w:r>
        <w:rPr>
          <w:rFonts w:hint="eastAsia" w:ascii="仿宋" w:hAnsi="仿宋" w:eastAsia="仿宋" w:cs="仿宋"/>
          <w:color w:val="auto"/>
          <w:spacing w:val="5"/>
          <w:sz w:val="24"/>
          <w:szCs w:val="24"/>
          <w:highlight w:val="none"/>
          <w:lang w:val="en-US" w:eastAsia="zh-CN"/>
        </w:rPr>
        <w:t>甲方与乙方签订的补充协议，</w:t>
      </w:r>
      <w:r>
        <w:rPr>
          <w:rFonts w:hint="eastAsia" w:ascii="仿宋" w:hAnsi="仿宋" w:eastAsia="仿宋" w:cs="仿宋"/>
          <w:color w:val="auto"/>
          <w:spacing w:val="5"/>
          <w:sz w:val="24"/>
          <w:szCs w:val="24"/>
          <w:highlight w:val="none"/>
        </w:rPr>
        <w:t>收取代理费。</w:t>
      </w:r>
    </w:p>
    <w:p w14:paraId="17E4491B">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   合同的解除</w:t>
      </w:r>
    </w:p>
    <w:p w14:paraId="26547CC8">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1.乙方有下列情形之一的，甲方有权解除合同：</w:t>
      </w:r>
    </w:p>
    <w:p w14:paraId="3B3D99EB">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（1）未经甲方同意，擅自更换作为甲方常年法律顾问的律师的；</w:t>
      </w:r>
    </w:p>
    <w:p w14:paraId="0993EBB3">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（2）因乙方律师工作延误、失职、失误导致甲方蒙受损失的。</w:t>
      </w:r>
    </w:p>
    <w:p w14:paraId="28AF955F">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2.甲方有下列情形之一的，乙方有权解除合同：</w:t>
      </w:r>
    </w:p>
    <w:p w14:paraId="180553BA">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（1）甲方的委托事项违反法律或者违反律师执业规范的；</w:t>
      </w:r>
    </w:p>
    <w:p w14:paraId="028D622F">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（2）甲方有捏造事实、伪造证据或者隐瞒重要情节等情形，致使乙方律师不能提供有效的法律服务的；</w:t>
      </w:r>
    </w:p>
    <w:p w14:paraId="0C763FAF">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条  违约责任</w:t>
      </w:r>
    </w:p>
    <w:p w14:paraId="4589D6BC">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乙方无正当理由在甲方提出要求后不提供第二条规定的法律服务或者违反第四条规定的义务，甲方有权要求乙方退还相应部分的法律顾问费。</w:t>
      </w:r>
    </w:p>
    <w:p w14:paraId="5DF5B365">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甲方无正当理由不支付法律顾问费或者工作费用，或者无故终止合同，乙方有权要求甲方支付未付的法律顾问费、未报销的工作费用以及延期支付的利息。</w:t>
      </w:r>
    </w:p>
    <w:p w14:paraId="49C9B5C9">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eastAsia="zh-CN"/>
        </w:rPr>
        <w:t>九</w:t>
      </w:r>
      <w:r>
        <w:rPr>
          <w:rFonts w:hint="eastAsia" w:ascii="仿宋" w:hAnsi="仿宋" w:eastAsia="仿宋" w:cs="仿宋"/>
          <w:b/>
          <w:bCs/>
          <w:color w:val="auto"/>
          <w:sz w:val="24"/>
          <w:szCs w:val="24"/>
          <w:highlight w:val="none"/>
        </w:rPr>
        <w:t>条  争议的解决</w:t>
      </w:r>
    </w:p>
    <w:p w14:paraId="2D3AB238">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甲、乙双方如果发生争议，应当友好协商解决。如协商不成，任何一方均有权将争议提交南通仲裁委员会，按照提交仲裁时该会现行有效的仲裁规则进行仲裁。</w:t>
      </w:r>
    </w:p>
    <w:p w14:paraId="6B89D35D">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第十条  合同的生效</w:t>
      </w:r>
    </w:p>
    <w:p w14:paraId="4EB08CC7">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本合同正本一式三份，自甲、乙双方加盖公章之日起生效，甲、乙双方及乙方律师各执一份，具有同等法律效力。</w:t>
      </w:r>
    </w:p>
    <w:p w14:paraId="23F63F8E">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条  合同的期限</w:t>
      </w:r>
    </w:p>
    <w:p w14:paraId="4F9C1CBC">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本合同的期限为</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lang w:val="en-US" w:eastAsia="zh-CN"/>
        </w:rPr>
        <w:t>年， 自2026年  月  日起至  年  月日止 。合同期满前30日内，甲、乙双方协商决定是否续签常年法律顾问合同。</w:t>
      </w:r>
    </w:p>
    <w:tbl>
      <w:tblPr>
        <w:tblStyle w:val="22"/>
        <w:tblW w:w="9379" w:type="dxa"/>
        <w:jc w:val="center"/>
        <w:tblLayout w:type="fixed"/>
        <w:tblCellMar>
          <w:top w:w="0" w:type="dxa"/>
          <w:left w:w="108" w:type="dxa"/>
          <w:bottom w:w="0" w:type="dxa"/>
          <w:right w:w="108" w:type="dxa"/>
        </w:tblCellMar>
      </w:tblPr>
      <w:tblGrid>
        <w:gridCol w:w="4833"/>
        <w:gridCol w:w="4546"/>
      </w:tblGrid>
      <w:tr w14:paraId="4245CE20">
        <w:tblPrEx>
          <w:tblCellMar>
            <w:top w:w="0" w:type="dxa"/>
            <w:left w:w="108" w:type="dxa"/>
            <w:bottom w:w="0" w:type="dxa"/>
            <w:right w:w="108" w:type="dxa"/>
          </w:tblCellMar>
        </w:tblPrEx>
        <w:trPr>
          <w:trHeight w:val="3494" w:hRule="atLeast"/>
          <w:jc w:val="center"/>
        </w:trPr>
        <w:tc>
          <w:tcPr>
            <w:tcW w:w="4833" w:type="dxa"/>
          </w:tcPr>
          <w:p w14:paraId="3FF6DD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甲方（采购人）：（盖章）</w:t>
            </w:r>
          </w:p>
          <w:p w14:paraId="0FC4DC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2300C2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p>
          <w:p w14:paraId="71417E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p w14:paraId="3D63ED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38D422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帐号：</w:t>
            </w:r>
          </w:p>
          <w:p w14:paraId="2E9D68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p>
          <w:p w14:paraId="477B7C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tc>
        <w:tc>
          <w:tcPr>
            <w:tcW w:w="4546" w:type="dxa"/>
          </w:tcPr>
          <w:p w14:paraId="5B80A8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乙方（投标人）：（盖章）</w:t>
            </w:r>
          </w:p>
          <w:p w14:paraId="3DBA20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委托代表人：</w:t>
            </w:r>
          </w:p>
          <w:p w14:paraId="43A2C7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p w14:paraId="19940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p w14:paraId="09BCCD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5BB643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帐号：</w:t>
            </w:r>
          </w:p>
          <w:p w14:paraId="2FBC8D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p>
          <w:p w14:paraId="279963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tc>
      </w:tr>
    </w:tbl>
    <w:p w14:paraId="48393581">
      <w:pPr>
        <w:pageBreakBefore w:val="0"/>
        <w:kinsoku/>
        <w:wordWrap/>
        <w:overflowPunct/>
        <w:topLinePunct w:val="0"/>
        <w:bidi w:val="0"/>
        <w:spacing w:line="36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br w:type="page"/>
      </w:r>
    </w:p>
    <w:p w14:paraId="317EE7D0">
      <w:pPr>
        <w:keepNext/>
        <w:pageBreakBefore w:val="0"/>
        <w:kinsoku/>
        <w:wordWrap/>
        <w:overflowPunct/>
        <w:topLinePunct w:val="0"/>
        <w:bidi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b/>
          <w:bCs/>
          <w:color w:val="auto"/>
          <w:kern w:val="44"/>
          <w:sz w:val="32"/>
          <w:szCs w:val="32"/>
          <w:highlight w:val="none"/>
          <w:lang w:val="en-US" w:eastAsia="zh-CN" w:bidi="ar-SA"/>
        </w:rPr>
        <w:t>第四章 项目需求</w:t>
      </w:r>
    </w:p>
    <w:p w14:paraId="6CE94AD7">
      <w:pPr>
        <w:pStyle w:val="9"/>
        <w:pageBreakBefore w:val="0"/>
        <w:kinsoku/>
        <w:wordWrap/>
        <w:overflowPunct/>
        <w:topLinePunct w:val="0"/>
        <w:bidi w:val="0"/>
        <w:spacing w:line="360" w:lineRule="auto"/>
        <w:rPr>
          <w:rFonts w:hint="eastAsia" w:ascii="仿宋" w:hAnsi="仿宋" w:eastAsia="仿宋" w:cs="仿宋"/>
          <w:color w:val="auto"/>
          <w:kern w:val="2"/>
          <w:sz w:val="24"/>
          <w:szCs w:val="24"/>
          <w:highlight w:val="none"/>
          <w:lang w:val="en-US" w:eastAsia="zh-CN" w:bidi="ar-SA"/>
        </w:rPr>
      </w:pPr>
    </w:p>
    <w:p w14:paraId="11F08E42">
      <w:pPr>
        <w:pStyle w:val="57"/>
        <w:pageBreakBefore w:val="0"/>
        <w:kinsoku/>
        <w:wordWrap/>
        <w:overflowPunct/>
        <w:topLinePunct w:val="0"/>
        <w:bidi w:val="0"/>
        <w:snapToGrid w:val="0"/>
        <w:spacing w:line="360" w:lineRule="auto"/>
        <w:ind w:firstLine="562" w:firstLineChars="200"/>
        <w:rPr>
          <w:rFonts w:hint="eastAsia" w:ascii="仿宋" w:hAnsi="仿宋" w:eastAsia="仿宋" w:cs="仿宋"/>
          <w:color w:val="auto"/>
          <w:sz w:val="28"/>
          <w:highlight w:val="none"/>
        </w:rPr>
      </w:pPr>
      <w:r>
        <w:rPr>
          <w:rFonts w:hint="eastAsia" w:ascii="仿宋" w:hAnsi="仿宋" w:eastAsia="仿宋" w:cs="仿宋"/>
          <w:b/>
          <w:color w:val="auto"/>
          <w:kern w:val="0"/>
          <w:sz w:val="28"/>
          <w:highlight w:val="none"/>
          <w:lang w:val="zh-CN"/>
        </w:rPr>
        <w:t>请</w:t>
      </w:r>
      <w:r>
        <w:rPr>
          <w:rFonts w:hint="eastAsia" w:ascii="仿宋" w:hAnsi="仿宋" w:eastAsia="仿宋" w:cs="仿宋"/>
          <w:b/>
          <w:color w:val="auto"/>
          <w:kern w:val="0"/>
          <w:sz w:val="28"/>
          <w:highlight w:val="none"/>
          <w:lang w:val="zh-CN" w:eastAsia="zh-CN"/>
        </w:rPr>
        <w:t>供应商</w:t>
      </w:r>
      <w:r>
        <w:rPr>
          <w:rFonts w:hint="eastAsia" w:ascii="仿宋" w:hAnsi="仿宋" w:eastAsia="仿宋" w:cs="仿宋"/>
          <w:b/>
          <w:color w:val="auto"/>
          <w:kern w:val="0"/>
          <w:sz w:val="28"/>
          <w:highlight w:val="none"/>
          <w:lang w:val="zh-CN"/>
        </w:rPr>
        <w:t>在</w:t>
      </w:r>
      <w:r>
        <w:rPr>
          <w:rFonts w:hint="eastAsia" w:ascii="仿宋" w:hAnsi="仿宋" w:eastAsia="仿宋" w:cs="仿宋"/>
          <w:b/>
          <w:color w:val="auto"/>
          <w:kern w:val="0"/>
          <w:sz w:val="28"/>
          <w:highlight w:val="none"/>
          <w:lang w:val="zh-CN" w:eastAsia="zh-CN"/>
        </w:rPr>
        <w:t>获取公开招标文件前</w:t>
      </w:r>
      <w:r>
        <w:rPr>
          <w:rFonts w:hint="eastAsia" w:ascii="仿宋" w:hAnsi="仿宋" w:eastAsia="仿宋" w:cs="仿宋"/>
          <w:b/>
          <w:color w:val="auto"/>
          <w:kern w:val="0"/>
          <w:sz w:val="28"/>
          <w:highlight w:val="none"/>
          <w:lang w:val="zh-CN"/>
        </w:rPr>
        <w:t>和制作</w:t>
      </w:r>
      <w:r>
        <w:rPr>
          <w:rFonts w:hint="eastAsia" w:ascii="仿宋" w:hAnsi="仿宋" w:eastAsia="仿宋" w:cs="仿宋"/>
          <w:b/>
          <w:color w:val="auto"/>
          <w:kern w:val="0"/>
          <w:sz w:val="28"/>
          <w:highlight w:val="none"/>
          <w:lang w:val="zh-CN" w:eastAsia="zh-CN"/>
        </w:rPr>
        <w:t>响应</w:t>
      </w:r>
      <w:r>
        <w:rPr>
          <w:rFonts w:hint="eastAsia" w:ascii="仿宋" w:hAnsi="仿宋" w:eastAsia="仿宋" w:cs="仿宋"/>
          <w:b/>
          <w:color w:val="auto"/>
          <w:kern w:val="0"/>
          <w:sz w:val="28"/>
          <w:highlight w:val="none"/>
          <w:lang w:val="zh-CN"/>
        </w:rPr>
        <w:t>文件时仔细研究项目需求说明。</w:t>
      </w:r>
      <w:r>
        <w:rPr>
          <w:rFonts w:hint="eastAsia" w:ascii="仿宋" w:hAnsi="仿宋" w:eastAsia="仿宋" w:cs="仿宋"/>
          <w:color w:val="auto"/>
          <w:kern w:val="0"/>
          <w:sz w:val="28"/>
          <w:highlight w:val="none"/>
          <w:lang w:val="zh-CN" w:eastAsia="zh-CN"/>
        </w:rPr>
        <w:t>供应商</w:t>
      </w:r>
      <w:r>
        <w:rPr>
          <w:rFonts w:hint="eastAsia" w:ascii="仿宋" w:hAnsi="仿宋" w:eastAsia="仿宋" w:cs="仿宋"/>
          <w:color w:val="auto"/>
          <w:kern w:val="0"/>
          <w:sz w:val="28"/>
          <w:highlight w:val="none"/>
          <w:lang w:val="zh-CN"/>
        </w:rPr>
        <w:t>不能简单照搬照抄采购单位项目需求说明中的技术、商务要求，必须作实事求是的响应。如照搬照抄项目需求说明中的技术、商务要求的，</w:t>
      </w:r>
      <w:r>
        <w:rPr>
          <w:rFonts w:hint="eastAsia" w:ascii="仿宋" w:hAnsi="仿宋" w:eastAsia="仿宋" w:cs="仿宋"/>
          <w:color w:val="auto"/>
          <w:kern w:val="0"/>
          <w:sz w:val="28"/>
          <w:highlight w:val="none"/>
          <w:lang w:val="zh-CN" w:eastAsia="zh-CN"/>
        </w:rPr>
        <w:t>成交</w:t>
      </w:r>
      <w:r>
        <w:rPr>
          <w:rFonts w:hint="eastAsia" w:ascii="仿宋" w:hAnsi="仿宋" w:eastAsia="仿宋" w:cs="仿宋"/>
          <w:color w:val="auto"/>
          <w:kern w:val="0"/>
          <w:sz w:val="28"/>
          <w:highlight w:val="none"/>
          <w:lang w:val="zh-CN"/>
        </w:rPr>
        <w:t>后供应商在同采购单位签订合同和履约环节中不得提出异议，一切后果和损失由</w:t>
      </w:r>
      <w:r>
        <w:rPr>
          <w:rFonts w:hint="eastAsia" w:ascii="仿宋" w:hAnsi="仿宋" w:eastAsia="仿宋" w:cs="仿宋"/>
          <w:color w:val="auto"/>
          <w:kern w:val="0"/>
          <w:sz w:val="28"/>
          <w:highlight w:val="none"/>
          <w:lang w:val="zh-CN" w:eastAsia="zh-CN"/>
        </w:rPr>
        <w:t>成交</w:t>
      </w:r>
      <w:r>
        <w:rPr>
          <w:rFonts w:hint="eastAsia" w:ascii="仿宋" w:hAnsi="仿宋" w:eastAsia="仿宋" w:cs="仿宋"/>
          <w:color w:val="auto"/>
          <w:kern w:val="0"/>
          <w:sz w:val="28"/>
          <w:highlight w:val="none"/>
          <w:lang w:val="zh-CN"/>
        </w:rPr>
        <w:t>供应商承担。如</w:t>
      </w:r>
      <w:r>
        <w:rPr>
          <w:rFonts w:hint="eastAsia" w:ascii="仿宋" w:hAnsi="仿宋" w:eastAsia="仿宋" w:cs="仿宋"/>
          <w:color w:val="auto"/>
          <w:kern w:val="0"/>
          <w:sz w:val="28"/>
          <w:highlight w:val="none"/>
          <w:lang w:val="zh-CN" w:eastAsia="zh-CN"/>
        </w:rPr>
        <w:t>供应商</w:t>
      </w:r>
      <w:r>
        <w:rPr>
          <w:rFonts w:hint="eastAsia" w:ascii="仿宋" w:hAnsi="仿宋" w:eastAsia="仿宋" w:cs="仿宋"/>
          <w:color w:val="auto"/>
          <w:kern w:val="0"/>
          <w:sz w:val="28"/>
          <w:highlight w:val="none"/>
          <w:lang w:val="zh-CN"/>
        </w:rPr>
        <w:t>提供的货物和服务同采购单位提出的项目需求说明中的技术、商务要求不同的，必须在</w:t>
      </w:r>
      <w:r>
        <w:rPr>
          <w:rFonts w:hint="eastAsia" w:ascii="仿宋" w:hAnsi="仿宋" w:eastAsia="仿宋" w:cs="仿宋"/>
          <w:color w:val="auto"/>
          <w:kern w:val="0"/>
          <w:sz w:val="28"/>
          <w:highlight w:val="none"/>
          <w:lang w:val="en-US" w:eastAsia="zh-CN"/>
        </w:rPr>
        <w:t>技术偏离表</w:t>
      </w:r>
      <w:r>
        <w:rPr>
          <w:rFonts w:hint="eastAsia" w:ascii="仿宋" w:hAnsi="仿宋" w:eastAsia="仿宋" w:cs="仿宋"/>
          <w:color w:val="auto"/>
          <w:sz w:val="28"/>
          <w:highlight w:val="none"/>
        </w:rPr>
        <w:t>上明示，如不明示的视同完全响应</w:t>
      </w:r>
      <w:r>
        <w:rPr>
          <w:rFonts w:hint="eastAsia" w:ascii="仿宋" w:hAnsi="仿宋" w:eastAsia="仿宋" w:cs="仿宋"/>
          <w:color w:val="auto"/>
          <w:kern w:val="0"/>
          <w:sz w:val="28"/>
          <w:highlight w:val="none"/>
          <w:lang w:val="zh-CN"/>
        </w:rPr>
        <w:t>。</w:t>
      </w:r>
    </w:p>
    <w:p w14:paraId="2996CCFF">
      <w:pPr>
        <w:pageBreakBefore w:val="0"/>
        <w:kinsoku/>
        <w:wordWrap/>
        <w:overflowPunct/>
        <w:topLinePunct w:val="0"/>
        <w:bidi w:val="0"/>
        <w:spacing w:line="360" w:lineRule="auto"/>
        <w:ind w:firstLine="482" w:firstLineChars="200"/>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一、项目</w:t>
      </w:r>
      <w:r>
        <w:rPr>
          <w:rFonts w:hint="eastAsia" w:ascii="仿宋" w:hAnsi="仿宋" w:eastAsia="仿宋" w:cs="仿宋"/>
          <w:b/>
          <w:bCs/>
          <w:sz w:val="24"/>
          <w:szCs w:val="24"/>
          <w:highlight w:val="none"/>
          <w:lang w:eastAsia="zh-CN"/>
        </w:rPr>
        <w:t>预算</w:t>
      </w:r>
    </w:p>
    <w:p w14:paraId="0D477187">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因业务工作需要，南通市园林绿化管理处拟选聘法律顾问单位，本着“公平、公正、公开”的原则，择优确定服务单位。</w:t>
      </w:r>
    </w:p>
    <w:p w14:paraId="28B31961">
      <w:pPr>
        <w:pageBreakBefore w:val="0"/>
        <w:kinsoku/>
        <w:wordWrap/>
        <w:overflowPunct/>
        <w:topLinePunct w:val="0"/>
        <w:bidi w:val="0"/>
        <w:spacing w:line="360" w:lineRule="auto"/>
        <w:ind w:firstLine="480" w:firstLineChars="200"/>
        <w:jc w:val="left"/>
        <w:rPr>
          <w:rFonts w:hint="eastAsia" w:ascii="仿宋" w:hAnsi="仿宋" w:eastAsia="仿宋" w:cs="仿宋"/>
          <w:b/>
          <w:bCs/>
          <w:sz w:val="24"/>
          <w:szCs w:val="24"/>
          <w:highlight w:val="none"/>
          <w:lang w:eastAsia="zh-CN"/>
        </w:rPr>
      </w:pPr>
      <w:r>
        <w:rPr>
          <w:rFonts w:hint="eastAsia" w:ascii="仿宋" w:hAnsi="仿宋" w:eastAsia="仿宋" w:cs="仿宋"/>
          <w:bCs/>
          <w:sz w:val="24"/>
          <w:szCs w:val="24"/>
          <w:highlight w:val="none"/>
        </w:rPr>
        <w:t>采购预算（即最高限价）：</w:t>
      </w:r>
      <w:r>
        <w:rPr>
          <w:rFonts w:hint="eastAsia" w:ascii="仿宋" w:hAnsi="仿宋" w:eastAsia="仿宋" w:cs="仿宋"/>
          <w:b/>
          <w:bCs/>
          <w:sz w:val="24"/>
          <w:szCs w:val="24"/>
          <w:highlight w:val="none"/>
          <w:lang w:eastAsia="zh-CN"/>
        </w:rPr>
        <w:t>3万元/年</w:t>
      </w:r>
    </w:p>
    <w:p w14:paraId="66CAC2E0">
      <w:pPr>
        <w:pageBreakBefore w:val="0"/>
        <w:kinsoku/>
        <w:wordWrap/>
        <w:overflowPunct/>
        <w:topLinePunct w:val="0"/>
        <w:bidi w:val="0"/>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二、项目内容</w:t>
      </w:r>
    </w:p>
    <w:p w14:paraId="248E5641">
      <w:pPr>
        <w:pageBreakBefore w:val="0"/>
        <w:kinsoku/>
        <w:wordWrap/>
        <w:overflowPunct/>
        <w:topLinePunct w:val="0"/>
        <w:bidi w:val="0"/>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（一）服务内容</w:t>
      </w:r>
    </w:p>
    <w:p w14:paraId="5C7C7718">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供应商</w:t>
      </w:r>
      <w:r>
        <w:rPr>
          <w:rFonts w:hint="eastAsia" w:ascii="仿宋" w:hAnsi="仿宋" w:eastAsia="仿宋" w:cs="仿宋"/>
          <w:bCs/>
          <w:sz w:val="24"/>
          <w:szCs w:val="24"/>
          <w:highlight w:val="none"/>
        </w:rPr>
        <w:t>作为独立的法律支持机构，负责为</w:t>
      </w:r>
      <w:r>
        <w:rPr>
          <w:rFonts w:hint="eastAsia" w:ascii="仿宋" w:hAnsi="仿宋" w:eastAsia="仿宋" w:cs="仿宋"/>
          <w:bCs/>
          <w:sz w:val="24"/>
          <w:szCs w:val="24"/>
          <w:highlight w:val="none"/>
          <w:lang w:eastAsia="zh-CN"/>
        </w:rPr>
        <w:t>采购人</w:t>
      </w:r>
      <w:r>
        <w:rPr>
          <w:rFonts w:hint="eastAsia" w:ascii="仿宋" w:hAnsi="仿宋" w:eastAsia="仿宋" w:cs="仿宋"/>
          <w:bCs/>
          <w:sz w:val="24"/>
          <w:szCs w:val="24"/>
          <w:highlight w:val="none"/>
        </w:rPr>
        <w:t>提供如下法律服务：</w:t>
      </w:r>
    </w:p>
    <w:p w14:paraId="69450ECF">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日常法律咨询服务。就聘请方职能工作和业务遇到的一般、简单法律问题，应聘请方要求提供口头或者书面的法律分析意见。</w:t>
      </w:r>
    </w:p>
    <w:p w14:paraId="1C78FAEA">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.出具法律意见书。涉及重大决策、重大项目、重要合同、重大信访案件、重大突发事件及其他重大事项等法律事务，出具法律意见书，并协助起草、修改相关法律文书及予以相应妥善、正确处理。</w:t>
      </w:r>
    </w:p>
    <w:p w14:paraId="3B230E12">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.出具合法性审查意见书。对聘请方起草的地方性法规和规章草案，以及起草或者法定职权范围内审查的重要规范性文件，出具合法性审查意见书。</w:t>
      </w:r>
    </w:p>
    <w:p w14:paraId="4D5476A4">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.提供法律培训服务。结合聘请方特点，为聘请方举办法律讲座，每年不少于2次。</w:t>
      </w:r>
    </w:p>
    <w:p w14:paraId="71B96A7E">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按照聘请方要求参与各类普通事项谈判。</w:t>
      </w:r>
    </w:p>
    <w:p w14:paraId="7B367B35">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6.按照聘请方需求对合同、协议等法律文书的起草、审核修改、磋商及模板制定，并出具法律意见书。</w:t>
      </w:r>
    </w:p>
    <w:p w14:paraId="61703AB4">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7.根据聘请方需求发送律师函。</w:t>
      </w:r>
    </w:p>
    <w:p w14:paraId="21F6B745">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8.协助聘请方做好单位内部规章制度的建立与完善，防范法律风险。</w:t>
      </w:r>
    </w:p>
    <w:p w14:paraId="18091DC4">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9.协助聘请方做好劳动人事等专项法律风险防控。</w:t>
      </w:r>
    </w:p>
    <w:p w14:paraId="6954FD81">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代理或协助办理复议诉讼案件，就案件的疑难问题、风险点处理提供专业法律意见；视案件复杂情形，免费代理1件（至案件终审）的诉讼案件。</w:t>
      </w:r>
    </w:p>
    <w:p w14:paraId="1013438A">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11.</w:t>
      </w:r>
      <w:r>
        <w:rPr>
          <w:rFonts w:hint="eastAsia" w:ascii="仿宋" w:hAnsi="仿宋" w:eastAsia="仿宋" w:cs="仿宋"/>
          <w:bCs/>
          <w:sz w:val="24"/>
          <w:szCs w:val="24"/>
          <w:highlight w:val="none"/>
        </w:rPr>
        <w:t>协助聘请方办理其他法律事务。</w:t>
      </w:r>
    </w:p>
    <w:p w14:paraId="4DA76570">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成交</w:t>
      </w:r>
      <w:r>
        <w:rPr>
          <w:rFonts w:hint="eastAsia" w:ascii="仿宋" w:hAnsi="仿宋" w:eastAsia="仿宋" w:cs="仿宋"/>
          <w:bCs/>
          <w:sz w:val="24"/>
          <w:szCs w:val="24"/>
          <w:highlight w:val="none"/>
        </w:rPr>
        <w:t>单位提供上述法律服务，不再另行收费。</w:t>
      </w:r>
    </w:p>
    <w:p w14:paraId="1DBB97A6">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关于采购人涉及的下述事件根据发生情况进行收费：</w:t>
      </w:r>
    </w:p>
    <w:p w14:paraId="479560C2">
      <w:pPr>
        <w:pageBreakBefore w:val="0"/>
        <w:kinsoku/>
        <w:wordWrap/>
        <w:overflowPunct/>
        <w:topLinePunct w:val="0"/>
        <w:bidi w:val="0"/>
        <w:spacing w:line="360" w:lineRule="auto"/>
        <w:ind w:firstLine="482" w:firstLineChars="200"/>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诉讼类服务。除免费代理案件外，受理采购人委托的诉讼、仲裁、复议等案件的服务。 本项为不可竞争费。按照国家发改委、司法部相关文件以及江苏省物价局、江苏省司法厅办分费421号文件规定的收费标准下限的六折收取。</w:t>
      </w:r>
    </w:p>
    <w:p w14:paraId="1654FDD4">
      <w:pPr>
        <w:pageBreakBefore w:val="0"/>
        <w:kinsoku/>
        <w:wordWrap/>
        <w:overflowPunct/>
        <w:topLinePunct w:val="0"/>
        <w:bidi w:val="0"/>
        <w:spacing w:line="360" w:lineRule="auto"/>
        <w:ind w:firstLine="482" w:firstLineChars="200"/>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eastAsia="zh-CN"/>
        </w:rPr>
        <w:t>服务期限</w:t>
      </w:r>
    </w:p>
    <w:p w14:paraId="3BAF699B">
      <w:pPr>
        <w:pageBreakBefore w:val="0"/>
        <w:kinsoku/>
        <w:wordWrap/>
        <w:overflowPunct/>
        <w:topLinePunct w:val="0"/>
        <w:bidi w:val="0"/>
        <w:spacing w:line="360" w:lineRule="auto"/>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依据《政府购买服务管理办法》（财政部令第102号）第二十四条规定，合同总服务期限3年，合同一年一签。（具体以合同约定时间为准）</w:t>
      </w:r>
    </w:p>
    <w:p w14:paraId="2C2900DD">
      <w:pPr>
        <w:pageBreakBefore w:val="0"/>
        <w:kinsoku/>
        <w:wordWrap/>
        <w:overflowPunct/>
        <w:topLinePunct w:val="0"/>
        <w:bidi w:val="0"/>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（三）</w:t>
      </w:r>
      <w:r>
        <w:rPr>
          <w:rFonts w:hint="eastAsia" w:ascii="仿宋" w:hAnsi="仿宋" w:eastAsia="仿宋" w:cs="仿宋"/>
          <w:b/>
          <w:bCs/>
          <w:sz w:val="24"/>
          <w:szCs w:val="24"/>
          <w:highlight w:val="none"/>
        </w:rPr>
        <w:t>服务响应要求</w:t>
      </w:r>
    </w:p>
    <w:p w14:paraId="427AC588">
      <w:pPr>
        <w:pageBreakBefore w:val="0"/>
        <w:kinsoku/>
        <w:wordWrap/>
        <w:overflowPunct/>
        <w:topLinePunct w:val="0"/>
        <w:bidi w:val="0"/>
        <w:spacing w:line="360" w:lineRule="auto"/>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接到聘请方口头或书面通知后，被聘请方（指中标后签订服务合同的法律顾问单位）应在2小时内或约定时间到达聘请方通知的地点提供法律服务。</w:t>
      </w:r>
    </w:p>
    <w:p w14:paraId="5DA5741C">
      <w:pPr>
        <w:pageBreakBefore w:val="0"/>
        <w:kinsoku/>
        <w:wordWrap/>
        <w:overflowPunct/>
        <w:topLinePunct w:val="0"/>
        <w:bidi w:val="0"/>
        <w:spacing w:line="360" w:lineRule="auto"/>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被聘请方未按照服务响应要求执行的，聘请方有权终止合同，已发生的服务费用按</w:t>
      </w:r>
      <w:r>
        <w:rPr>
          <w:rFonts w:hint="eastAsia" w:ascii="仿宋" w:hAnsi="仿宋" w:eastAsia="仿宋" w:cs="仿宋"/>
          <w:b w:val="0"/>
          <w:bCs w:val="0"/>
          <w:sz w:val="24"/>
          <w:szCs w:val="24"/>
          <w:highlight w:val="none"/>
          <w:lang w:eastAsia="zh-CN"/>
        </w:rPr>
        <w:t>实</w:t>
      </w:r>
      <w:r>
        <w:rPr>
          <w:rFonts w:hint="eastAsia" w:ascii="仿宋" w:hAnsi="仿宋" w:eastAsia="仿宋" w:cs="仿宋"/>
          <w:b w:val="0"/>
          <w:bCs w:val="0"/>
          <w:sz w:val="24"/>
          <w:szCs w:val="24"/>
          <w:highlight w:val="none"/>
        </w:rPr>
        <w:t>进行结算，因此产生的所有损失由被聘请方自行承担。</w:t>
      </w:r>
    </w:p>
    <w:p w14:paraId="0B43DEF9">
      <w:pPr>
        <w:pageBreakBefore w:val="0"/>
        <w:numPr>
          <w:ilvl w:val="0"/>
          <w:numId w:val="1"/>
        </w:numPr>
        <w:kinsoku/>
        <w:wordWrap/>
        <w:overflowPunct/>
        <w:topLinePunct w:val="0"/>
        <w:bidi w:val="0"/>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费用结算</w:t>
      </w:r>
    </w:p>
    <w:p w14:paraId="6CF6DC2C">
      <w:pPr>
        <w:pageBreakBefore w:val="0"/>
        <w:kinsoku/>
        <w:wordWrap/>
        <w:overflowPunct/>
        <w:topLinePunct w:val="0"/>
        <w:bidi w:val="0"/>
        <w:spacing w:line="360" w:lineRule="auto"/>
        <w:ind w:left="479" w:leftChars="228" w:firstLine="0" w:firstLineChars="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（1）日常法律咨询服务费用每年年底一次性支付。</w:t>
      </w:r>
    </w:p>
    <w:p w14:paraId="7ED1CE79">
      <w:pPr>
        <w:pageBreakBefore w:val="0"/>
        <w:kinsoku/>
        <w:wordWrap/>
        <w:overflowPunct/>
        <w:topLinePunct w:val="0"/>
        <w:bidi w:val="0"/>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（2）诉讼类服务费待案件终审后，下一个年度按照规定的收费标准下限六折一次性支付。</w:t>
      </w:r>
    </w:p>
    <w:p w14:paraId="45C880EE">
      <w:pPr>
        <w:pageBreakBefore w:val="0"/>
        <w:kinsoku/>
        <w:wordWrap/>
        <w:overflowPunct/>
        <w:topLinePunct w:val="0"/>
        <w:bidi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以上付款均不计利息。由采购单位按相关财务支付规定办理支付手续。</w:t>
      </w:r>
    </w:p>
    <w:p w14:paraId="42F5DD6F">
      <w:pPr>
        <w:pageBreakBefore w:val="0"/>
        <w:kinsoku/>
        <w:wordWrap/>
        <w:overflowPunct/>
        <w:topLinePunct w:val="0"/>
        <w:bidi w:val="0"/>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429CCFDE">
      <w:pPr>
        <w:pageBreakBefore w:val="0"/>
        <w:widowControl/>
        <w:kinsoku/>
        <w:wordWrap/>
        <w:overflowPunct/>
        <w:topLinePunct w:val="0"/>
        <w:bidi w:val="0"/>
        <w:spacing w:line="360" w:lineRule="auto"/>
        <w:ind w:firstLine="2570" w:firstLineChars="800"/>
        <w:jc w:val="left"/>
        <w:rPr>
          <w:rFonts w:hint="eastAsia" w:ascii="仿宋" w:hAnsi="仿宋" w:eastAsia="仿宋" w:cs="仿宋"/>
          <w:color w:val="auto"/>
          <w:sz w:val="32"/>
          <w:szCs w:val="32"/>
          <w:highlight w:val="none"/>
        </w:rPr>
      </w:pPr>
      <w:r>
        <w:rPr>
          <w:rFonts w:hint="eastAsia" w:ascii="仿宋" w:hAnsi="仿宋" w:eastAsia="仿宋" w:cs="仿宋"/>
          <w:b/>
          <w:bCs/>
          <w:color w:val="auto"/>
          <w:kern w:val="44"/>
          <w:sz w:val="32"/>
          <w:szCs w:val="32"/>
          <w:highlight w:val="none"/>
          <w:lang w:val="en-US" w:eastAsia="zh-CN" w:bidi="ar-SA"/>
        </w:rPr>
        <w:t>第五章   资格审查</w:t>
      </w:r>
    </w:p>
    <w:tbl>
      <w:tblPr>
        <w:tblStyle w:val="22"/>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951"/>
        <w:gridCol w:w="2942"/>
        <w:gridCol w:w="4881"/>
      </w:tblGrid>
      <w:tr w14:paraId="223C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55" w:type="dxa"/>
            <w:gridSpan w:val="2"/>
            <w:vAlign w:val="center"/>
          </w:tcPr>
          <w:p w14:paraId="62E97D47">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bookmarkStart w:id="105" w:name="OLE_LINK9"/>
            <w:r>
              <w:rPr>
                <w:rFonts w:hint="eastAsia" w:ascii="仿宋" w:hAnsi="仿宋" w:eastAsia="仿宋" w:cs="仿宋"/>
                <w:b/>
                <w:bCs/>
                <w:color w:val="auto"/>
                <w:sz w:val="24"/>
                <w:szCs w:val="24"/>
                <w:highlight w:val="none"/>
              </w:rPr>
              <w:t>条款号</w:t>
            </w:r>
          </w:p>
        </w:tc>
        <w:tc>
          <w:tcPr>
            <w:tcW w:w="2942" w:type="dxa"/>
            <w:tcBorders>
              <w:left w:val="nil"/>
            </w:tcBorders>
            <w:vAlign w:val="center"/>
          </w:tcPr>
          <w:p w14:paraId="4ADC166F">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评审因素</w:t>
            </w:r>
          </w:p>
        </w:tc>
        <w:tc>
          <w:tcPr>
            <w:tcW w:w="4881" w:type="dxa"/>
            <w:tcBorders>
              <w:left w:val="nil"/>
            </w:tcBorders>
            <w:vAlign w:val="center"/>
          </w:tcPr>
          <w:p w14:paraId="2305B431">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0CC9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04" w:type="dxa"/>
            <w:vMerge w:val="restart"/>
            <w:tcBorders>
              <w:top w:val="nil"/>
            </w:tcBorders>
            <w:vAlign w:val="center"/>
          </w:tcPr>
          <w:p w14:paraId="1BAF5F85">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p>
        </w:tc>
        <w:tc>
          <w:tcPr>
            <w:tcW w:w="951" w:type="dxa"/>
            <w:vMerge w:val="restart"/>
            <w:tcBorders>
              <w:top w:val="nil"/>
              <w:left w:val="nil"/>
            </w:tcBorders>
            <w:vAlign w:val="center"/>
          </w:tcPr>
          <w:p w14:paraId="7E076B9D">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形式评审标准</w:t>
            </w:r>
          </w:p>
        </w:tc>
        <w:tc>
          <w:tcPr>
            <w:tcW w:w="2942" w:type="dxa"/>
            <w:tcBorders>
              <w:left w:val="nil"/>
            </w:tcBorders>
            <w:vAlign w:val="center"/>
          </w:tcPr>
          <w:p w14:paraId="1D11E8DD">
            <w:pPr>
              <w:pageBreakBefore w:val="0"/>
              <w:kinsoku/>
              <w:wordWrap/>
              <w:overflowPunct/>
              <w:topLinePunct w:val="0"/>
              <w:bidi w:val="0"/>
              <w:spacing w:line="360" w:lineRule="auto"/>
              <w:ind w:firstLine="12" w:firstLineChars="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4881" w:type="dxa"/>
            <w:tcBorders>
              <w:left w:val="nil"/>
            </w:tcBorders>
            <w:vAlign w:val="center"/>
          </w:tcPr>
          <w:p w14:paraId="6CDEC42C">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供应商名称与营业执照；不一致的，提供有效证明材料</w:t>
            </w:r>
          </w:p>
        </w:tc>
      </w:tr>
      <w:tr w14:paraId="228C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904" w:type="dxa"/>
            <w:vMerge w:val="continue"/>
            <w:tcBorders>
              <w:top w:val="nil"/>
            </w:tcBorders>
            <w:vAlign w:val="center"/>
          </w:tcPr>
          <w:p w14:paraId="51847872">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951" w:type="dxa"/>
            <w:vMerge w:val="continue"/>
            <w:tcBorders>
              <w:top w:val="nil"/>
              <w:left w:val="nil"/>
            </w:tcBorders>
            <w:vAlign w:val="center"/>
          </w:tcPr>
          <w:p w14:paraId="6974549D">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2942" w:type="dxa"/>
            <w:tcBorders>
              <w:left w:val="nil"/>
            </w:tcBorders>
            <w:vAlign w:val="center"/>
          </w:tcPr>
          <w:p w14:paraId="1619FB69">
            <w:pPr>
              <w:pageBreakBefore w:val="0"/>
              <w:kinsoku/>
              <w:wordWrap/>
              <w:overflowPunct/>
              <w:topLinePunct w:val="0"/>
              <w:bidi w:val="0"/>
              <w:spacing w:line="360" w:lineRule="auto"/>
              <w:ind w:firstLine="12" w:firstLineChars="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文件签字盖章</w:t>
            </w:r>
          </w:p>
        </w:tc>
        <w:tc>
          <w:tcPr>
            <w:tcW w:w="4881" w:type="dxa"/>
            <w:tcBorders>
              <w:left w:val="nil"/>
            </w:tcBorders>
            <w:vAlign w:val="center"/>
          </w:tcPr>
          <w:p w14:paraId="506DD3C8">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加盖供应商公章和企业法定代表人（或企业法定代表人委托代理人）印章（或签字）。委托代理人有合法、有效的委托书（原件）</w:t>
            </w:r>
          </w:p>
        </w:tc>
      </w:tr>
      <w:tr w14:paraId="7558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4" w:type="dxa"/>
            <w:vMerge w:val="continue"/>
            <w:tcBorders>
              <w:top w:val="nil"/>
            </w:tcBorders>
            <w:vAlign w:val="center"/>
          </w:tcPr>
          <w:p w14:paraId="16AD080C">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951" w:type="dxa"/>
            <w:vMerge w:val="continue"/>
            <w:tcBorders>
              <w:top w:val="nil"/>
              <w:left w:val="nil"/>
            </w:tcBorders>
            <w:vAlign w:val="center"/>
          </w:tcPr>
          <w:p w14:paraId="3D2F4616">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2942" w:type="dxa"/>
            <w:tcBorders>
              <w:left w:val="nil"/>
            </w:tcBorders>
            <w:vAlign w:val="center"/>
          </w:tcPr>
          <w:p w14:paraId="60B9C001">
            <w:pPr>
              <w:pageBreakBefore w:val="0"/>
              <w:widowControl/>
              <w:kinsoku/>
              <w:wordWrap/>
              <w:overflowPunct/>
              <w:topLinePunct w:val="0"/>
              <w:bidi w:val="0"/>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资格审查文件格式</w:t>
            </w:r>
          </w:p>
        </w:tc>
        <w:tc>
          <w:tcPr>
            <w:tcW w:w="4881" w:type="dxa"/>
            <w:tcBorders>
              <w:left w:val="nil"/>
            </w:tcBorders>
            <w:vAlign w:val="center"/>
          </w:tcPr>
          <w:p w14:paraId="2A210E86">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符合公开招标文件要求并附有所有相应表格</w:t>
            </w:r>
          </w:p>
        </w:tc>
      </w:tr>
      <w:tr w14:paraId="01F6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904" w:type="dxa"/>
            <w:vMerge w:val="restart"/>
            <w:tcBorders>
              <w:top w:val="nil"/>
            </w:tcBorders>
            <w:vAlign w:val="center"/>
          </w:tcPr>
          <w:p w14:paraId="12FEE8FC">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p>
        </w:tc>
        <w:tc>
          <w:tcPr>
            <w:tcW w:w="951" w:type="dxa"/>
            <w:vMerge w:val="restart"/>
            <w:tcBorders>
              <w:top w:val="nil"/>
              <w:left w:val="nil"/>
            </w:tcBorders>
            <w:vAlign w:val="center"/>
          </w:tcPr>
          <w:p w14:paraId="41B6880E">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资格评审标准</w:t>
            </w:r>
          </w:p>
        </w:tc>
        <w:tc>
          <w:tcPr>
            <w:tcW w:w="2942" w:type="dxa"/>
            <w:tcBorders>
              <w:left w:val="nil"/>
            </w:tcBorders>
            <w:vAlign w:val="center"/>
          </w:tcPr>
          <w:p w14:paraId="55490DB5">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法定代表人身份证明书、授权委托书</w:t>
            </w:r>
          </w:p>
        </w:tc>
        <w:tc>
          <w:tcPr>
            <w:tcW w:w="4881" w:type="dxa"/>
            <w:tcBorders>
              <w:left w:val="nil"/>
            </w:tcBorders>
          </w:tcPr>
          <w:p w14:paraId="15903F72">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法定代表人参加的，必须提供法定代表人身份证明及法定代表人本人身份证复印件（格式参见第七章）；非法定代表人参加的，必须提供法定代表人签字或盖章的授权委托书及法定代表人、被授权人的两人身份证的复印件（格式参见第七章）；</w:t>
            </w:r>
          </w:p>
        </w:tc>
      </w:tr>
      <w:tr w14:paraId="1CBF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04" w:type="dxa"/>
            <w:vMerge w:val="continue"/>
            <w:vAlign w:val="center"/>
          </w:tcPr>
          <w:p w14:paraId="21C68817">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p>
        </w:tc>
        <w:tc>
          <w:tcPr>
            <w:tcW w:w="951" w:type="dxa"/>
            <w:vMerge w:val="continue"/>
            <w:tcBorders>
              <w:left w:val="nil"/>
            </w:tcBorders>
            <w:vAlign w:val="center"/>
          </w:tcPr>
          <w:p w14:paraId="1F3F599D">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p>
        </w:tc>
        <w:tc>
          <w:tcPr>
            <w:tcW w:w="2942" w:type="dxa"/>
            <w:tcBorders>
              <w:left w:val="nil"/>
            </w:tcBorders>
            <w:vAlign w:val="center"/>
          </w:tcPr>
          <w:p w14:paraId="21543631">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w:t>
            </w:r>
          </w:p>
        </w:tc>
        <w:tc>
          <w:tcPr>
            <w:tcW w:w="4881" w:type="dxa"/>
            <w:tcBorders>
              <w:left w:val="nil"/>
            </w:tcBorders>
            <w:vAlign w:val="center"/>
          </w:tcPr>
          <w:p w14:paraId="040DE72B">
            <w:pPr>
              <w:pStyle w:val="8"/>
              <w:pageBreakBefore w:val="0"/>
              <w:kinsoku/>
              <w:wordWrap/>
              <w:overflowPunct/>
              <w:topLinePunct w:val="0"/>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供应商有效的营业执照（副本）；</w:t>
            </w:r>
          </w:p>
        </w:tc>
      </w:tr>
      <w:tr w14:paraId="21CB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04" w:type="dxa"/>
            <w:vMerge w:val="continue"/>
            <w:vAlign w:val="center"/>
          </w:tcPr>
          <w:p w14:paraId="0B4CA606">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p>
        </w:tc>
        <w:tc>
          <w:tcPr>
            <w:tcW w:w="951" w:type="dxa"/>
            <w:vMerge w:val="continue"/>
            <w:tcBorders>
              <w:left w:val="nil"/>
            </w:tcBorders>
            <w:vAlign w:val="center"/>
          </w:tcPr>
          <w:p w14:paraId="512E88C7">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p>
        </w:tc>
        <w:tc>
          <w:tcPr>
            <w:tcW w:w="2942" w:type="dxa"/>
            <w:tcBorders>
              <w:left w:val="nil"/>
            </w:tcBorders>
            <w:vAlign w:val="center"/>
          </w:tcPr>
          <w:p w14:paraId="69EB9E2B">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执业许可证</w:t>
            </w:r>
          </w:p>
        </w:tc>
        <w:tc>
          <w:tcPr>
            <w:tcW w:w="4881" w:type="dxa"/>
            <w:tcBorders>
              <w:left w:val="nil"/>
            </w:tcBorders>
            <w:vAlign w:val="center"/>
          </w:tcPr>
          <w:p w14:paraId="616AA2BA">
            <w:pPr>
              <w:pStyle w:val="8"/>
              <w:pageBreakBefore w:val="0"/>
              <w:kinsoku/>
              <w:wordWrap/>
              <w:overflowPunct/>
              <w:topLinePunct w:val="0"/>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具有中华人民共和国司法部门颁发的《律师事务所执业许可证》或《律师事务所分所执业许可证》</w:t>
            </w:r>
          </w:p>
        </w:tc>
      </w:tr>
      <w:tr w14:paraId="6B52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04" w:type="dxa"/>
            <w:vMerge w:val="continue"/>
            <w:vAlign w:val="center"/>
          </w:tcPr>
          <w:p w14:paraId="726BE8E7">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951" w:type="dxa"/>
            <w:vMerge w:val="continue"/>
            <w:tcBorders>
              <w:left w:val="nil"/>
            </w:tcBorders>
            <w:vAlign w:val="center"/>
          </w:tcPr>
          <w:p w14:paraId="2446EFEF">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2942" w:type="dxa"/>
            <w:tcBorders>
              <w:left w:val="nil"/>
            </w:tcBorders>
            <w:vAlign w:val="center"/>
          </w:tcPr>
          <w:p w14:paraId="587C8729">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供应商响应文件函</w:t>
            </w:r>
          </w:p>
        </w:tc>
        <w:tc>
          <w:tcPr>
            <w:tcW w:w="4881" w:type="dxa"/>
            <w:tcBorders>
              <w:left w:val="nil"/>
            </w:tcBorders>
            <w:vAlign w:val="center"/>
          </w:tcPr>
          <w:p w14:paraId="5D8C69AA">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供应商响应文件函（按</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文件第七章后附格式）</w:t>
            </w:r>
          </w:p>
        </w:tc>
      </w:tr>
      <w:tr w14:paraId="4308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4" w:type="dxa"/>
            <w:vMerge w:val="continue"/>
            <w:vAlign w:val="center"/>
          </w:tcPr>
          <w:p w14:paraId="229E6895">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951" w:type="dxa"/>
            <w:vMerge w:val="continue"/>
            <w:tcBorders>
              <w:left w:val="nil"/>
            </w:tcBorders>
            <w:vAlign w:val="center"/>
          </w:tcPr>
          <w:p w14:paraId="501CFBF3">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2942" w:type="dxa"/>
            <w:tcBorders>
              <w:left w:val="nil"/>
            </w:tcBorders>
            <w:vAlign w:val="center"/>
          </w:tcPr>
          <w:p w14:paraId="6A542B30">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w:t>
            </w:r>
          </w:p>
        </w:tc>
        <w:tc>
          <w:tcPr>
            <w:tcW w:w="4881" w:type="dxa"/>
            <w:tcBorders>
              <w:left w:val="nil"/>
            </w:tcBorders>
          </w:tcPr>
          <w:p w14:paraId="78C8E684">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2024</w:t>
            </w:r>
            <w:r>
              <w:rPr>
                <w:rFonts w:hint="eastAsia" w:ascii="仿宋" w:hAnsi="仿宋" w:eastAsia="仿宋" w:cs="仿宋"/>
                <w:color w:val="auto"/>
                <w:sz w:val="24"/>
                <w:szCs w:val="24"/>
                <w:highlight w:val="none"/>
                <w:lang w:eastAsia="zh-CN"/>
              </w:rPr>
              <w:t>年度或202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度的经审计的财务报告（成立不满一年不需提供）：供应商是法人的，应提供经审计的财务报告或其基本开户行出具的资信证明或相关行政部门认可的专业担保机构出具的投标担保函；其他组织和自然人，没有经审计的财务报告，可以提供银行出具的资信证明或相关行政部门认可的专业担保机构出具的投标担保函</w:t>
            </w:r>
            <w:r>
              <w:rPr>
                <w:rFonts w:hint="eastAsia" w:ascii="仿宋" w:hAnsi="仿宋" w:eastAsia="仿宋" w:cs="仿宋"/>
                <w:color w:val="auto"/>
                <w:sz w:val="24"/>
                <w:szCs w:val="24"/>
                <w:highlight w:val="none"/>
              </w:rPr>
              <w:t>】</w:t>
            </w:r>
          </w:p>
        </w:tc>
      </w:tr>
      <w:tr w14:paraId="4F06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04" w:type="dxa"/>
            <w:vMerge w:val="continue"/>
            <w:vAlign w:val="center"/>
          </w:tcPr>
          <w:p w14:paraId="355C0F67">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951" w:type="dxa"/>
            <w:vMerge w:val="continue"/>
            <w:tcBorders>
              <w:left w:val="nil"/>
            </w:tcBorders>
            <w:vAlign w:val="center"/>
          </w:tcPr>
          <w:p w14:paraId="2EDA4C5A">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2942" w:type="dxa"/>
            <w:tcBorders>
              <w:left w:val="nil"/>
            </w:tcBorders>
            <w:vAlign w:val="center"/>
          </w:tcPr>
          <w:p w14:paraId="6E27188B">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具有履行合同所必需的设备和专业技术能力</w:t>
            </w:r>
          </w:p>
        </w:tc>
        <w:tc>
          <w:tcPr>
            <w:tcW w:w="4881" w:type="dxa"/>
            <w:tcBorders>
              <w:left w:val="nil"/>
            </w:tcBorders>
            <w:vAlign w:val="center"/>
          </w:tcPr>
          <w:p w14:paraId="3C984026">
            <w:pPr>
              <w:pageBreakBefore w:val="0"/>
              <w:kinsoku/>
              <w:wordWrap/>
              <w:overflowPunct/>
              <w:topLinePunct w:val="0"/>
              <w:bidi w:val="0"/>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具有履行合同所必需的设备和专业技术能力（提供承诺函，按第七章后附格式）；</w:t>
            </w:r>
          </w:p>
        </w:tc>
      </w:tr>
      <w:tr w14:paraId="4DAD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4" w:type="dxa"/>
            <w:vMerge w:val="continue"/>
            <w:vAlign w:val="center"/>
          </w:tcPr>
          <w:p w14:paraId="2CA3A755">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951" w:type="dxa"/>
            <w:vMerge w:val="continue"/>
            <w:tcBorders>
              <w:left w:val="nil"/>
            </w:tcBorders>
            <w:vAlign w:val="center"/>
          </w:tcPr>
          <w:p w14:paraId="40479FDF">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2942" w:type="dxa"/>
            <w:tcBorders>
              <w:left w:val="nil"/>
            </w:tcBorders>
            <w:vAlign w:val="center"/>
          </w:tcPr>
          <w:p w14:paraId="5FE1C3C5">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有依法缴纳税收和社会保障资金的良好记录</w:t>
            </w:r>
          </w:p>
        </w:tc>
        <w:tc>
          <w:tcPr>
            <w:tcW w:w="4881" w:type="dxa"/>
            <w:tcBorders>
              <w:left w:val="nil"/>
            </w:tcBorders>
          </w:tcPr>
          <w:p w14:paraId="66292FE1">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有依法缴纳税收和社会保障资金的良好记录（</w:t>
            </w:r>
            <w:r>
              <w:rPr>
                <w:rFonts w:hint="eastAsia" w:ascii="仿宋" w:hAnsi="仿宋" w:eastAsia="仿宋" w:cs="仿宋"/>
                <w:color w:val="auto"/>
                <w:sz w:val="24"/>
                <w:szCs w:val="24"/>
                <w:highlight w:val="none"/>
                <w:lang w:eastAsia="zh-CN"/>
              </w:rPr>
              <w:t>提供自本公告发布日前6个月内任意1个月的依法缴纳税收和社会保障资金的相关材料</w:t>
            </w:r>
            <w:r>
              <w:rPr>
                <w:rFonts w:hint="eastAsia" w:ascii="仿宋" w:hAnsi="仿宋" w:eastAsia="仿宋" w:cs="仿宋"/>
                <w:color w:val="auto"/>
                <w:sz w:val="24"/>
                <w:szCs w:val="24"/>
                <w:highlight w:val="none"/>
              </w:rPr>
              <w:t>）；</w:t>
            </w:r>
          </w:p>
        </w:tc>
      </w:tr>
      <w:tr w14:paraId="293E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4" w:type="dxa"/>
            <w:vMerge w:val="continue"/>
            <w:vAlign w:val="center"/>
          </w:tcPr>
          <w:p w14:paraId="1825B2B7">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951" w:type="dxa"/>
            <w:vMerge w:val="continue"/>
            <w:tcBorders>
              <w:left w:val="nil"/>
            </w:tcBorders>
            <w:vAlign w:val="center"/>
          </w:tcPr>
          <w:p w14:paraId="703B84D5">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2942" w:type="dxa"/>
            <w:tcBorders>
              <w:left w:val="nil"/>
            </w:tcBorders>
            <w:vAlign w:val="center"/>
          </w:tcPr>
          <w:p w14:paraId="37392FAF">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拟投入本项目的律师团队人员不少于3人。其中，</w:t>
            </w:r>
            <w:r>
              <w:rPr>
                <w:rFonts w:hint="eastAsia" w:ascii="仿宋" w:hAnsi="仿宋" w:eastAsia="仿宋" w:cs="仿宋"/>
                <w:color w:val="auto"/>
                <w:kern w:val="0"/>
                <w:sz w:val="24"/>
                <w:szCs w:val="24"/>
                <w:highlight w:val="none"/>
                <w:lang w:eastAsia="zh-CN"/>
              </w:rPr>
              <w:t>项目负责人（指首席顾问律师）</w:t>
            </w:r>
            <w:r>
              <w:rPr>
                <w:rFonts w:hint="eastAsia" w:ascii="仿宋" w:hAnsi="仿宋" w:eastAsia="仿宋" w:cs="仿宋"/>
                <w:color w:val="auto"/>
                <w:kern w:val="0"/>
                <w:sz w:val="24"/>
                <w:szCs w:val="24"/>
                <w:highlight w:val="none"/>
                <w:lang w:val="en-US" w:eastAsia="zh-CN"/>
              </w:rPr>
              <w:t>必须为本单位正式职工，</w:t>
            </w:r>
            <w:r>
              <w:rPr>
                <w:rFonts w:hint="eastAsia" w:ascii="仿宋" w:hAnsi="仿宋" w:eastAsia="仿宋" w:cs="仿宋"/>
                <w:color w:val="auto"/>
                <w:kern w:val="0"/>
                <w:sz w:val="24"/>
                <w:szCs w:val="24"/>
                <w:highlight w:val="none"/>
                <w:lang w:eastAsia="zh-CN"/>
              </w:rPr>
              <w:t>具有中华人民共和国国籍、通过全国统一司法考试，依法取得《律师执业证书》并经年度考核合格。</w:t>
            </w:r>
          </w:p>
        </w:tc>
        <w:tc>
          <w:tcPr>
            <w:tcW w:w="4881" w:type="dxa"/>
            <w:tcBorders>
              <w:left w:val="nil"/>
            </w:tcBorders>
            <w:vAlign w:val="center"/>
          </w:tcPr>
          <w:p w14:paraId="3D7F60C6">
            <w:pPr>
              <w:pageBreakBefore w:val="0"/>
              <w:kinsoku/>
              <w:wordWrap/>
              <w:overflowPunct/>
              <w:topLinePunct w:val="0"/>
              <w:bidi w:val="0"/>
              <w:snapToGrid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提供①律师团队名单一览表格式自拟；②项目负责人有效的《律师执业证书》原件的复印件加盖公章；③项目负责人的身份证复印件加盖公章；④企业与项目负责人签订的有效劳动合同复印件加盖公章；⑤社保机构出具并盖章的投标供应商为项目负责人缴纳20</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eastAsia="zh-CN"/>
              </w:rPr>
              <w:t>年0</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月连续六个月的养老保险缴费清单复印件。</w:t>
            </w:r>
          </w:p>
        </w:tc>
      </w:tr>
      <w:tr w14:paraId="7801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04" w:type="dxa"/>
            <w:vMerge w:val="continue"/>
            <w:vAlign w:val="center"/>
          </w:tcPr>
          <w:p w14:paraId="102BE3B5">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951" w:type="dxa"/>
            <w:vMerge w:val="continue"/>
            <w:tcBorders>
              <w:left w:val="nil"/>
            </w:tcBorders>
            <w:vAlign w:val="center"/>
          </w:tcPr>
          <w:p w14:paraId="287BF7FF">
            <w:pPr>
              <w:pageBreakBefore w:val="0"/>
              <w:widowControl/>
              <w:kinsoku/>
              <w:wordWrap/>
              <w:overflowPunct/>
              <w:topLinePunct w:val="0"/>
              <w:bidi w:val="0"/>
              <w:spacing w:line="360" w:lineRule="auto"/>
              <w:jc w:val="left"/>
              <w:rPr>
                <w:rFonts w:hint="eastAsia" w:ascii="仿宋" w:hAnsi="仿宋" w:eastAsia="仿宋" w:cs="仿宋"/>
                <w:color w:val="auto"/>
                <w:sz w:val="24"/>
                <w:szCs w:val="24"/>
                <w:highlight w:val="none"/>
              </w:rPr>
            </w:pPr>
          </w:p>
        </w:tc>
        <w:tc>
          <w:tcPr>
            <w:tcW w:w="2942" w:type="dxa"/>
            <w:tcBorders>
              <w:left w:val="nil"/>
            </w:tcBorders>
            <w:vAlign w:val="center"/>
          </w:tcPr>
          <w:p w14:paraId="7C5862F3">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3年内在经营活动中没有重大违法记录</w:t>
            </w:r>
          </w:p>
        </w:tc>
        <w:tc>
          <w:tcPr>
            <w:tcW w:w="4881" w:type="dxa"/>
            <w:tcBorders>
              <w:left w:val="nil"/>
            </w:tcBorders>
          </w:tcPr>
          <w:p w14:paraId="62555B65">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提供参加本项目政府采购活动前3年内在经营活动中没有重大违法记录的书面声明（按第七章后附格式）</w:t>
            </w:r>
          </w:p>
        </w:tc>
      </w:tr>
      <w:tr w14:paraId="5CAE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9678" w:type="dxa"/>
            <w:gridSpan w:val="4"/>
            <w:vAlign w:val="center"/>
          </w:tcPr>
          <w:p w14:paraId="6CC1AD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bookmarkStart w:id="106" w:name="_Hlk14941930"/>
            <w:r>
              <w:rPr>
                <w:rFonts w:hint="eastAsia" w:ascii="仿宋" w:hAnsi="仿宋" w:eastAsia="仿宋" w:cs="仿宋"/>
                <w:color w:val="auto"/>
                <w:sz w:val="24"/>
                <w:szCs w:val="24"/>
                <w:highlight w:val="none"/>
              </w:rPr>
              <w:t>上述条款号2.1.2资格评审标准的纸质递交资料需提供</w:t>
            </w:r>
            <w:r>
              <w:rPr>
                <w:rFonts w:hint="eastAsia" w:ascii="仿宋" w:hAnsi="仿宋" w:eastAsia="仿宋" w:cs="仿宋"/>
                <w:color w:val="auto"/>
                <w:sz w:val="24"/>
                <w:szCs w:val="24"/>
                <w:highlight w:val="none"/>
                <w:lang w:val="en-US" w:eastAsia="zh-CN"/>
              </w:rPr>
              <w:t>清晰的原件</w:t>
            </w:r>
            <w:r>
              <w:rPr>
                <w:rFonts w:hint="eastAsia" w:ascii="仿宋" w:hAnsi="仿宋" w:eastAsia="仿宋" w:cs="仿宋"/>
                <w:color w:val="auto"/>
                <w:sz w:val="24"/>
                <w:szCs w:val="24"/>
                <w:highlight w:val="none"/>
              </w:rPr>
              <w:t>复印件并加盖单位公章；以上资格评审标准评审标等相关内容</w:t>
            </w:r>
            <w:r>
              <w:rPr>
                <w:rFonts w:hint="eastAsia" w:ascii="仿宋" w:hAnsi="仿宋" w:eastAsia="仿宋" w:cs="仿宋"/>
                <w:color w:val="auto"/>
                <w:sz w:val="24"/>
                <w:szCs w:val="24"/>
                <w:highlight w:val="none"/>
                <w:lang w:val="en-US" w:eastAsia="zh-CN"/>
              </w:rPr>
              <w:t>不清晰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资料</w:t>
            </w:r>
            <w:r>
              <w:rPr>
                <w:rFonts w:hint="eastAsia" w:ascii="仿宋" w:hAnsi="仿宋" w:eastAsia="仿宋" w:cs="仿宋"/>
                <w:color w:val="auto"/>
                <w:sz w:val="24"/>
                <w:szCs w:val="24"/>
                <w:highlight w:val="none"/>
              </w:rPr>
              <w:t>不全的，由此引起的后果由供应商自负。</w:t>
            </w:r>
          </w:p>
          <w:p w14:paraId="19DAEB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注：通过形式评审和资格审查的投标单位可进入以下评审(资格审查不合格的投标单位不得进入本项目技术标和报价标的综合评审阶段)。</w:t>
            </w:r>
            <w:bookmarkEnd w:id="106"/>
          </w:p>
        </w:tc>
      </w:tr>
      <w:bookmarkEnd w:id="105"/>
    </w:tbl>
    <w:p w14:paraId="21856DC5">
      <w:pPr>
        <w:pStyle w:val="42"/>
        <w:pageBreakBefore w:val="0"/>
        <w:kinsoku/>
        <w:wordWrap/>
        <w:overflowPunct/>
        <w:topLinePunct w:val="0"/>
        <w:bidi w:val="0"/>
        <w:spacing w:line="360" w:lineRule="auto"/>
        <w:ind w:firstLine="236" w:firstLineChars="98"/>
        <w:rPr>
          <w:rFonts w:hint="eastAsia" w:ascii="仿宋" w:hAnsi="仿宋" w:eastAsia="仿宋" w:cs="仿宋"/>
          <w:b/>
          <w:bCs/>
          <w:color w:val="auto"/>
          <w:highlight w:val="none"/>
        </w:rPr>
      </w:pPr>
    </w:p>
    <w:p w14:paraId="04B694F8">
      <w:pPr>
        <w:pStyle w:val="42"/>
        <w:pageBreakBefore w:val="0"/>
        <w:kinsoku/>
        <w:wordWrap/>
        <w:overflowPunct/>
        <w:topLinePunct w:val="0"/>
        <w:bidi w:val="0"/>
        <w:spacing w:line="360" w:lineRule="auto"/>
        <w:ind w:firstLine="235" w:firstLineChars="98"/>
        <w:rPr>
          <w:rFonts w:hint="eastAsia" w:ascii="仿宋" w:hAnsi="仿宋" w:eastAsia="仿宋" w:cs="仿宋"/>
          <w:color w:val="auto"/>
          <w:highlight w:val="none"/>
        </w:rPr>
      </w:pPr>
    </w:p>
    <w:p w14:paraId="202170AC">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90546C2">
      <w:pPr>
        <w:pageBreakBefore w:val="0"/>
        <w:widowControl/>
        <w:kinsoku/>
        <w:wordWrap/>
        <w:overflowPunct/>
        <w:topLinePunct w:val="0"/>
        <w:bidi w:val="0"/>
        <w:spacing w:line="360" w:lineRule="auto"/>
        <w:jc w:val="center"/>
        <w:rPr>
          <w:rFonts w:hint="eastAsia" w:ascii="仿宋" w:hAnsi="仿宋" w:eastAsia="仿宋" w:cs="仿宋"/>
          <w:b/>
          <w:bCs/>
          <w:color w:val="auto"/>
          <w:kern w:val="44"/>
          <w:sz w:val="32"/>
          <w:szCs w:val="32"/>
          <w:highlight w:val="none"/>
          <w:lang w:val="en-US" w:eastAsia="zh-CN" w:bidi="ar-SA"/>
        </w:rPr>
      </w:pPr>
      <w:r>
        <w:rPr>
          <w:rFonts w:hint="eastAsia" w:ascii="仿宋" w:hAnsi="仿宋" w:eastAsia="仿宋" w:cs="仿宋"/>
          <w:b/>
          <w:bCs/>
          <w:color w:val="auto"/>
          <w:kern w:val="44"/>
          <w:sz w:val="32"/>
          <w:szCs w:val="32"/>
          <w:highlight w:val="none"/>
          <w:lang w:val="en-US" w:eastAsia="zh-CN" w:bidi="ar-SA"/>
        </w:rPr>
        <w:t>第六章  公开招标办法（综合评分法）</w:t>
      </w:r>
    </w:p>
    <w:p w14:paraId="3AC583C4">
      <w:pPr>
        <w:pageBreakBefore w:val="0"/>
        <w:kinsoku/>
        <w:wordWrap/>
        <w:overflowPunct/>
        <w:topLinePunct w:val="0"/>
        <w:bidi w:val="0"/>
        <w:spacing w:line="360" w:lineRule="auto"/>
        <w:ind w:firstLine="482" w:firstLineChars="200"/>
        <w:rPr>
          <w:rFonts w:hint="eastAsia" w:ascii="仿宋" w:hAnsi="仿宋" w:eastAsia="仿宋" w:cs="仿宋"/>
          <w:b/>
          <w:color w:val="auto"/>
          <w:sz w:val="24"/>
          <w:szCs w:val="24"/>
          <w:highlight w:val="none"/>
        </w:rPr>
      </w:pPr>
      <w:bookmarkStart w:id="107" w:name="_Toc12009"/>
      <w:bookmarkEnd w:id="107"/>
      <w:bookmarkStart w:id="108" w:name="_Toc184635088"/>
      <w:bookmarkEnd w:id="108"/>
      <w:bookmarkStart w:id="109" w:name="_Toc504664807"/>
      <w:bookmarkEnd w:id="109"/>
      <w:bookmarkStart w:id="110" w:name="_Toc425960644"/>
      <w:bookmarkEnd w:id="110"/>
      <w:bookmarkStart w:id="111" w:name="_Toc501715499"/>
      <w:bookmarkEnd w:id="111"/>
      <w:r>
        <w:rPr>
          <w:rFonts w:hint="eastAsia" w:ascii="仿宋" w:hAnsi="仿宋" w:eastAsia="仿宋" w:cs="仿宋"/>
          <w:b/>
          <w:color w:val="auto"/>
          <w:sz w:val="24"/>
          <w:szCs w:val="24"/>
          <w:highlight w:val="none"/>
        </w:rPr>
        <w:t>一、本项目开标顺序为：</w:t>
      </w:r>
    </w:p>
    <w:p w14:paraId="48688D4B">
      <w:pPr>
        <w:pageBreakBefore w:val="0"/>
        <w:kinsoku/>
        <w:wordWrap/>
        <w:overflowPunct/>
        <w:topLinePunct w:val="0"/>
        <w:bidi w:val="0"/>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评标流程：先审核资格审查-资格审查合格的单位</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技术标</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报价标评审</w:t>
      </w:r>
      <w:r>
        <w:rPr>
          <w:rFonts w:hint="eastAsia" w:ascii="仿宋" w:hAnsi="仿宋" w:eastAsia="仿宋" w:cs="仿宋"/>
          <w:b/>
          <w:color w:val="auto"/>
          <w:sz w:val="24"/>
          <w:szCs w:val="24"/>
          <w:highlight w:val="none"/>
          <w:lang w:val="en-US" w:eastAsia="zh-CN"/>
        </w:rPr>
        <w:t>-确定第一中标候选人</w:t>
      </w:r>
      <w:r>
        <w:rPr>
          <w:rFonts w:hint="eastAsia" w:ascii="仿宋" w:hAnsi="仿宋" w:eastAsia="仿宋" w:cs="仿宋"/>
          <w:b/>
          <w:color w:val="auto"/>
          <w:sz w:val="24"/>
          <w:szCs w:val="24"/>
          <w:highlight w:val="none"/>
        </w:rPr>
        <w:t>。</w:t>
      </w:r>
    </w:p>
    <w:p w14:paraId="72362D6E">
      <w:pPr>
        <w:pageBreakBefore w:val="0"/>
        <w:widowControl/>
        <w:kinsoku/>
        <w:wordWrap/>
        <w:overflowPunct/>
        <w:topLinePunct w:val="0"/>
        <w:bidi w:val="0"/>
        <w:spacing w:line="360" w:lineRule="auto"/>
        <w:ind w:firstLine="482" w:firstLineChars="200"/>
        <w:jc w:val="lef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二、本项目</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小组成员共</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人</w:t>
      </w:r>
      <w:r>
        <w:rPr>
          <w:rFonts w:hint="eastAsia" w:ascii="仿宋" w:hAnsi="仿宋" w:eastAsia="仿宋" w:cs="仿宋"/>
          <w:b/>
          <w:color w:val="auto"/>
          <w:sz w:val="24"/>
          <w:szCs w:val="24"/>
          <w:highlight w:val="none"/>
          <w:lang w:eastAsia="zh-CN"/>
        </w:rPr>
        <w:t>。</w:t>
      </w:r>
    </w:p>
    <w:p w14:paraId="529A0921">
      <w:pPr>
        <w:pageBreakBefore w:val="0"/>
        <w:kinsoku/>
        <w:wordWrap/>
        <w:overflowPunct/>
        <w:topLinePunct w:val="0"/>
        <w:bidi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委员会认为投标人的报价明显低于其他投标人的报价，有可能影响服务质量或者不能诚信履约的，应当要求其在评标现场在规定时限之内提供书面说明，必要时提交相关证明材料；投标人不能证明其投标合理性的，</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委员会应当将其作为无效投标处理。</w:t>
      </w:r>
    </w:p>
    <w:p w14:paraId="501D32C1">
      <w:pPr>
        <w:pageBreakBefore w:val="0"/>
        <w:kinsoku/>
        <w:wordWrap/>
        <w:overflowPunct/>
        <w:topLinePunct w:val="0"/>
        <w:bidi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评标办法：本次评标采用综合评分法，具体评分办法如下：</w:t>
      </w:r>
    </w:p>
    <w:p w14:paraId="1F9AF974">
      <w:pPr>
        <w:pageBreakBefore w:val="0"/>
        <w:kinsoku/>
        <w:wordWrap/>
        <w:overflowPunct/>
        <w:topLinePunct w:val="0"/>
        <w:bidi w:val="0"/>
        <w:spacing w:line="360" w:lineRule="auto"/>
        <w:jc w:val="center"/>
        <w:rPr>
          <w:rFonts w:hint="eastAsia" w:ascii="仿宋" w:hAnsi="仿宋" w:eastAsia="仿宋" w:cs="仿宋"/>
          <w:b/>
          <w:bCs/>
          <w:color w:val="auto"/>
          <w:sz w:val="23"/>
          <w:szCs w:val="23"/>
          <w:highlight w:val="none"/>
        </w:rPr>
      </w:pPr>
      <w:r>
        <w:rPr>
          <w:rFonts w:hint="eastAsia" w:ascii="仿宋" w:hAnsi="仿宋" w:eastAsia="仿宋" w:cs="仿宋"/>
          <w:b/>
          <w:bCs/>
          <w:color w:val="auto"/>
          <w:sz w:val="28"/>
          <w:szCs w:val="28"/>
          <w:highlight w:val="none"/>
          <w:lang w:eastAsia="zh-CN"/>
        </w:rPr>
        <w:t>评审</w:t>
      </w:r>
      <w:r>
        <w:rPr>
          <w:rFonts w:hint="eastAsia" w:ascii="仿宋" w:hAnsi="仿宋" w:eastAsia="仿宋" w:cs="仿宋"/>
          <w:b/>
          <w:bCs/>
          <w:color w:val="auto"/>
          <w:sz w:val="28"/>
          <w:szCs w:val="28"/>
          <w:highlight w:val="none"/>
        </w:rPr>
        <w:t>办法前附表</w:t>
      </w:r>
    </w:p>
    <w:tbl>
      <w:tblPr>
        <w:tblStyle w:val="22"/>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200"/>
        <w:gridCol w:w="1604"/>
        <w:gridCol w:w="458"/>
        <w:gridCol w:w="5192"/>
      </w:tblGrid>
      <w:tr w14:paraId="1D33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44" w:type="dxa"/>
            <w:noWrap w:val="0"/>
            <w:vAlign w:val="center"/>
          </w:tcPr>
          <w:p w14:paraId="72E0F8B7">
            <w:pPr>
              <w:pageBreakBefore w:val="0"/>
              <w:kinsoku/>
              <w:wordWrap/>
              <w:overflowPunct/>
              <w:topLinePunct w:val="0"/>
              <w:bidi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w:t>
            </w:r>
          </w:p>
        </w:tc>
        <w:tc>
          <w:tcPr>
            <w:tcW w:w="3262" w:type="dxa"/>
            <w:gridSpan w:val="3"/>
            <w:tcBorders>
              <w:left w:val="nil"/>
            </w:tcBorders>
            <w:noWrap w:val="0"/>
            <w:vAlign w:val="center"/>
          </w:tcPr>
          <w:p w14:paraId="3CABAC36">
            <w:pPr>
              <w:pageBreakBefore w:val="0"/>
              <w:kinsoku/>
              <w:wordWrap/>
              <w:overflowPunct/>
              <w:topLinePunct w:val="0"/>
              <w:bidi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分值构成</w:t>
            </w:r>
          </w:p>
          <w:p w14:paraId="25796773">
            <w:pPr>
              <w:pageBreakBefore w:val="0"/>
              <w:kinsoku/>
              <w:wordWrap/>
              <w:overflowPunct/>
              <w:topLinePunct w:val="0"/>
              <w:bidi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（100分）</w:t>
            </w:r>
          </w:p>
        </w:tc>
        <w:tc>
          <w:tcPr>
            <w:tcW w:w="5192" w:type="dxa"/>
            <w:tcBorders>
              <w:left w:val="nil"/>
            </w:tcBorders>
            <w:noWrap w:val="0"/>
            <w:vAlign w:val="center"/>
          </w:tcPr>
          <w:p w14:paraId="02A62EDC">
            <w:pPr>
              <w:pageBreakBefore w:val="0"/>
              <w:kinsoku/>
              <w:wordWrap/>
              <w:overflowPunct/>
              <w:topLinePunct w:val="0"/>
              <w:bidi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商务技术标</w:t>
            </w:r>
            <w:r>
              <w:rPr>
                <w:rFonts w:hint="eastAsia" w:ascii="仿宋" w:hAnsi="仿宋" w:eastAsia="仿宋" w:cs="仿宋"/>
                <w:b/>
                <w:bCs/>
                <w:color w:val="auto"/>
                <w:sz w:val="21"/>
                <w:szCs w:val="21"/>
                <w:highlight w:val="none"/>
                <w:lang w:val="en-US" w:eastAsia="zh-CN"/>
              </w:rPr>
              <w:t>80</w:t>
            </w:r>
            <w:r>
              <w:rPr>
                <w:rFonts w:hint="eastAsia" w:ascii="仿宋" w:hAnsi="仿宋" w:eastAsia="仿宋" w:cs="仿宋"/>
                <w:b/>
                <w:bCs/>
                <w:color w:val="auto"/>
                <w:sz w:val="21"/>
                <w:szCs w:val="21"/>
                <w:highlight w:val="none"/>
              </w:rPr>
              <w:t>分，报价标</w:t>
            </w:r>
            <w:r>
              <w:rPr>
                <w:rFonts w:hint="eastAsia" w:ascii="仿宋" w:hAnsi="仿宋" w:eastAsia="仿宋" w:cs="仿宋"/>
                <w:b/>
                <w:bCs/>
                <w:color w:val="auto"/>
                <w:sz w:val="21"/>
                <w:szCs w:val="21"/>
                <w:highlight w:val="none"/>
                <w:lang w:val="en-US" w:eastAsia="zh-CN"/>
              </w:rPr>
              <w:t>20</w:t>
            </w:r>
            <w:r>
              <w:rPr>
                <w:rFonts w:hint="eastAsia" w:ascii="仿宋" w:hAnsi="仿宋" w:eastAsia="仿宋" w:cs="仿宋"/>
                <w:b/>
                <w:bCs/>
                <w:color w:val="auto"/>
                <w:sz w:val="21"/>
                <w:szCs w:val="21"/>
                <w:highlight w:val="none"/>
              </w:rPr>
              <w:t>分</w:t>
            </w:r>
          </w:p>
        </w:tc>
      </w:tr>
      <w:tr w14:paraId="06EF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698" w:type="dxa"/>
            <w:gridSpan w:val="5"/>
            <w:noWrap w:val="0"/>
            <w:vAlign w:val="center"/>
          </w:tcPr>
          <w:p w14:paraId="1DE29B9A">
            <w:pPr>
              <w:pageBreakBefore w:val="0"/>
              <w:kinsoku/>
              <w:wordWrap/>
              <w:overflowPunct/>
              <w:topLinePunct w:val="0"/>
              <w:bidi w:val="0"/>
              <w:spacing w:line="360" w:lineRule="auto"/>
              <w:ind w:firstLine="422" w:firstLineChars="20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技术分按算术平均值计算。分值小数点后保留两位。</w:t>
            </w:r>
          </w:p>
        </w:tc>
      </w:tr>
      <w:tr w14:paraId="2016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44" w:type="dxa"/>
            <w:noWrap w:val="0"/>
            <w:vAlign w:val="center"/>
          </w:tcPr>
          <w:p w14:paraId="2934907F">
            <w:pPr>
              <w:pageBreakBefore w:val="0"/>
              <w:kinsoku/>
              <w:wordWrap/>
              <w:overflowPunct/>
              <w:topLinePunct w:val="0"/>
              <w:bidi w:val="0"/>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条款号</w:t>
            </w:r>
          </w:p>
        </w:tc>
        <w:tc>
          <w:tcPr>
            <w:tcW w:w="1200" w:type="dxa"/>
            <w:tcBorders>
              <w:left w:val="nil"/>
            </w:tcBorders>
            <w:noWrap w:val="0"/>
            <w:vAlign w:val="center"/>
          </w:tcPr>
          <w:p w14:paraId="10DFA396">
            <w:pPr>
              <w:pageBreakBefore w:val="0"/>
              <w:kinsoku/>
              <w:wordWrap/>
              <w:overflowPunct/>
              <w:topLinePunct w:val="0"/>
              <w:bidi w:val="0"/>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内容</w:t>
            </w:r>
          </w:p>
        </w:tc>
        <w:tc>
          <w:tcPr>
            <w:tcW w:w="1604" w:type="dxa"/>
            <w:tcBorders>
              <w:left w:val="nil"/>
            </w:tcBorders>
            <w:noWrap w:val="0"/>
            <w:vAlign w:val="center"/>
          </w:tcPr>
          <w:p w14:paraId="696BF7FF">
            <w:pPr>
              <w:pageBreakBefore w:val="0"/>
              <w:kinsoku/>
              <w:wordWrap/>
              <w:overflowPunct/>
              <w:topLinePunct w:val="0"/>
              <w:bidi w:val="0"/>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评分因素</w:t>
            </w:r>
          </w:p>
        </w:tc>
        <w:tc>
          <w:tcPr>
            <w:tcW w:w="5650" w:type="dxa"/>
            <w:gridSpan w:val="2"/>
            <w:tcBorders>
              <w:left w:val="nil"/>
            </w:tcBorders>
            <w:noWrap w:val="0"/>
            <w:vAlign w:val="center"/>
          </w:tcPr>
          <w:p w14:paraId="1F30B225">
            <w:pPr>
              <w:pageBreakBefore w:val="0"/>
              <w:kinsoku/>
              <w:wordWrap/>
              <w:overflowPunct/>
              <w:topLinePunct w:val="0"/>
              <w:bidi w:val="0"/>
              <w:spacing w:line="360" w:lineRule="auto"/>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评分标准</w:t>
            </w:r>
          </w:p>
        </w:tc>
      </w:tr>
      <w:tr w14:paraId="7AA5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244" w:type="dxa"/>
            <w:vMerge w:val="restart"/>
            <w:tcBorders>
              <w:top w:val="nil"/>
            </w:tcBorders>
            <w:noWrap w:val="0"/>
            <w:vAlign w:val="center"/>
          </w:tcPr>
          <w:p w14:paraId="23E2BC1B">
            <w:pPr>
              <w:pageBreakBefore w:val="0"/>
              <w:kinsoku/>
              <w:wordWrap/>
              <w:overflowPunct/>
              <w:topLinePunct w:val="0"/>
              <w:bidi w:val="0"/>
              <w:spacing w:line="360" w:lineRule="auto"/>
              <w:jc w:val="center"/>
              <w:rPr>
                <w:rFonts w:hint="eastAsia" w:ascii="仿宋" w:hAnsi="仿宋" w:eastAsia="仿宋" w:cs="仿宋"/>
                <w:color w:val="auto"/>
                <w:sz w:val="21"/>
                <w:szCs w:val="21"/>
                <w:highlight w:val="none"/>
              </w:rPr>
            </w:pPr>
          </w:p>
          <w:p w14:paraId="7235E368">
            <w:pPr>
              <w:pageBreakBefore w:val="0"/>
              <w:kinsoku/>
              <w:wordWrap/>
              <w:overflowPunct/>
              <w:topLinePunct w:val="0"/>
              <w:bidi w:val="0"/>
              <w:spacing w:line="360" w:lineRule="auto"/>
              <w:jc w:val="center"/>
              <w:rPr>
                <w:rFonts w:hint="eastAsia" w:ascii="仿宋" w:hAnsi="仿宋" w:eastAsia="仿宋" w:cs="仿宋"/>
                <w:color w:val="auto"/>
                <w:sz w:val="21"/>
                <w:szCs w:val="21"/>
                <w:highlight w:val="none"/>
              </w:rPr>
            </w:pPr>
          </w:p>
          <w:p w14:paraId="11C3DA8D">
            <w:pPr>
              <w:pageBreakBefore w:val="0"/>
              <w:kinsoku/>
              <w:wordWrap/>
              <w:overflowPunct/>
              <w:topLinePunct w:val="0"/>
              <w:bidi w:val="0"/>
              <w:spacing w:line="360" w:lineRule="auto"/>
              <w:jc w:val="center"/>
              <w:rPr>
                <w:rFonts w:hint="eastAsia" w:ascii="仿宋" w:hAnsi="仿宋" w:eastAsia="仿宋" w:cs="仿宋"/>
                <w:color w:val="auto"/>
                <w:sz w:val="21"/>
                <w:szCs w:val="21"/>
                <w:highlight w:val="none"/>
              </w:rPr>
            </w:pPr>
          </w:p>
          <w:p w14:paraId="18A23D2F">
            <w:pPr>
              <w:pageBreakBefore w:val="0"/>
              <w:kinsoku/>
              <w:wordWrap/>
              <w:overflowPunct/>
              <w:topLinePunct w:val="0"/>
              <w:bidi w:val="0"/>
              <w:spacing w:line="360" w:lineRule="auto"/>
              <w:jc w:val="center"/>
              <w:rPr>
                <w:rFonts w:hint="eastAsia" w:ascii="仿宋" w:hAnsi="仿宋" w:eastAsia="仿宋" w:cs="仿宋"/>
                <w:color w:val="auto"/>
                <w:sz w:val="21"/>
                <w:szCs w:val="21"/>
                <w:highlight w:val="none"/>
              </w:rPr>
            </w:pPr>
          </w:p>
          <w:p w14:paraId="3BE8D4DD">
            <w:pPr>
              <w:pageBreakBefore w:val="0"/>
              <w:kinsoku/>
              <w:wordWrap/>
              <w:overflowPunct/>
              <w:topLinePunct w:val="0"/>
              <w:bidi w:val="0"/>
              <w:spacing w:line="360" w:lineRule="auto"/>
              <w:jc w:val="center"/>
              <w:rPr>
                <w:rFonts w:hint="eastAsia" w:ascii="仿宋" w:hAnsi="仿宋" w:eastAsia="仿宋" w:cs="仿宋"/>
                <w:color w:val="auto"/>
                <w:sz w:val="21"/>
                <w:szCs w:val="21"/>
                <w:highlight w:val="none"/>
              </w:rPr>
            </w:pPr>
          </w:p>
          <w:p w14:paraId="7750921E">
            <w:pPr>
              <w:pageBreakBefore w:val="0"/>
              <w:kinsoku/>
              <w:wordWrap/>
              <w:overflowPunct/>
              <w:topLinePunct w:val="0"/>
              <w:bidi w:val="0"/>
              <w:spacing w:line="360" w:lineRule="auto"/>
              <w:jc w:val="center"/>
              <w:rPr>
                <w:rFonts w:hint="eastAsia" w:ascii="仿宋" w:hAnsi="仿宋" w:eastAsia="仿宋" w:cs="仿宋"/>
                <w:color w:val="auto"/>
                <w:sz w:val="21"/>
                <w:szCs w:val="21"/>
                <w:highlight w:val="none"/>
              </w:rPr>
            </w:pPr>
          </w:p>
          <w:p w14:paraId="52A5A730">
            <w:pPr>
              <w:pageBreakBefore w:val="0"/>
              <w:kinsoku/>
              <w:wordWrap/>
              <w:overflowPunct/>
              <w:topLinePunct w:val="0"/>
              <w:bidi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2.2.2</w:t>
            </w:r>
          </w:p>
          <w:p w14:paraId="3942CDCC">
            <w:pPr>
              <w:pageBreakBefore w:val="0"/>
              <w:kinsoku/>
              <w:wordWrap/>
              <w:overflowPunct/>
              <w:topLinePunct w:val="0"/>
              <w:bidi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商务技术标</w:t>
            </w:r>
          </w:p>
          <w:p w14:paraId="05BADB89">
            <w:pPr>
              <w:pageBreakBefore w:val="0"/>
              <w:kinsoku/>
              <w:wordWrap/>
              <w:overflowPunct/>
              <w:topLinePunct w:val="0"/>
              <w:bidi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80</w:t>
            </w:r>
            <w:r>
              <w:rPr>
                <w:rFonts w:hint="eastAsia" w:ascii="仿宋" w:hAnsi="仿宋" w:eastAsia="仿宋" w:cs="仿宋"/>
                <w:color w:val="auto"/>
                <w:sz w:val="21"/>
                <w:szCs w:val="21"/>
                <w:highlight w:val="none"/>
              </w:rPr>
              <w:t>分）</w:t>
            </w:r>
          </w:p>
        </w:tc>
        <w:tc>
          <w:tcPr>
            <w:tcW w:w="1200" w:type="dxa"/>
            <w:tcBorders>
              <w:left w:val="nil"/>
            </w:tcBorders>
            <w:shd w:val="clear" w:color="auto" w:fill="auto"/>
            <w:noWrap w:val="0"/>
            <w:vAlign w:val="center"/>
          </w:tcPr>
          <w:p w14:paraId="57FA1DF1">
            <w:pPr>
              <w:pageBreakBefore w:val="0"/>
              <w:widowControl/>
              <w:kinsoku/>
              <w:wordWrap/>
              <w:overflowPunct/>
              <w:topLinePunct w:val="0"/>
              <w:bidi w:val="0"/>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投标单位规模</w:t>
            </w:r>
          </w:p>
          <w:p w14:paraId="0A4214C3">
            <w:pPr>
              <w:pageBreakBefore w:val="0"/>
              <w:widowControl/>
              <w:kinsoku/>
              <w:wordWrap/>
              <w:overflowPunct/>
              <w:topLinePunct w:val="0"/>
              <w:bidi w:val="0"/>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（10分）</w:t>
            </w:r>
          </w:p>
        </w:tc>
        <w:tc>
          <w:tcPr>
            <w:tcW w:w="1604" w:type="dxa"/>
            <w:tcBorders>
              <w:left w:val="nil"/>
            </w:tcBorders>
            <w:shd w:val="clear" w:color="auto" w:fill="auto"/>
            <w:noWrap w:val="0"/>
            <w:vAlign w:val="center"/>
          </w:tcPr>
          <w:p w14:paraId="2DA4097A">
            <w:pPr>
              <w:pageBreakBefore w:val="0"/>
              <w:widowControl/>
              <w:kinsoku/>
              <w:wordWrap/>
              <w:overflowPunct/>
              <w:topLinePunct w:val="0"/>
              <w:bidi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律师事务所机构规模（10分）</w:t>
            </w:r>
          </w:p>
        </w:tc>
        <w:tc>
          <w:tcPr>
            <w:tcW w:w="5650" w:type="dxa"/>
            <w:gridSpan w:val="2"/>
            <w:tcBorders>
              <w:left w:val="nil"/>
            </w:tcBorders>
            <w:shd w:val="clear" w:color="auto" w:fill="auto"/>
            <w:noWrap w:val="0"/>
            <w:vAlign w:val="center"/>
          </w:tcPr>
          <w:p w14:paraId="4FBA71A4">
            <w:pPr>
              <w:pageBreakBefore w:val="0"/>
              <w:widowControl/>
              <w:kinsoku/>
              <w:wordWrap/>
              <w:overflowPunct/>
              <w:topLinePunct w:val="0"/>
              <w:bidi w:val="0"/>
              <w:spacing w:line="360" w:lineRule="auto"/>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律师事务所执业律师人数≥15人，得10分；10人≤人数&lt;15人，得5分；人数&lt;10人，得1分。需编制反映律师人数的表格并载明律师姓名、执业证号、执业年限等信息，并提供</w:t>
            </w:r>
            <w:r>
              <w:rPr>
                <w:rFonts w:hint="eastAsia" w:ascii="仿宋" w:hAnsi="仿宋" w:eastAsia="仿宋" w:cs="仿宋"/>
                <w:color w:val="auto"/>
                <w:kern w:val="0"/>
                <w:sz w:val="21"/>
                <w:szCs w:val="21"/>
                <w:highlight w:val="none"/>
                <w:lang w:val="en-US" w:eastAsia="zh-CN"/>
              </w:rPr>
              <w:t>2025年以来的社保缴费清单，否则不得分</w:t>
            </w:r>
            <w:r>
              <w:rPr>
                <w:rFonts w:hint="eastAsia" w:ascii="仿宋" w:hAnsi="仿宋" w:eastAsia="仿宋" w:cs="仿宋"/>
                <w:color w:val="auto"/>
                <w:kern w:val="0"/>
                <w:sz w:val="21"/>
                <w:szCs w:val="21"/>
                <w:highlight w:val="none"/>
              </w:rPr>
              <w:t>。</w:t>
            </w:r>
          </w:p>
        </w:tc>
      </w:tr>
      <w:tr w14:paraId="78C4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44" w:type="dxa"/>
            <w:vMerge w:val="continue"/>
            <w:noWrap w:val="0"/>
            <w:vAlign w:val="center"/>
          </w:tcPr>
          <w:p w14:paraId="5E361F69">
            <w:pPr>
              <w:pageBreakBefore w:val="0"/>
              <w:widowControl/>
              <w:kinsoku/>
              <w:wordWrap/>
              <w:overflowPunct/>
              <w:topLinePunct w:val="0"/>
              <w:bidi w:val="0"/>
              <w:spacing w:line="360" w:lineRule="auto"/>
              <w:jc w:val="left"/>
              <w:rPr>
                <w:rFonts w:hint="eastAsia" w:ascii="仿宋" w:hAnsi="仿宋" w:eastAsia="仿宋" w:cs="仿宋"/>
                <w:color w:val="auto"/>
                <w:sz w:val="21"/>
                <w:szCs w:val="21"/>
                <w:highlight w:val="none"/>
              </w:rPr>
            </w:pPr>
          </w:p>
        </w:tc>
        <w:tc>
          <w:tcPr>
            <w:tcW w:w="1200" w:type="dxa"/>
            <w:vMerge w:val="restart"/>
            <w:tcBorders>
              <w:left w:val="nil"/>
            </w:tcBorders>
            <w:noWrap w:val="0"/>
            <w:vAlign w:val="center"/>
          </w:tcPr>
          <w:p w14:paraId="4E9062C7">
            <w:pPr>
              <w:pageBreakBefore w:val="0"/>
              <w:widowControl/>
              <w:kinsoku/>
              <w:wordWrap/>
              <w:overflowPunct/>
              <w:topLinePunct w:val="0"/>
              <w:bidi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lang w:eastAsia="zh-CN"/>
              </w:rPr>
              <w:t>选派顾问团队主办律师情况（25分）</w:t>
            </w:r>
          </w:p>
        </w:tc>
        <w:tc>
          <w:tcPr>
            <w:tcW w:w="1604" w:type="dxa"/>
            <w:tcBorders>
              <w:left w:val="nil"/>
            </w:tcBorders>
            <w:noWrap w:val="0"/>
            <w:vAlign w:val="center"/>
          </w:tcPr>
          <w:p w14:paraId="5AFDE49E">
            <w:pPr>
              <w:pageBreakBefore w:val="0"/>
              <w:widowControl/>
              <w:kinsoku/>
              <w:wordWrap/>
              <w:overflowPunct/>
              <w:topLinePunct w:val="0"/>
              <w:bidi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获得过市级荣誉称号（5分）</w:t>
            </w:r>
          </w:p>
        </w:tc>
        <w:tc>
          <w:tcPr>
            <w:tcW w:w="5650" w:type="dxa"/>
            <w:gridSpan w:val="2"/>
            <w:tcBorders>
              <w:left w:val="nil"/>
            </w:tcBorders>
            <w:noWrap w:val="0"/>
            <w:vAlign w:val="center"/>
          </w:tcPr>
          <w:p w14:paraId="26C28F87">
            <w:pPr>
              <w:pageBreakBefore w:val="0"/>
              <w:widowControl/>
              <w:kinsoku/>
              <w:wordWrap/>
              <w:overflowPunct/>
              <w:topLinePunct w:val="0"/>
              <w:bidi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获得市级及以上荣誉称号1次以上（含）的得5分。没有则不得分。提供证书复印件。</w:t>
            </w:r>
          </w:p>
        </w:tc>
      </w:tr>
      <w:tr w14:paraId="16DD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4" w:type="dxa"/>
            <w:vMerge w:val="continue"/>
            <w:noWrap w:val="0"/>
            <w:vAlign w:val="center"/>
          </w:tcPr>
          <w:p w14:paraId="1E6E1421">
            <w:pPr>
              <w:pageBreakBefore w:val="0"/>
              <w:widowControl/>
              <w:kinsoku/>
              <w:wordWrap/>
              <w:overflowPunct/>
              <w:topLinePunct w:val="0"/>
              <w:bidi w:val="0"/>
              <w:spacing w:line="360" w:lineRule="auto"/>
              <w:jc w:val="left"/>
              <w:rPr>
                <w:rFonts w:hint="eastAsia" w:ascii="仿宋" w:hAnsi="仿宋" w:eastAsia="仿宋" w:cs="仿宋"/>
                <w:color w:val="auto"/>
                <w:sz w:val="21"/>
                <w:szCs w:val="21"/>
                <w:highlight w:val="none"/>
              </w:rPr>
            </w:pPr>
          </w:p>
        </w:tc>
        <w:tc>
          <w:tcPr>
            <w:tcW w:w="1200" w:type="dxa"/>
            <w:vMerge w:val="continue"/>
            <w:tcBorders>
              <w:left w:val="nil"/>
            </w:tcBorders>
            <w:noWrap w:val="0"/>
            <w:vAlign w:val="center"/>
          </w:tcPr>
          <w:p w14:paraId="64D663A8">
            <w:pPr>
              <w:pageBreakBefore w:val="0"/>
              <w:widowControl/>
              <w:kinsoku/>
              <w:wordWrap/>
              <w:overflowPunct/>
              <w:topLinePunct w:val="0"/>
              <w:bidi w:val="0"/>
              <w:spacing w:line="360" w:lineRule="auto"/>
              <w:jc w:val="center"/>
              <w:rPr>
                <w:rFonts w:hint="eastAsia" w:ascii="仿宋" w:hAnsi="仿宋" w:eastAsia="仿宋" w:cs="仿宋"/>
                <w:color w:val="auto"/>
                <w:kern w:val="0"/>
                <w:sz w:val="21"/>
                <w:szCs w:val="21"/>
                <w:highlight w:val="none"/>
                <w:lang w:val="en-US" w:eastAsia="zh-CN"/>
              </w:rPr>
            </w:pPr>
          </w:p>
        </w:tc>
        <w:tc>
          <w:tcPr>
            <w:tcW w:w="1604" w:type="dxa"/>
            <w:tcBorders>
              <w:left w:val="nil"/>
            </w:tcBorders>
            <w:noWrap w:val="0"/>
            <w:vAlign w:val="center"/>
          </w:tcPr>
          <w:p w14:paraId="7EC60451">
            <w:pPr>
              <w:pageBreakBefore w:val="0"/>
              <w:widowControl/>
              <w:kinsoku/>
              <w:wordWrap/>
              <w:overflowPunct/>
              <w:topLinePunct w:val="0"/>
              <w:bidi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目前担任政府机关、事业单位法律顾问（20分）</w:t>
            </w:r>
          </w:p>
        </w:tc>
        <w:tc>
          <w:tcPr>
            <w:tcW w:w="5650" w:type="dxa"/>
            <w:gridSpan w:val="2"/>
            <w:tcBorders>
              <w:left w:val="nil"/>
            </w:tcBorders>
            <w:noWrap w:val="0"/>
            <w:vAlign w:val="center"/>
          </w:tcPr>
          <w:p w14:paraId="1C6B384E">
            <w:pPr>
              <w:pageBreakBefore w:val="0"/>
              <w:widowControl/>
              <w:kinsoku/>
              <w:wordWrap/>
              <w:overflowPunct/>
              <w:topLinePunct w:val="0"/>
              <w:bidi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目前担任政府机关、事业单位顾问单位数≥5家的，得20分；3家≤顾问单位数&lt;5家，得10分；顾问单位数&lt;3家，得5分。提供聘书或顾问合同复印件。</w:t>
            </w:r>
          </w:p>
        </w:tc>
      </w:tr>
      <w:tr w14:paraId="4A9C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244" w:type="dxa"/>
            <w:vMerge w:val="continue"/>
            <w:noWrap w:val="0"/>
            <w:vAlign w:val="center"/>
          </w:tcPr>
          <w:p w14:paraId="76D60A87">
            <w:pPr>
              <w:pageBreakBefore w:val="0"/>
              <w:widowControl/>
              <w:kinsoku/>
              <w:wordWrap/>
              <w:overflowPunct/>
              <w:topLinePunct w:val="0"/>
              <w:bidi w:val="0"/>
              <w:spacing w:line="360" w:lineRule="auto"/>
              <w:jc w:val="left"/>
              <w:rPr>
                <w:rFonts w:hint="eastAsia" w:ascii="仿宋" w:hAnsi="仿宋" w:eastAsia="仿宋" w:cs="仿宋"/>
                <w:color w:val="auto"/>
                <w:sz w:val="21"/>
                <w:szCs w:val="21"/>
                <w:highlight w:val="none"/>
              </w:rPr>
            </w:pPr>
          </w:p>
        </w:tc>
        <w:tc>
          <w:tcPr>
            <w:tcW w:w="1200" w:type="dxa"/>
            <w:vMerge w:val="restart"/>
            <w:tcBorders>
              <w:left w:val="nil"/>
            </w:tcBorders>
            <w:noWrap w:val="0"/>
            <w:vAlign w:val="center"/>
          </w:tcPr>
          <w:p w14:paraId="1E17F0DB">
            <w:pPr>
              <w:pageBreakBefore w:val="0"/>
              <w:widowControl/>
              <w:kinsoku/>
              <w:wordWrap/>
              <w:overflowPunct/>
              <w:topLinePunct w:val="0"/>
              <w:bidi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顾问律师团队业绩情况</w:t>
            </w:r>
          </w:p>
          <w:p w14:paraId="4F6E58B0">
            <w:pPr>
              <w:pageBreakBefore w:val="0"/>
              <w:widowControl/>
              <w:kinsoku/>
              <w:wordWrap/>
              <w:overflowPunct/>
              <w:topLinePunct w:val="0"/>
              <w:bidi w:val="0"/>
              <w:spacing w:line="36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（25分）</w:t>
            </w:r>
          </w:p>
        </w:tc>
        <w:tc>
          <w:tcPr>
            <w:tcW w:w="1604" w:type="dxa"/>
            <w:tcBorders>
              <w:left w:val="nil"/>
            </w:tcBorders>
            <w:noWrap w:val="0"/>
            <w:vAlign w:val="center"/>
          </w:tcPr>
          <w:p w14:paraId="41642A39">
            <w:pPr>
              <w:pageBreakBefore w:val="0"/>
              <w:widowControl/>
              <w:kinsoku/>
              <w:wordWrap/>
              <w:overflowPunct/>
              <w:topLinePunct w:val="0"/>
              <w:bidi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具有丰富的诉讼经验（20分）</w:t>
            </w:r>
          </w:p>
        </w:tc>
        <w:tc>
          <w:tcPr>
            <w:tcW w:w="5650" w:type="dxa"/>
            <w:gridSpan w:val="2"/>
            <w:tcBorders>
              <w:left w:val="nil"/>
            </w:tcBorders>
            <w:noWrap w:val="0"/>
            <w:vAlign w:val="center"/>
          </w:tcPr>
          <w:p w14:paraId="05A2BF33">
            <w:pPr>
              <w:pageBreakBefore w:val="0"/>
              <w:widowControl/>
              <w:kinsoku/>
              <w:wordWrap/>
              <w:overflowPunct/>
              <w:topLinePunct w:val="0"/>
              <w:bidi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近三年</w:t>
            </w:r>
            <w:r>
              <w:rPr>
                <w:rFonts w:hint="eastAsia" w:ascii="仿宋" w:hAnsi="仿宋" w:eastAsia="仿宋" w:cs="仿宋"/>
                <w:color w:val="auto"/>
                <w:kern w:val="0"/>
                <w:sz w:val="21"/>
                <w:szCs w:val="21"/>
                <w:highlight w:val="none"/>
                <w:lang w:val="en-US" w:eastAsia="zh-CN"/>
              </w:rPr>
              <w:t>（2023年3月1日以来）</w:t>
            </w:r>
            <w:r>
              <w:rPr>
                <w:rFonts w:hint="eastAsia" w:ascii="仿宋" w:hAnsi="仿宋" w:eastAsia="仿宋" w:cs="仿宋"/>
                <w:color w:val="auto"/>
                <w:kern w:val="0"/>
                <w:sz w:val="21"/>
                <w:szCs w:val="21"/>
                <w:highlight w:val="none"/>
              </w:rPr>
              <w:t>为</w:t>
            </w:r>
            <w:r>
              <w:rPr>
                <w:rFonts w:hint="eastAsia" w:ascii="仿宋" w:hAnsi="仿宋" w:eastAsia="仿宋" w:cs="仿宋"/>
                <w:color w:val="auto"/>
                <w:kern w:val="0"/>
                <w:sz w:val="21"/>
                <w:szCs w:val="21"/>
                <w:highlight w:val="none"/>
                <w:lang w:eastAsia="zh-CN"/>
              </w:rPr>
              <w:t>政府机关、</w:t>
            </w:r>
            <w:r>
              <w:rPr>
                <w:rFonts w:hint="eastAsia" w:ascii="仿宋" w:hAnsi="仿宋" w:eastAsia="仿宋" w:cs="仿宋"/>
                <w:color w:val="auto"/>
                <w:kern w:val="0"/>
                <w:sz w:val="21"/>
                <w:szCs w:val="21"/>
                <w:highlight w:val="none"/>
              </w:rPr>
              <w:t>事业单位代理诉讼案件（已办结），代理案件数量≥20件，得20分；15件≤代理案件数量&lt;20件，得10分；代理案件数量&lt;15件，得5分；没有则不得分。需提供委托代理合同、法律文书等相关证明材料。</w:t>
            </w:r>
          </w:p>
        </w:tc>
      </w:tr>
      <w:tr w14:paraId="0EE3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1244" w:type="dxa"/>
            <w:vMerge w:val="continue"/>
            <w:noWrap w:val="0"/>
            <w:vAlign w:val="center"/>
          </w:tcPr>
          <w:p w14:paraId="404F5FB3">
            <w:pPr>
              <w:pageBreakBefore w:val="0"/>
              <w:widowControl/>
              <w:kinsoku/>
              <w:wordWrap/>
              <w:overflowPunct/>
              <w:topLinePunct w:val="0"/>
              <w:bidi w:val="0"/>
              <w:spacing w:line="360" w:lineRule="auto"/>
              <w:jc w:val="left"/>
              <w:rPr>
                <w:rFonts w:hint="eastAsia" w:ascii="仿宋" w:hAnsi="仿宋" w:eastAsia="仿宋" w:cs="仿宋"/>
                <w:color w:val="auto"/>
                <w:sz w:val="21"/>
                <w:szCs w:val="21"/>
                <w:highlight w:val="none"/>
              </w:rPr>
            </w:pPr>
          </w:p>
        </w:tc>
        <w:tc>
          <w:tcPr>
            <w:tcW w:w="1200" w:type="dxa"/>
            <w:vMerge w:val="continue"/>
            <w:tcBorders>
              <w:left w:val="nil"/>
            </w:tcBorders>
            <w:noWrap w:val="0"/>
            <w:vAlign w:val="center"/>
          </w:tcPr>
          <w:p w14:paraId="6AB012C2">
            <w:pPr>
              <w:pageBreakBefore w:val="0"/>
              <w:widowControl/>
              <w:kinsoku/>
              <w:wordWrap/>
              <w:overflowPunct/>
              <w:topLinePunct w:val="0"/>
              <w:bidi w:val="0"/>
              <w:spacing w:line="360" w:lineRule="auto"/>
              <w:jc w:val="center"/>
              <w:rPr>
                <w:rFonts w:hint="eastAsia" w:ascii="仿宋" w:hAnsi="仿宋" w:eastAsia="仿宋" w:cs="仿宋"/>
                <w:color w:val="auto"/>
                <w:kern w:val="0"/>
                <w:sz w:val="21"/>
                <w:szCs w:val="21"/>
                <w:highlight w:val="none"/>
                <w:lang w:val="en-US" w:eastAsia="zh-CN"/>
              </w:rPr>
            </w:pPr>
          </w:p>
        </w:tc>
        <w:tc>
          <w:tcPr>
            <w:tcW w:w="1604" w:type="dxa"/>
            <w:tcBorders>
              <w:left w:val="nil"/>
            </w:tcBorders>
            <w:noWrap w:val="0"/>
            <w:vAlign w:val="center"/>
          </w:tcPr>
          <w:p w14:paraId="466BDC71">
            <w:pPr>
              <w:pageBreakBefore w:val="0"/>
              <w:widowControl/>
              <w:kinsoku/>
              <w:wordWrap/>
              <w:overflowPunct/>
              <w:topLinePunct w:val="0"/>
              <w:bidi w:val="0"/>
              <w:spacing w:line="360" w:lineRule="auto"/>
              <w:jc w:val="left"/>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具有园林绿化相关复议、诉讼、仲裁等案件办理经验（</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分）</w:t>
            </w:r>
          </w:p>
        </w:tc>
        <w:tc>
          <w:tcPr>
            <w:tcW w:w="5650" w:type="dxa"/>
            <w:gridSpan w:val="2"/>
            <w:tcBorders>
              <w:left w:val="nil"/>
            </w:tcBorders>
            <w:noWrap w:val="0"/>
            <w:vAlign w:val="center"/>
          </w:tcPr>
          <w:p w14:paraId="67E58077">
            <w:pPr>
              <w:pageBreakBefore w:val="0"/>
              <w:widowControl/>
              <w:kinsoku/>
              <w:wordWrap/>
              <w:overflowPunct/>
              <w:topLinePunct w:val="0"/>
              <w:bidi w:val="0"/>
              <w:spacing w:line="360" w:lineRule="auto"/>
              <w:jc w:val="left"/>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近三年</w:t>
            </w:r>
            <w:r>
              <w:rPr>
                <w:rFonts w:hint="eastAsia" w:ascii="仿宋" w:hAnsi="仿宋" w:eastAsia="仿宋" w:cs="仿宋"/>
                <w:color w:val="auto"/>
                <w:kern w:val="0"/>
                <w:sz w:val="21"/>
                <w:szCs w:val="21"/>
                <w:highlight w:val="none"/>
                <w:lang w:val="en-US" w:eastAsia="zh-CN"/>
              </w:rPr>
              <w:t>（2023年3月1日以来）</w:t>
            </w:r>
            <w:r>
              <w:rPr>
                <w:rFonts w:hint="eastAsia" w:ascii="仿宋" w:hAnsi="仿宋" w:eastAsia="仿宋" w:cs="仿宋"/>
                <w:color w:val="auto"/>
                <w:kern w:val="0"/>
                <w:sz w:val="21"/>
                <w:szCs w:val="21"/>
                <w:highlight w:val="none"/>
              </w:rPr>
              <w:t>内办理涉及园林绿化相关复议、诉讼、仲裁案件（已办结），代理案件数量≥1件，得5分；没有的不得分。需提供委托代理合同、法律文书等相关证明材料。</w:t>
            </w:r>
          </w:p>
        </w:tc>
      </w:tr>
      <w:tr w14:paraId="23CD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244" w:type="dxa"/>
            <w:vMerge w:val="continue"/>
            <w:noWrap w:val="0"/>
            <w:vAlign w:val="center"/>
          </w:tcPr>
          <w:p w14:paraId="0125BD7B">
            <w:pPr>
              <w:pageBreakBefore w:val="0"/>
              <w:widowControl/>
              <w:kinsoku/>
              <w:wordWrap/>
              <w:overflowPunct/>
              <w:topLinePunct w:val="0"/>
              <w:bidi w:val="0"/>
              <w:spacing w:line="360" w:lineRule="auto"/>
              <w:jc w:val="left"/>
              <w:rPr>
                <w:rFonts w:hint="eastAsia" w:ascii="仿宋" w:hAnsi="仿宋" w:eastAsia="仿宋" w:cs="仿宋"/>
                <w:color w:val="auto"/>
                <w:sz w:val="21"/>
                <w:szCs w:val="21"/>
                <w:highlight w:val="none"/>
              </w:rPr>
            </w:pPr>
          </w:p>
        </w:tc>
        <w:tc>
          <w:tcPr>
            <w:tcW w:w="1200" w:type="dxa"/>
            <w:tcBorders>
              <w:left w:val="nil"/>
            </w:tcBorders>
            <w:noWrap w:val="0"/>
            <w:vAlign w:val="center"/>
          </w:tcPr>
          <w:p w14:paraId="167CE773">
            <w:pPr>
              <w:pageBreakBefore w:val="0"/>
              <w:widowControl/>
              <w:kinsoku/>
              <w:wordWrap/>
              <w:overflowPunct/>
              <w:topLinePunct w:val="0"/>
              <w:bidi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服务效能情况（20分）</w:t>
            </w:r>
          </w:p>
        </w:tc>
        <w:tc>
          <w:tcPr>
            <w:tcW w:w="1604" w:type="dxa"/>
            <w:tcBorders>
              <w:left w:val="nil"/>
            </w:tcBorders>
            <w:noWrap w:val="0"/>
            <w:vAlign w:val="center"/>
          </w:tcPr>
          <w:p w14:paraId="59ACA270">
            <w:pPr>
              <w:pageBreakBefore w:val="0"/>
              <w:widowControl/>
              <w:kinsoku/>
              <w:wordWrap/>
              <w:overflowPunct/>
              <w:topLinePunct w:val="0"/>
              <w:bidi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对投标人提供的服务方案进行评价（20分）</w:t>
            </w:r>
          </w:p>
        </w:tc>
        <w:tc>
          <w:tcPr>
            <w:tcW w:w="5650" w:type="dxa"/>
            <w:gridSpan w:val="2"/>
            <w:tcBorders>
              <w:left w:val="nil"/>
            </w:tcBorders>
            <w:noWrap w:val="0"/>
            <w:vAlign w:val="center"/>
          </w:tcPr>
          <w:p w14:paraId="5FEB7052">
            <w:pPr>
              <w:pageBreakBefore w:val="0"/>
              <w:widowControl/>
              <w:kinsoku/>
              <w:wordWrap/>
              <w:overflowPunct/>
              <w:topLinePunct w:val="0"/>
              <w:bidi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经评标小组认定，服务方案优秀的，得16-20分；良好的，得8-15分；合格的，得5-7分；不合格的不得分。结合聘请方工作职能，根据本项目服务内容提供详细服务方案。</w:t>
            </w:r>
          </w:p>
        </w:tc>
      </w:tr>
      <w:tr w14:paraId="28F6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698" w:type="dxa"/>
            <w:gridSpan w:val="5"/>
            <w:noWrap w:val="0"/>
            <w:vAlign w:val="center"/>
          </w:tcPr>
          <w:p w14:paraId="387EC017">
            <w:pPr>
              <w:pStyle w:val="57"/>
              <w:pageBreakBefore w:val="0"/>
              <w:kinsoku/>
              <w:wordWrap/>
              <w:overflowPunct/>
              <w:topLinePunct w:val="0"/>
              <w:bidi w:val="0"/>
              <w:snapToGrid w:val="0"/>
              <w:spacing w:line="360" w:lineRule="auto"/>
              <w:ind w:firstLine="315" w:firstLineChars="15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注：上述条款号2.2.2技术商务标的纸质响应</w:t>
            </w:r>
            <w:r>
              <w:rPr>
                <w:rFonts w:hint="eastAsia" w:ascii="仿宋" w:hAnsi="仿宋" w:eastAsia="仿宋" w:cs="仿宋"/>
                <w:bCs/>
                <w:color w:val="auto"/>
                <w:kern w:val="0"/>
                <w:sz w:val="21"/>
                <w:szCs w:val="21"/>
                <w:highlight w:val="none"/>
              </w:rPr>
              <w:t>所有材料需提供</w:t>
            </w:r>
            <w:r>
              <w:rPr>
                <w:rFonts w:hint="eastAsia" w:ascii="仿宋" w:hAnsi="仿宋" w:eastAsia="仿宋" w:cs="仿宋"/>
                <w:bCs/>
                <w:color w:val="auto"/>
                <w:kern w:val="0"/>
                <w:sz w:val="21"/>
                <w:szCs w:val="21"/>
                <w:highlight w:val="none"/>
                <w:lang w:val="en-US" w:eastAsia="zh-CN"/>
              </w:rPr>
              <w:t>清晰的原件</w:t>
            </w:r>
            <w:r>
              <w:rPr>
                <w:rFonts w:hint="eastAsia" w:ascii="仿宋" w:hAnsi="仿宋" w:eastAsia="仿宋" w:cs="仿宋"/>
                <w:bCs/>
                <w:color w:val="auto"/>
                <w:kern w:val="0"/>
                <w:sz w:val="21"/>
                <w:szCs w:val="21"/>
                <w:highlight w:val="none"/>
              </w:rPr>
              <w:t>复印件并加盖单位公章</w:t>
            </w:r>
            <w:r>
              <w:rPr>
                <w:rFonts w:hint="eastAsia" w:ascii="仿宋" w:hAnsi="仿宋" w:eastAsia="仿宋" w:cs="仿宋"/>
                <w:color w:val="auto"/>
                <w:kern w:val="0"/>
                <w:sz w:val="21"/>
                <w:szCs w:val="21"/>
                <w:highlight w:val="none"/>
              </w:rPr>
              <w:t>，</w:t>
            </w:r>
            <w:r>
              <w:rPr>
                <w:rFonts w:hint="eastAsia" w:ascii="仿宋" w:hAnsi="仿宋" w:eastAsia="仿宋" w:cs="仿宋"/>
                <w:bCs/>
                <w:color w:val="auto"/>
                <w:sz w:val="21"/>
                <w:szCs w:val="21"/>
                <w:highlight w:val="none"/>
                <w:lang w:val="en-US" w:eastAsia="zh-CN"/>
              </w:rPr>
              <w:t>投标文件中资料不清晰或资料不全的</w:t>
            </w:r>
            <w:r>
              <w:rPr>
                <w:rFonts w:hint="eastAsia" w:ascii="仿宋" w:hAnsi="仿宋" w:eastAsia="仿宋" w:cs="仿宋"/>
                <w:bCs/>
                <w:color w:val="auto"/>
                <w:sz w:val="21"/>
                <w:szCs w:val="21"/>
                <w:highlight w:val="none"/>
              </w:rPr>
              <w:t>不予得分</w:t>
            </w:r>
            <w:r>
              <w:rPr>
                <w:rFonts w:hint="eastAsia" w:ascii="仿宋" w:hAnsi="仿宋" w:eastAsia="仿宋" w:cs="仿宋"/>
                <w:bCs/>
                <w:color w:val="auto"/>
                <w:sz w:val="21"/>
                <w:szCs w:val="21"/>
                <w:highlight w:val="none"/>
                <w:lang w:eastAsia="zh-CN"/>
              </w:rPr>
              <w:t>。</w:t>
            </w:r>
          </w:p>
        </w:tc>
      </w:tr>
      <w:tr w14:paraId="0137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244" w:type="dxa"/>
            <w:noWrap w:val="0"/>
            <w:vAlign w:val="center"/>
          </w:tcPr>
          <w:p w14:paraId="76ECE320">
            <w:pPr>
              <w:pageBreakBefore w:val="0"/>
              <w:kinsoku/>
              <w:wordWrap/>
              <w:overflowPunct/>
              <w:topLinePunct w:val="0"/>
              <w:bidi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2.2.3</w:t>
            </w:r>
          </w:p>
          <w:p w14:paraId="09A1A11A">
            <w:pPr>
              <w:pageBreakBefore w:val="0"/>
              <w:kinsoku/>
              <w:wordWrap/>
              <w:overflowPunct/>
              <w:topLinePunct w:val="0"/>
              <w:bidi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报价标</w:t>
            </w:r>
          </w:p>
          <w:p w14:paraId="334F93CF">
            <w:pPr>
              <w:pageBreakBefore w:val="0"/>
              <w:kinsoku/>
              <w:wordWrap/>
              <w:overflowPunct/>
              <w:topLinePunct w:val="0"/>
              <w:bidi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分）</w:t>
            </w:r>
          </w:p>
        </w:tc>
        <w:tc>
          <w:tcPr>
            <w:tcW w:w="1200" w:type="dxa"/>
            <w:tcBorders>
              <w:left w:val="nil"/>
            </w:tcBorders>
            <w:noWrap w:val="0"/>
            <w:vAlign w:val="center"/>
          </w:tcPr>
          <w:p w14:paraId="198784E2">
            <w:pPr>
              <w:pageBreakBefore w:val="0"/>
              <w:kinsoku/>
              <w:wordWrap/>
              <w:overflowPunct/>
              <w:topLinePunct w:val="0"/>
              <w:bidi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基准价</w:t>
            </w:r>
          </w:p>
        </w:tc>
        <w:tc>
          <w:tcPr>
            <w:tcW w:w="7254" w:type="dxa"/>
            <w:gridSpan w:val="3"/>
            <w:tcBorders>
              <w:left w:val="nil"/>
            </w:tcBorders>
            <w:noWrap w:val="0"/>
            <w:vAlign w:val="center"/>
          </w:tcPr>
          <w:p w14:paraId="6E3C2793">
            <w:pPr>
              <w:pageBreakBefore w:val="0"/>
              <w:kinsoku/>
              <w:wordWrap/>
              <w:overflowPunct/>
              <w:topLinePunct w:val="0"/>
              <w:bidi w:val="0"/>
              <w:spacing w:line="360" w:lineRule="auto"/>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各响应单位报价的最低价作为本项目的基准价，其价格分为满分。其它</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报价得分统一按照以下公式计算（小数点后保留两位）：投标报价得分=（评标基准价/投标报价）*</w:t>
            </w:r>
            <w:r>
              <w:rPr>
                <w:rFonts w:hint="eastAsia" w:ascii="仿宋" w:hAnsi="仿宋" w:eastAsia="仿宋" w:cs="仿宋"/>
                <w:color w:val="auto"/>
                <w:sz w:val="21"/>
                <w:szCs w:val="21"/>
                <w:highlight w:val="none"/>
                <w:lang w:val="en-US" w:eastAsia="zh-CN"/>
              </w:rPr>
              <w:t>20</w:t>
            </w:r>
          </w:p>
        </w:tc>
      </w:tr>
    </w:tbl>
    <w:p w14:paraId="259B422A">
      <w:pPr>
        <w:pStyle w:val="20"/>
        <w:pageBreakBefore w:val="0"/>
        <w:numPr>
          <w:ilvl w:val="0"/>
          <w:numId w:val="0"/>
        </w:numPr>
        <w:kinsoku/>
        <w:wordWrap/>
        <w:overflowPunct/>
        <w:topLinePunct w:val="0"/>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2"/>
          <w:szCs w:val="22"/>
          <w:highlight w:val="none"/>
          <w:lang w:val="en-US" w:eastAsia="zh-CN"/>
        </w:rPr>
        <w:t>注明：中标单位中标后3日内、签订合同前须提供以上2.2.2商务技术标条款中相关证书及佐证材料原件进行审查，</w:t>
      </w:r>
      <w:r>
        <w:rPr>
          <w:rFonts w:hint="eastAsia" w:ascii="仿宋" w:hAnsi="仿宋" w:eastAsia="仿宋" w:cs="仿宋"/>
          <w:b/>
          <w:bCs/>
          <w:color w:val="auto"/>
          <w:sz w:val="22"/>
          <w:szCs w:val="22"/>
          <w:highlight w:val="none"/>
        </w:rPr>
        <w:t>如不能提供或者提供虚假材料者视为虚假应标，情节严重者报相关部门、并承担相应的法律责任</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且</w:t>
      </w:r>
      <w:r>
        <w:rPr>
          <w:rFonts w:hint="eastAsia" w:ascii="仿宋" w:hAnsi="仿宋" w:eastAsia="仿宋" w:cs="仿宋"/>
          <w:b/>
          <w:bCs/>
          <w:color w:val="auto"/>
          <w:sz w:val="22"/>
          <w:szCs w:val="22"/>
          <w:highlight w:val="none"/>
        </w:rPr>
        <w:t>采购人</w:t>
      </w:r>
      <w:r>
        <w:rPr>
          <w:rFonts w:hint="eastAsia" w:ascii="仿宋" w:hAnsi="仿宋" w:eastAsia="仿宋" w:cs="仿宋"/>
          <w:b/>
          <w:bCs/>
          <w:color w:val="auto"/>
          <w:sz w:val="22"/>
          <w:szCs w:val="22"/>
          <w:highlight w:val="none"/>
          <w:lang w:val="en-US" w:eastAsia="zh-CN"/>
        </w:rPr>
        <w:t>有权</w:t>
      </w:r>
      <w:r>
        <w:rPr>
          <w:rFonts w:hint="eastAsia" w:ascii="仿宋" w:hAnsi="仿宋" w:eastAsia="仿宋" w:cs="仿宋"/>
          <w:b/>
          <w:bCs/>
          <w:color w:val="auto"/>
          <w:sz w:val="22"/>
          <w:szCs w:val="22"/>
          <w:highlight w:val="none"/>
        </w:rPr>
        <w:t>取消其中标资格</w:t>
      </w:r>
      <w:r>
        <w:rPr>
          <w:rFonts w:hint="eastAsia" w:ascii="仿宋" w:hAnsi="仿宋" w:eastAsia="仿宋" w:cs="仿宋"/>
          <w:b/>
          <w:bCs/>
          <w:color w:val="auto"/>
          <w:sz w:val="22"/>
          <w:szCs w:val="22"/>
          <w:highlight w:val="none"/>
          <w:lang w:eastAsia="zh-CN"/>
        </w:rPr>
        <w:t>。</w:t>
      </w:r>
    </w:p>
    <w:p w14:paraId="01E3E703">
      <w:pPr>
        <w:pageBreakBefore w:val="0"/>
        <w:shd w:val="clear" w:color="auto" w:fill="FFFFFF"/>
        <w:kinsoku/>
        <w:wordWrap/>
        <w:overflowPunct/>
        <w:topLinePunct w:val="0"/>
        <w:bidi w:val="0"/>
        <w:spacing w:before="100" w:beforeAutospacing="1" w:after="100" w:afterAutospacing="1"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五、未尽事宜由评标委员会决定。</w:t>
      </w:r>
    </w:p>
    <w:p w14:paraId="5BAB78A6">
      <w:pPr>
        <w:pageBreakBefore w:val="0"/>
        <w:kinsoku/>
        <w:wordWrap/>
        <w:overflowPunct/>
        <w:topLinePunct w:val="0"/>
        <w:bidi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0FADF39">
      <w:pPr>
        <w:pageBreakBefore w:val="0"/>
        <w:widowControl/>
        <w:kinsoku/>
        <w:wordWrap/>
        <w:overflowPunct/>
        <w:topLinePunct w:val="0"/>
        <w:bidi w:val="0"/>
        <w:spacing w:line="360" w:lineRule="auto"/>
        <w:jc w:val="center"/>
        <w:rPr>
          <w:rFonts w:hint="eastAsia" w:ascii="仿宋" w:hAnsi="仿宋" w:eastAsia="仿宋" w:cs="仿宋"/>
          <w:b/>
          <w:bCs/>
          <w:color w:val="auto"/>
          <w:kern w:val="44"/>
          <w:sz w:val="32"/>
          <w:szCs w:val="32"/>
          <w:highlight w:val="none"/>
          <w:lang w:val="en-US" w:eastAsia="zh-CN" w:bidi="ar-SA"/>
        </w:rPr>
      </w:pPr>
      <w:r>
        <w:rPr>
          <w:rFonts w:hint="eastAsia" w:ascii="仿宋" w:hAnsi="仿宋" w:eastAsia="仿宋" w:cs="仿宋"/>
          <w:b/>
          <w:bCs/>
          <w:color w:val="auto"/>
          <w:kern w:val="44"/>
          <w:sz w:val="32"/>
          <w:szCs w:val="32"/>
          <w:highlight w:val="none"/>
          <w:lang w:val="en-US" w:eastAsia="zh-CN" w:bidi="ar-SA"/>
        </w:rPr>
        <w:t>第七章 供应商响应文件组成</w:t>
      </w:r>
    </w:p>
    <w:p w14:paraId="29F1F811">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14C59D59">
      <w:pPr>
        <w:pStyle w:val="5"/>
        <w:pageBreakBefore w:val="0"/>
        <w:kinsoku/>
        <w:wordWrap/>
        <w:overflowPunct/>
        <w:topLinePunct w:val="0"/>
        <w:bidi w:val="0"/>
        <w:spacing w:line="360" w:lineRule="auto"/>
        <w:jc w:val="center"/>
        <w:rPr>
          <w:rFonts w:hint="eastAsia" w:ascii="仿宋" w:hAnsi="仿宋" w:eastAsia="仿宋" w:cs="仿宋"/>
          <w:color w:val="auto"/>
          <w:sz w:val="28"/>
          <w:szCs w:val="28"/>
          <w:highlight w:val="none"/>
        </w:rPr>
      </w:pPr>
      <w:bookmarkStart w:id="112" w:name="_Toc482189588"/>
      <w:bookmarkEnd w:id="112"/>
      <w:bookmarkStart w:id="113" w:name="_Toc482192402"/>
      <w:r>
        <w:rPr>
          <w:rFonts w:hint="eastAsia" w:ascii="仿宋" w:hAnsi="仿宋" w:eastAsia="仿宋" w:cs="仿宋"/>
          <w:color w:val="auto"/>
          <w:sz w:val="28"/>
          <w:szCs w:val="28"/>
          <w:highlight w:val="none"/>
        </w:rPr>
        <w:t>封面</w:t>
      </w:r>
      <w:bookmarkEnd w:id="113"/>
    </w:p>
    <w:p w14:paraId="79FC8D7E">
      <w:pPr>
        <w:pageBreakBefore w:val="0"/>
        <w:kinsoku/>
        <w:wordWrap/>
        <w:overflowPunct/>
        <w:topLinePunct w:val="0"/>
        <w:bidi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供应商响应文件</w:t>
      </w:r>
    </w:p>
    <w:p w14:paraId="68FC0F1C">
      <w:pPr>
        <w:pageBreakBefore w:val="0"/>
        <w:kinsoku/>
        <w:wordWrap/>
        <w:overflowPunct/>
        <w:topLinePunct w:val="0"/>
        <w:bidi w:val="0"/>
        <w:spacing w:line="360" w:lineRule="auto"/>
        <w:jc w:val="left"/>
        <w:rPr>
          <w:rFonts w:hint="eastAsia" w:ascii="仿宋" w:hAnsi="仿宋" w:eastAsia="仿宋" w:cs="仿宋"/>
          <w:b/>
          <w:bCs/>
          <w:color w:val="auto"/>
          <w:kern w:val="0"/>
          <w:sz w:val="24"/>
          <w:szCs w:val="24"/>
          <w:highlight w:val="none"/>
        </w:rPr>
      </w:pPr>
    </w:p>
    <w:p w14:paraId="19950731">
      <w:pPr>
        <w:pStyle w:val="56"/>
        <w:pageBreakBefore w:val="0"/>
        <w:kinsoku/>
        <w:wordWrap/>
        <w:overflowPunct/>
        <w:topLinePunct w:val="0"/>
        <w:bidi w:val="0"/>
        <w:spacing w:line="360" w:lineRule="auto"/>
        <w:ind w:firstLine="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u w:val="single"/>
        </w:rPr>
        <w:t>资格证明材料包/技术标包/报价标包</w:t>
      </w:r>
    </w:p>
    <w:p w14:paraId="06DB686B">
      <w:pPr>
        <w:pageBreakBefore w:val="0"/>
        <w:kinsoku/>
        <w:wordWrap/>
        <w:overflowPunct/>
        <w:topLinePunct w:val="0"/>
        <w:bidi w:val="0"/>
        <w:spacing w:line="360" w:lineRule="auto"/>
        <w:jc w:val="left"/>
        <w:rPr>
          <w:rFonts w:hint="eastAsia" w:ascii="仿宋" w:hAnsi="仿宋" w:eastAsia="仿宋" w:cs="仿宋"/>
          <w:b/>
          <w:bCs/>
          <w:color w:val="auto"/>
          <w:kern w:val="0"/>
          <w:sz w:val="28"/>
          <w:szCs w:val="28"/>
          <w:highlight w:val="none"/>
        </w:rPr>
      </w:pPr>
    </w:p>
    <w:p w14:paraId="5DE059DD">
      <w:pPr>
        <w:pageBreakBefore w:val="0"/>
        <w:kinsoku/>
        <w:wordWrap/>
        <w:overflowPunct/>
        <w:topLinePunct w:val="0"/>
        <w:bidi w:val="0"/>
        <w:spacing w:line="360" w:lineRule="auto"/>
        <w:jc w:val="left"/>
        <w:rPr>
          <w:rFonts w:hint="eastAsia" w:ascii="仿宋" w:hAnsi="仿宋" w:eastAsia="仿宋" w:cs="仿宋"/>
          <w:b/>
          <w:bCs/>
          <w:color w:val="auto"/>
          <w:kern w:val="0"/>
          <w:sz w:val="28"/>
          <w:szCs w:val="28"/>
          <w:highlight w:val="none"/>
        </w:rPr>
      </w:pPr>
    </w:p>
    <w:p w14:paraId="477714E6">
      <w:pPr>
        <w:pageBreakBefore w:val="0"/>
        <w:kinsoku/>
        <w:wordWrap/>
        <w:overflowPunct/>
        <w:topLinePunct w:val="0"/>
        <w:bidi w:val="0"/>
        <w:spacing w:line="360" w:lineRule="auto"/>
        <w:ind w:firstLine="843" w:firstLineChars="300"/>
        <w:rPr>
          <w:rFonts w:hint="eastAsia" w:ascii="仿宋" w:hAnsi="仿宋" w:eastAsia="仿宋" w:cs="仿宋"/>
          <w:b/>
          <w:bCs/>
          <w:color w:val="auto"/>
          <w:sz w:val="28"/>
          <w:szCs w:val="28"/>
          <w:highlight w:val="none"/>
        </w:rPr>
      </w:pPr>
    </w:p>
    <w:p w14:paraId="293DC4AF">
      <w:pPr>
        <w:pageBreakBefore w:val="0"/>
        <w:kinsoku/>
        <w:wordWrap/>
        <w:overflowPunct/>
        <w:topLinePunct w:val="0"/>
        <w:bidi w:val="0"/>
        <w:spacing w:line="360" w:lineRule="auto"/>
        <w:ind w:firstLine="843" w:firstLineChars="300"/>
        <w:rPr>
          <w:rFonts w:hint="eastAsia" w:ascii="仿宋" w:hAnsi="仿宋" w:eastAsia="仿宋" w:cs="仿宋"/>
          <w:b/>
          <w:bCs/>
          <w:color w:val="auto"/>
          <w:sz w:val="28"/>
          <w:szCs w:val="28"/>
          <w:highlight w:val="none"/>
        </w:rPr>
      </w:pPr>
    </w:p>
    <w:p w14:paraId="7C3FE5E6">
      <w:pPr>
        <w:pageBreakBefore w:val="0"/>
        <w:kinsoku/>
        <w:wordWrap/>
        <w:overflowPunct/>
        <w:topLinePunct w:val="0"/>
        <w:bidi w:val="0"/>
        <w:spacing w:line="360" w:lineRule="auto"/>
        <w:ind w:firstLine="843" w:firstLineChars="3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p w14:paraId="6EFED4C4">
      <w:pPr>
        <w:pageBreakBefore w:val="0"/>
        <w:kinsoku/>
        <w:wordWrap/>
        <w:overflowPunct/>
        <w:topLinePunct w:val="0"/>
        <w:bidi w:val="0"/>
        <w:spacing w:line="360" w:lineRule="auto"/>
        <w:ind w:firstLine="843" w:firstLineChars="3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供应商名称：</w:t>
      </w:r>
    </w:p>
    <w:p w14:paraId="55636054">
      <w:pPr>
        <w:pageBreakBefore w:val="0"/>
        <w:kinsoku/>
        <w:wordWrap/>
        <w:overflowPunct/>
        <w:topLinePunct w:val="0"/>
        <w:bidi w:val="0"/>
        <w:spacing w:line="360" w:lineRule="auto"/>
        <w:ind w:firstLine="843" w:firstLineChars="3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期：</w:t>
      </w:r>
    </w:p>
    <w:p w14:paraId="486F19D5">
      <w:pPr>
        <w:pStyle w:val="56"/>
        <w:pageBreakBefore w:val="0"/>
        <w:kinsoku/>
        <w:wordWrap/>
        <w:overflowPunct/>
        <w:topLinePunct w:val="0"/>
        <w:bidi w:val="0"/>
        <w:spacing w:line="360" w:lineRule="auto"/>
        <w:ind w:firstLine="1848" w:firstLineChars="770"/>
        <w:rPr>
          <w:rFonts w:hint="eastAsia" w:ascii="仿宋" w:hAnsi="仿宋" w:eastAsia="仿宋" w:cs="仿宋"/>
          <w:color w:val="auto"/>
          <w:kern w:val="2"/>
          <w:highlight w:val="none"/>
        </w:rPr>
      </w:pPr>
    </w:p>
    <w:p w14:paraId="566EA3B5">
      <w:pPr>
        <w:pStyle w:val="56"/>
        <w:pageBreakBefore w:val="0"/>
        <w:kinsoku/>
        <w:wordWrap/>
        <w:overflowPunct/>
        <w:topLinePunct w:val="0"/>
        <w:bidi w:val="0"/>
        <w:spacing w:line="360" w:lineRule="auto"/>
        <w:ind w:firstLine="1848" w:firstLineChars="770"/>
        <w:rPr>
          <w:rFonts w:hint="eastAsia" w:ascii="仿宋" w:hAnsi="仿宋" w:eastAsia="仿宋" w:cs="仿宋"/>
          <w:color w:val="auto"/>
          <w:kern w:val="2"/>
          <w:highlight w:val="none"/>
        </w:rPr>
      </w:pPr>
    </w:p>
    <w:p w14:paraId="1FF2A052">
      <w:pPr>
        <w:pageBreakBefore w:val="0"/>
        <w:kinsoku/>
        <w:wordWrap/>
        <w:overflowPunct/>
        <w:topLinePunct w:val="0"/>
        <w:bidi w:val="0"/>
        <w:snapToGrid w:val="0"/>
        <w:spacing w:line="360" w:lineRule="auto"/>
        <w:jc w:val="center"/>
        <w:outlineLvl w:val="0"/>
        <w:rPr>
          <w:rFonts w:hint="eastAsia" w:ascii="仿宋" w:hAnsi="仿宋" w:eastAsia="仿宋" w:cs="仿宋"/>
          <w:color w:val="auto"/>
          <w:sz w:val="24"/>
          <w:szCs w:val="24"/>
          <w:highlight w:val="none"/>
        </w:rPr>
      </w:pPr>
      <w:bookmarkStart w:id="114" w:name="_Toc438651224"/>
      <w:bookmarkEnd w:id="114"/>
    </w:p>
    <w:p w14:paraId="5118F085">
      <w:pPr>
        <w:pageBreakBefore w:val="0"/>
        <w:kinsoku/>
        <w:wordWrap/>
        <w:overflowPunct/>
        <w:topLinePunct w:val="0"/>
        <w:bidi w:val="0"/>
        <w:snapToGrid w:val="0"/>
        <w:spacing w:line="360" w:lineRule="auto"/>
        <w:jc w:val="center"/>
        <w:outlineLvl w:val="0"/>
        <w:rPr>
          <w:rFonts w:hint="eastAsia" w:ascii="仿宋" w:hAnsi="仿宋" w:eastAsia="仿宋" w:cs="仿宋"/>
          <w:color w:val="auto"/>
          <w:sz w:val="24"/>
          <w:szCs w:val="24"/>
          <w:highlight w:val="none"/>
        </w:rPr>
      </w:pPr>
    </w:p>
    <w:p w14:paraId="4E396CE7">
      <w:pPr>
        <w:pageBreakBefore w:val="0"/>
        <w:kinsoku/>
        <w:wordWrap/>
        <w:overflowPunct/>
        <w:topLinePunct w:val="0"/>
        <w:bidi w:val="0"/>
        <w:snapToGrid w:val="0"/>
        <w:spacing w:line="360" w:lineRule="auto"/>
        <w:jc w:val="center"/>
        <w:outlineLvl w:val="0"/>
        <w:rPr>
          <w:rFonts w:hint="eastAsia" w:ascii="仿宋" w:hAnsi="仿宋" w:eastAsia="仿宋" w:cs="仿宋"/>
          <w:color w:val="auto"/>
          <w:sz w:val="24"/>
          <w:szCs w:val="24"/>
          <w:highlight w:val="none"/>
        </w:rPr>
      </w:pPr>
    </w:p>
    <w:p w14:paraId="5BB7C851">
      <w:pPr>
        <w:pStyle w:val="9"/>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2254B7A9">
      <w:pPr>
        <w:pageBreakBefore w:val="0"/>
        <w:kinsoku/>
        <w:wordWrap/>
        <w:overflowPunct/>
        <w:topLinePunct w:val="0"/>
        <w:bidi w:val="0"/>
        <w:snapToGrid w:val="0"/>
        <w:spacing w:line="360" w:lineRule="auto"/>
        <w:ind w:firstLine="1960" w:firstLineChars="700"/>
        <w:outlineLvl w:val="0"/>
        <w:rPr>
          <w:rFonts w:hint="eastAsia" w:ascii="仿宋" w:hAnsi="仿宋" w:eastAsia="仿宋" w:cs="仿宋"/>
          <w:color w:val="auto"/>
          <w:sz w:val="28"/>
          <w:szCs w:val="28"/>
          <w:highlight w:val="none"/>
        </w:rPr>
      </w:pPr>
    </w:p>
    <w:p w14:paraId="5E73551F">
      <w:pPr>
        <w:pageBreakBefore w:val="0"/>
        <w:kinsoku/>
        <w:wordWrap/>
        <w:overflowPunct/>
        <w:topLinePunct w:val="0"/>
        <w:bidi w:val="0"/>
        <w:snapToGrid w:val="0"/>
        <w:spacing w:line="360" w:lineRule="auto"/>
        <w:ind w:firstLine="1960" w:firstLineChars="700"/>
        <w:outlineLvl w:val="0"/>
        <w:rPr>
          <w:rFonts w:hint="eastAsia" w:ascii="仿宋" w:hAnsi="仿宋" w:eastAsia="仿宋" w:cs="仿宋"/>
          <w:color w:val="auto"/>
          <w:sz w:val="28"/>
          <w:szCs w:val="28"/>
          <w:highlight w:val="none"/>
        </w:rPr>
      </w:pPr>
    </w:p>
    <w:p w14:paraId="4E08F2FC">
      <w:pPr>
        <w:pageBreakBefore w:val="0"/>
        <w:kinsoku/>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3A7728F6">
      <w:pPr>
        <w:keepNext w:val="0"/>
        <w:keepLines w:val="0"/>
        <w:pageBreakBefore w:val="0"/>
        <w:numPr>
          <w:ilvl w:val="0"/>
          <w:numId w:val="2"/>
        </w:numPr>
        <w:kinsoku/>
        <w:wordWrap/>
        <w:overflowPunct/>
        <w:topLinePunct w:val="0"/>
        <w:bidi w:val="0"/>
        <w:snapToGrid w:val="0"/>
        <w:spacing w:line="360" w:lineRule="exact"/>
        <w:ind w:firstLine="1960" w:firstLineChars="700"/>
        <w:textAlignment w:val="auto"/>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资格审查材料内容</w:t>
      </w:r>
    </w:p>
    <w:p w14:paraId="186E6B95">
      <w:pPr>
        <w:keepNext w:val="0"/>
        <w:keepLines w:val="0"/>
        <w:pageBreakBefore w:val="0"/>
        <w:numPr>
          <w:ilvl w:val="0"/>
          <w:numId w:val="0"/>
        </w:numPr>
        <w:kinsoku/>
        <w:wordWrap/>
        <w:overflowPunct/>
        <w:topLinePunct w:val="0"/>
        <w:bidi w:val="0"/>
        <w:snapToGrid w:val="0"/>
        <w:spacing w:line="360" w:lineRule="exact"/>
        <w:jc w:val="center"/>
        <w:textAlignment w:val="auto"/>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录</w:t>
      </w:r>
    </w:p>
    <w:tbl>
      <w:tblPr>
        <w:tblStyle w:val="22"/>
        <w:tblW w:w="9229" w:type="dxa"/>
        <w:jc w:val="center"/>
        <w:tblLayout w:type="fixed"/>
        <w:tblCellMar>
          <w:top w:w="0" w:type="dxa"/>
          <w:left w:w="108" w:type="dxa"/>
          <w:bottom w:w="0" w:type="dxa"/>
          <w:right w:w="108" w:type="dxa"/>
        </w:tblCellMar>
      </w:tblPr>
      <w:tblGrid>
        <w:gridCol w:w="553"/>
        <w:gridCol w:w="7545"/>
        <w:gridCol w:w="1131"/>
      </w:tblGrid>
      <w:tr w14:paraId="41110B72">
        <w:tblPrEx>
          <w:tblCellMar>
            <w:top w:w="0" w:type="dxa"/>
            <w:left w:w="108" w:type="dxa"/>
            <w:bottom w:w="0" w:type="dxa"/>
            <w:right w:w="108" w:type="dxa"/>
          </w:tblCellMar>
        </w:tblPrEx>
        <w:trPr>
          <w:trHeight w:val="57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49FE651A">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序号</w:t>
            </w:r>
          </w:p>
        </w:tc>
        <w:tc>
          <w:tcPr>
            <w:tcW w:w="7545" w:type="dxa"/>
            <w:tcBorders>
              <w:top w:val="single" w:color="auto" w:sz="4" w:space="0"/>
              <w:left w:val="nil"/>
              <w:bottom w:val="single" w:color="auto" w:sz="4" w:space="0"/>
              <w:right w:val="single" w:color="auto" w:sz="4" w:space="0"/>
            </w:tcBorders>
            <w:vAlign w:val="center"/>
          </w:tcPr>
          <w:p w14:paraId="4ABBD8EE">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材料明细</w:t>
            </w:r>
          </w:p>
        </w:tc>
        <w:tc>
          <w:tcPr>
            <w:tcW w:w="1131" w:type="dxa"/>
            <w:tcBorders>
              <w:top w:val="single" w:color="auto" w:sz="4" w:space="0"/>
              <w:left w:val="nil"/>
              <w:bottom w:val="single" w:color="auto" w:sz="4" w:space="0"/>
              <w:right w:val="single" w:color="auto" w:sz="4" w:space="0"/>
            </w:tcBorders>
            <w:vAlign w:val="center"/>
          </w:tcPr>
          <w:p w14:paraId="232D7197">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是否符合</w:t>
            </w:r>
          </w:p>
          <w:p w14:paraId="6C3E472A">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（打√）</w:t>
            </w:r>
          </w:p>
        </w:tc>
      </w:tr>
      <w:tr w14:paraId="7E99F956">
        <w:tblPrEx>
          <w:tblCellMar>
            <w:top w:w="0" w:type="dxa"/>
            <w:left w:w="108" w:type="dxa"/>
            <w:bottom w:w="0" w:type="dxa"/>
            <w:right w:w="108" w:type="dxa"/>
          </w:tblCellMar>
        </w:tblPrEx>
        <w:trPr>
          <w:trHeight w:val="725"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21760F99">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r>
              <w:rPr>
                <w:rFonts w:hint="eastAsia" w:ascii="仿宋" w:hAnsi="仿宋" w:eastAsia="仿宋" w:cs="仿宋"/>
                <w:color w:val="auto"/>
                <w:kern w:val="0"/>
                <w:highlight w:val="none"/>
              </w:rPr>
              <w:t>1</w:t>
            </w:r>
          </w:p>
        </w:tc>
        <w:tc>
          <w:tcPr>
            <w:tcW w:w="7545" w:type="dxa"/>
            <w:tcBorders>
              <w:top w:val="single" w:color="auto" w:sz="4" w:space="0"/>
              <w:left w:val="nil"/>
              <w:bottom w:val="single" w:color="auto" w:sz="4" w:space="0"/>
              <w:right w:val="single" w:color="auto" w:sz="4" w:space="0"/>
            </w:tcBorders>
          </w:tcPr>
          <w:p w14:paraId="5B6FA57B">
            <w:pPr>
              <w:keepNext w:val="0"/>
              <w:keepLines w:val="0"/>
              <w:pageBreakBefore w:val="0"/>
              <w:widowControl/>
              <w:kinsoku/>
              <w:wordWrap/>
              <w:overflowPunct/>
              <w:topLinePunct w:val="0"/>
              <w:bidi w:val="0"/>
              <w:spacing w:line="360" w:lineRule="exact"/>
              <w:jc w:val="left"/>
              <w:textAlignment w:val="auto"/>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lang w:eastAsia="zh-CN"/>
              </w:rPr>
              <w:t>法定代表人参加项目公开招标的，须提供法定代表人身份证明书原件；非法定代表人参加的，必须提供法定代表人（或分公司负责人）签名或盖章的授权委托书原件及被授权代表身份证原件。</w:t>
            </w:r>
          </w:p>
        </w:tc>
        <w:tc>
          <w:tcPr>
            <w:tcW w:w="1131" w:type="dxa"/>
            <w:tcBorders>
              <w:top w:val="single" w:color="auto" w:sz="4" w:space="0"/>
              <w:left w:val="nil"/>
              <w:bottom w:val="single" w:color="auto" w:sz="4" w:space="0"/>
              <w:right w:val="single" w:color="auto" w:sz="4" w:space="0"/>
            </w:tcBorders>
            <w:vAlign w:val="center"/>
          </w:tcPr>
          <w:p w14:paraId="0EAA5021">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14619C86">
        <w:tblPrEx>
          <w:tblCellMar>
            <w:top w:w="0" w:type="dxa"/>
            <w:left w:w="108" w:type="dxa"/>
            <w:bottom w:w="0" w:type="dxa"/>
            <w:right w:w="108" w:type="dxa"/>
          </w:tblCellMar>
        </w:tblPrEx>
        <w:trPr>
          <w:trHeight w:val="455"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0CB95D70">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r>
              <w:rPr>
                <w:rFonts w:hint="eastAsia" w:ascii="仿宋" w:hAnsi="仿宋" w:eastAsia="仿宋" w:cs="仿宋"/>
                <w:color w:val="auto"/>
                <w:kern w:val="0"/>
                <w:highlight w:val="none"/>
              </w:rPr>
              <w:t>2</w:t>
            </w:r>
          </w:p>
        </w:tc>
        <w:tc>
          <w:tcPr>
            <w:tcW w:w="7545" w:type="dxa"/>
            <w:tcBorders>
              <w:top w:val="single" w:color="auto" w:sz="4" w:space="0"/>
              <w:left w:val="nil"/>
              <w:bottom w:val="single" w:color="auto" w:sz="4" w:space="0"/>
              <w:right w:val="single" w:color="auto" w:sz="4" w:space="0"/>
            </w:tcBorders>
          </w:tcPr>
          <w:p w14:paraId="02A079A9">
            <w:pPr>
              <w:keepNext w:val="0"/>
              <w:keepLines w:val="0"/>
              <w:pageBreakBefore w:val="0"/>
              <w:kinsoku/>
              <w:wordWrap/>
              <w:overflowPunct/>
              <w:topLinePunct w:val="0"/>
              <w:bidi w:val="0"/>
              <w:spacing w:line="36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kern w:val="0"/>
                <w:highlight w:val="none"/>
              </w:rPr>
              <w:t>供应商有效的营业执照（副本）</w:t>
            </w:r>
            <w:r>
              <w:rPr>
                <w:rFonts w:hint="eastAsia" w:ascii="仿宋" w:hAnsi="仿宋" w:eastAsia="仿宋" w:cs="仿宋"/>
                <w:color w:val="auto"/>
                <w:kern w:val="0"/>
                <w:highlight w:val="none"/>
                <w:lang w:eastAsia="zh-CN"/>
              </w:rPr>
              <w:t>。</w:t>
            </w:r>
          </w:p>
        </w:tc>
        <w:tc>
          <w:tcPr>
            <w:tcW w:w="1131" w:type="dxa"/>
            <w:tcBorders>
              <w:top w:val="single" w:color="auto" w:sz="4" w:space="0"/>
              <w:left w:val="nil"/>
              <w:bottom w:val="single" w:color="auto" w:sz="4" w:space="0"/>
              <w:right w:val="single" w:color="auto" w:sz="4" w:space="0"/>
            </w:tcBorders>
            <w:vAlign w:val="center"/>
          </w:tcPr>
          <w:p w14:paraId="3D7CCC31">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7B2E3BB9">
        <w:tblPrEx>
          <w:tblCellMar>
            <w:top w:w="0" w:type="dxa"/>
            <w:left w:w="108" w:type="dxa"/>
            <w:bottom w:w="0" w:type="dxa"/>
            <w:right w:w="108" w:type="dxa"/>
          </w:tblCellMar>
        </w:tblPrEx>
        <w:trPr>
          <w:trHeight w:val="455"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791E94D4">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r>
              <w:rPr>
                <w:rFonts w:hint="eastAsia" w:ascii="仿宋" w:hAnsi="仿宋" w:eastAsia="仿宋" w:cs="仿宋"/>
                <w:color w:val="auto"/>
                <w:kern w:val="0"/>
                <w:highlight w:val="none"/>
              </w:rPr>
              <w:t>3</w:t>
            </w:r>
          </w:p>
        </w:tc>
        <w:tc>
          <w:tcPr>
            <w:tcW w:w="7545" w:type="dxa"/>
            <w:tcBorders>
              <w:top w:val="single" w:color="auto" w:sz="4" w:space="0"/>
              <w:left w:val="nil"/>
              <w:bottom w:val="single" w:color="auto" w:sz="4" w:space="0"/>
              <w:right w:val="single" w:color="auto" w:sz="4" w:space="0"/>
            </w:tcBorders>
          </w:tcPr>
          <w:p w14:paraId="0F03EE0A">
            <w:pPr>
              <w:keepNext w:val="0"/>
              <w:keepLines w:val="0"/>
              <w:pageBreakBefore w:val="0"/>
              <w:kinsoku/>
              <w:wordWrap/>
              <w:overflowPunct/>
              <w:topLinePunct w:val="0"/>
              <w:bidi w:val="0"/>
              <w:snapToGrid w:val="0"/>
              <w:spacing w:line="36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具有良好的商业信誉和健全的财务会计制度【</w:t>
            </w:r>
            <w:r>
              <w:rPr>
                <w:rFonts w:hint="eastAsia" w:ascii="仿宋" w:hAnsi="仿宋" w:eastAsia="仿宋" w:cs="仿宋"/>
                <w:color w:val="auto"/>
                <w:highlight w:val="none"/>
                <w:lang w:eastAsia="zh-CN"/>
              </w:rPr>
              <w:t>提供</w:t>
            </w:r>
            <w:r>
              <w:rPr>
                <w:rFonts w:hint="eastAsia" w:ascii="仿宋" w:hAnsi="仿宋" w:eastAsia="仿宋" w:cs="仿宋"/>
                <w:color w:val="auto"/>
                <w:highlight w:val="none"/>
                <w:lang w:val="en-US" w:eastAsia="zh-CN"/>
              </w:rPr>
              <w:t>2024</w:t>
            </w:r>
            <w:r>
              <w:rPr>
                <w:rFonts w:hint="eastAsia" w:ascii="仿宋" w:hAnsi="仿宋" w:eastAsia="仿宋" w:cs="仿宋"/>
                <w:color w:val="auto"/>
                <w:highlight w:val="none"/>
                <w:lang w:eastAsia="zh-CN"/>
              </w:rPr>
              <w:t>年度或</w:t>
            </w:r>
            <w:r>
              <w:rPr>
                <w:rFonts w:hint="eastAsia" w:ascii="仿宋" w:hAnsi="仿宋" w:eastAsia="仿宋" w:cs="仿宋"/>
                <w:color w:val="auto"/>
                <w:highlight w:val="none"/>
                <w:lang w:val="en-US" w:eastAsia="zh-CN"/>
              </w:rPr>
              <w:t>2025</w:t>
            </w:r>
            <w:r>
              <w:rPr>
                <w:rFonts w:hint="eastAsia" w:ascii="仿宋" w:hAnsi="仿宋" w:eastAsia="仿宋" w:cs="仿宋"/>
                <w:color w:val="auto"/>
                <w:highlight w:val="none"/>
                <w:lang w:eastAsia="zh-CN"/>
              </w:rPr>
              <w:t>年度的经审计的财务报告（成立不满一年不需提供）：供应商是法人的，应提供经审计的财务报告或其基本开户行出具的资信证明或相关行政部门认可的专业担保机构出具的投标担保函；其他组织和自然人，没有经审计的财务报告，可以提供银行出具的资信证明或相关行政部门认可的专业担保机构出具的投标担保函</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w:t>
            </w:r>
          </w:p>
        </w:tc>
        <w:tc>
          <w:tcPr>
            <w:tcW w:w="1131" w:type="dxa"/>
            <w:tcBorders>
              <w:top w:val="single" w:color="auto" w:sz="4" w:space="0"/>
              <w:left w:val="nil"/>
              <w:bottom w:val="single" w:color="auto" w:sz="4" w:space="0"/>
              <w:right w:val="single" w:color="auto" w:sz="4" w:space="0"/>
            </w:tcBorders>
            <w:vAlign w:val="center"/>
          </w:tcPr>
          <w:p w14:paraId="2825F964">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p>
        </w:tc>
      </w:tr>
      <w:tr w14:paraId="33B1B5AC">
        <w:tblPrEx>
          <w:tblCellMar>
            <w:top w:w="0" w:type="dxa"/>
            <w:left w:w="108" w:type="dxa"/>
            <w:bottom w:w="0" w:type="dxa"/>
            <w:right w:w="108" w:type="dxa"/>
          </w:tblCellMar>
        </w:tblPrEx>
        <w:trPr>
          <w:trHeight w:val="455"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4D41396C">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r>
              <w:rPr>
                <w:rFonts w:hint="eastAsia" w:ascii="仿宋" w:hAnsi="仿宋" w:eastAsia="仿宋" w:cs="仿宋"/>
                <w:color w:val="auto"/>
                <w:kern w:val="0"/>
                <w:highlight w:val="none"/>
              </w:rPr>
              <w:t>4</w:t>
            </w:r>
          </w:p>
        </w:tc>
        <w:tc>
          <w:tcPr>
            <w:tcW w:w="7545" w:type="dxa"/>
            <w:tcBorders>
              <w:top w:val="single" w:color="auto" w:sz="4" w:space="0"/>
              <w:left w:val="nil"/>
              <w:bottom w:val="single" w:color="auto" w:sz="4" w:space="0"/>
              <w:right w:val="single" w:color="auto" w:sz="4" w:space="0"/>
            </w:tcBorders>
          </w:tcPr>
          <w:p w14:paraId="7E95CDFF">
            <w:pPr>
              <w:keepNext w:val="0"/>
              <w:keepLines w:val="0"/>
              <w:pageBreakBefore w:val="0"/>
              <w:kinsoku/>
              <w:wordWrap/>
              <w:overflowPunct/>
              <w:topLinePunct w:val="0"/>
              <w:bidi w:val="0"/>
              <w:snapToGrid w:val="0"/>
              <w:spacing w:line="36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rPr>
              <w:t>具有履行合同所必需的设备和专业技术能力（提供承诺函，按第七章后附格式）；</w:t>
            </w:r>
          </w:p>
        </w:tc>
        <w:tc>
          <w:tcPr>
            <w:tcW w:w="1131" w:type="dxa"/>
            <w:tcBorders>
              <w:top w:val="single" w:color="auto" w:sz="4" w:space="0"/>
              <w:left w:val="nil"/>
              <w:bottom w:val="single" w:color="auto" w:sz="4" w:space="0"/>
              <w:right w:val="single" w:color="auto" w:sz="4" w:space="0"/>
            </w:tcBorders>
            <w:vAlign w:val="center"/>
          </w:tcPr>
          <w:p w14:paraId="0B959462">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p>
        </w:tc>
      </w:tr>
      <w:tr w14:paraId="1D5B586D">
        <w:tblPrEx>
          <w:tblCellMar>
            <w:top w:w="0" w:type="dxa"/>
            <w:left w:w="108" w:type="dxa"/>
            <w:bottom w:w="0" w:type="dxa"/>
            <w:right w:w="108" w:type="dxa"/>
          </w:tblCellMar>
        </w:tblPrEx>
        <w:trPr>
          <w:trHeight w:val="455"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6F4A5306">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r>
              <w:rPr>
                <w:rFonts w:hint="eastAsia" w:ascii="仿宋" w:hAnsi="仿宋" w:eastAsia="仿宋" w:cs="仿宋"/>
                <w:color w:val="auto"/>
                <w:kern w:val="0"/>
                <w:highlight w:val="none"/>
              </w:rPr>
              <w:t>5</w:t>
            </w:r>
          </w:p>
        </w:tc>
        <w:tc>
          <w:tcPr>
            <w:tcW w:w="7545" w:type="dxa"/>
            <w:tcBorders>
              <w:top w:val="single" w:color="auto" w:sz="4" w:space="0"/>
              <w:left w:val="nil"/>
              <w:bottom w:val="single" w:color="auto" w:sz="4" w:space="0"/>
              <w:right w:val="single" w:color="auto" w:sz="4" w:space="0"/>
            </w:tcBorders>
          </w:tcPr>
          <w:p w14:paraId="4624E842">
            <w:pPr>
              <w:keepNext w:val="0"/>
              <w:keepLines w:val="0"/>
              <w:pageBreakBefore w:val="0"/>
              <w:kinsoku/>
              <w:wordWrap/>
              <w:overflowPunct/>
              <w:topLinePunct w:val="0"/>
              <w:bidi w:val="0"/>
              <w:snapToGrid w:val="0"/>
              <w:spacing w:line="36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有依法缴纳税收和社会保障资金的良好记录（</w:t>
            </w:r>
            <w:r>
              <w:rPr>
                <w:rFonts w:hint="eastAsia" w:ascii="仿宋" w:hAnsi="仿宋" w:eastAsia="仿宋" w:cs="仿宋"/>
                <w:color w:val="auto"/>
                <w:highlight w:val="none"/>
                <w:lang w:eastAsia="zh-CN"/>
              </w:rPr>
              <w:t>提供自本公告发布日前6个月内任意1个月的依法缴纳税收和社会保障资金的相关材料</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w:t>
            </w:r>
          </w:p>
        </w:tc>
        <w:tc>
          <w:tcPr>
            <w:tcW w:w="1131" w:type="dxa"/>
            <w:tcBorders>
              <w:top w:val="single" w:color="auto" w:sz="4" w:space="0"/>
              <w:left w:val="nil"/>
              <w:bottom w:val="single" w:color="auto" w:sz="4" w:space="0"/>
              <w:right w:val="single" w:color="auto" w:sz="4" w:space="0"/>
            </w:tcBorders>
            <w:vAlign w:val="center"/>
          </w:tcPr>
          <w:p w14:paraId="4CD51E5A">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p>
        </w:tc>
      </w:tr>
      <w:tr w14:paraId="173C804F">
        <w:tblPrEx>
          <w:tblCellMar>
            <w:top w:w="0" w:type="dxa"/>
            <w:left w:w="108" w:type="dxa"/>
            <w:bottom w:w="0" w:type="dxa"/>
            <w:right w:w="108" w:type="dxa"/>
          </w:tblCellMar>
        </w:tblPrEx>
        <w:trPr>
          <w:trHeight w:val="455"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77E6651D">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6</w:t>
            </w:r>
          </w:p>
        </w:tc>
        <w:tc>
          <w:tcPr>
            <w:tcW w:w="7545" w:type="dxa"/>
            <w:tcBorders>
              <w:top w:val="single" w:color="auto" w:sz="4" w:space="0"/>
              <w:left w:val="nil"/>
              <w:bottom w:val="single" w:color="auto" w:sz="4" w:space="0"/>
              <w:right w:val="single" w:color="auto" w:sz="4" w:space="0"/>
            </w:tcBorders>
          </w:tcPr>
          <w:p w14:paraId="49992057">
            <w:pPr>
              <w:keepNext w:val="0"/>
              <w:keepLines w:val="0"/>
              <w:pageBreakBefore w:val="0"/>
              <w:kinsoku/>
              <w:wordWrap/>
              <w:overflowPunct/>
              <w:topLinePunct w:val="0"/>
              <w:bidi w:val="0"/>
              <w:snapToGrid w:val="0"/>
              <w:spacing w:line="360" w:lineRule="exact"/>
              <w:textAlignment w:val="auto"/>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lang w:val="en-US" w:eastAsia="zh-CN"/>
              </w:rPr>
              <w:t>拟投入本项目的律师团队人员不少于3人。其中，项目负责人（指首席顾问律师）必须为本单位正式职工，具有中华人民共和国国籍、通过全国统一司法考试，依法取得《律师执业证书》并经年度考核合格（提供①律师团队名单一览表格式自拟；②项目负责人有效的《律师执业证书》原件的复印件加盖公章；③项目负责人的身份证复印件加盖公章；④企业与项目负责人签订的有效劳动合同复印件加盖公章；⑤社保机构出具并盖章的投标供应商为项目负责人缴纳2025年09月-2026年02月连续六个月的养老保险缴费清单复印件）。</w:t>
            </w:r>
          </w:p>
        </w:tc>
        <w:tc>
          <w:tcPr>
            <w:tcW w:w="1131" w:type="dxa"/>
            <w:tcBorders>
              <w:top w:val="single" w:color="auto" w:sz="4" w:space="0"/>
              <w:left w:val="nil"/>
              <w:bottom w:val="single" w:color="auto" w:sz="4" w:space="0"/>
              <w:right w:val="single" w:color="auto" w:sz="4" w:space="0"/>
            </w:tcBorders>
            <w:vAlign w:val="center"/>
          </w:tcPr>
          <w:p w14:paraId="1749664D">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p>
        </w:tc>
      </w:tr>
      <w:tr w14:paraId="0DCD2335">
        <w:tblPrEx>
          <w:tblCellMar>
            <w:top w:w="0" w:type="dxa"/>
            <w:left w:w="108" w:type="dxa"/>
            <w:bottom w:w="0" w:type="dxa"/>
            <w:right w:w="108" w:type="dxa"/>
          </w:tblCellMar>
        </w:tblPrEx>
        <w:trPr>
          <w:trHeight w:val="455"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7CAFD6BE">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lang w:val="en-US" w:eastAsia="zh-CN"/>
              </w:rPr>
              <w:t>7</w:t>
            </w:r>
          </w:p>
        </w:tc>
        <w:tc>
          <w:tcPr>
            <w:tcW w:w="7545" w:type="dxa"/>
            <w:tcBorders>
              <w:top w:val="single" w:color="auto" w:sz="4" w:space="0"/>
              <w:left w:val="nil"/>
              <w:bottom w:val="single" w:color="auto" w:sz="4" w:space="0"/>
              <w:right w:val="single" w:color="auto" w:sz="4" w:space="0"/>
            </w:tcBorders>
          </w:tcPr>
          <w:p w14:paraId="6EDCD636">
            <w:pPr>
              <w:keepNext w:val="0"/>
              <w:keepLines w:val="0"/>
              <w:pageBreakBefore w:val="0"/>
              <w:kinsoku/>
              <w:wordWrap/>
              <w:overflowPunct/>
              <w:topLinePunct w:val="0"/>
              <w:bidi w:val="0"/>
              <w:snapToGrid w:val="0"/>
              <w:spacing w:line="36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提供参加本项目政府采购活动前3年内在经营活动中没有重大违法记录的书面声明（按第七章后附格式）</w:t>
            </w:r>
            <w:r>
              <w:rPr>
                <w:rFonts w:hint="eastAsia" w:ascii="仿宋" w:hAnsi="仿宋" w:eastAsia="仿宋" w:cs="仿宋"/>
                <w:color w:val="auto"/>
                <w:highlight w:val="none"/>
                <w:lang w:eastAsia="zh-CN"/>
              </w:rPr>
              <w:t>。</w:t>
            </w:r>
          </w:p>
        </w:tc>
        <w:tc>
          <w:tcPr>
            <w:tcW w:w="1131" w:type="dxa"/>
            <w:tcBorders>
              <w:top w:val="single" w:color="auto" w:sz="4" w:space="0"/>
              <w:left w:val="nil"/>
              <w:bottom w:val="single" w:color="auto" w:sz="4" w:space="0"/>
              <w:right w:val="single" w:color="auto" w:sz="4" w:space="0"/>
            </w:tcBorders>
            <w:vAlign w:val="center"/>
          </w:tcPr>
          <w:p w14:paraId="6CC5200A">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p>
        </w:tc>
      </w:tr>
      <w:tr w14:paraId="6E3CBCEC">
        <w:tblPrEx>
          <w:tblCellMar>
            <w:top w:w="0" w:type="dxa"/>
            <w:left w:w="108" w:type="dxa"/>
            <w:bottom w:w="0" w:type="dxa"/>
            <w:right w:w="108" w:type="dxa"/>
          </w:tblCellMar>
        </w:tblPrEx>
        <w:trPr>
          <w:trHeight w:val="498"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7AFE6892">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lang w:val="en-US" w:eastAsia="zh-CN"/>
              </w:rPr>
              <w:t>8</w:t>
            </w:r>
          </w:p>
        </w:tc>
        <w:tc>
          <w:tcPr>
            <w:tcW w:w="7545" w:type="dxa"/>
            <w:tcBorders>
              <w:top w:val="single" w:color="auto" w:sz="4" w:space="0"/>
              <w:left w:val="nil"/>
              <w:bottom w:val="single" w:color="auto" w:sz="4" w:space="0"/>
              <w:right w:val="single" w:color="auto" w:sz="4" w:space="0"/>
            </w:tcBorders>
            <w:vAlign w:val="center"/>
          </w:tcPr>
          <w:p w14:paraId="194D23B3">
            <w:pPr>
              <w:keepNext w:val="0"/>
              <w:keepLines w:val="0"/>
              <w:pageBreakBefore w:val="0"/>
              <w:widowControl/>
              <w:kinsoku/>
              <w:wordWrap/>
              <w:overflowPunct/>
              <w:topLinePunct w:val="0"/>
              <w:bidi w:val="0"/>
              <w:spacing w:line="360" w:lineRule="exact"/>
              <w:jc w:val="left"/>
              <w:textAlignment w:val="auto"/>
              <w:rPr>
                <w:rFonts w:hint="eastAsia" w:ascii="仿宋" w:hAnsi="仿宋" w:eastAsia="仿宋" w:cs="仿宋"/>
                <w:color w:val="auto"/>
                <w:kern w:val="0"/>
                <w:highlight w:val="none"/>
                <w:lang w:eastAsia="zh-CN"/>
              </w:rPr>
            </w:pPr>
            <w:r>
              <w:rPr>
                <w:rFonts w:hint="eastAsia" w:ascii="仿宋" w:hAnsi="仿宋" w:eastAsia="仿宋" w:cs="仿宋"/>
                <w:color w:val="auto"/>
                <w:highlight w:val="none"/>
              </w:rPr>
              <w:t>供应商响应文件函（按</w:t>
            </w:r>
            <w:r>
              <w:rPr>
                <w:rFonts w:hint="eastAsia" w:ascii="仿宋" w:hAnsi="仿宋" w:eastAsia="仿宋" w:cs="仿宋"/>
                <w:color w:val="auto"/>
                <w:highlight w:val="none"/>
                <w:lang w:eastAsia="zh-CN"/>
              </w:rPr>
              <w:t>公开招标</w:t>
            </w:r>
            <w:r>
              <w:rPr>
                <w:rFonts w:hint="eastAsia" w:ascii="仿宋" w:hAnsi="仿宋" w:eastAsia="仿宋" w:cs="仿宋"/>
                <w:color w:val="auto"/>
                <w:highlight w:val="none"/>
              </w:rPr>
              <w:t>文件第七章后附格式）</w:t>
            </w:r>
            <w:r>
              <w:rPr>
                <w:rFonts w:hint="eastAsia" w:ascii="仿宋" w:hAnsi="仿宋" w:eastAsia="仿宋" w:cs="仿宋"/>
                <w:color w:val="auto"/>
                <w:highlight w:val="none"/>
                <w:lang w:eastAsia="zh-CN"/>
              </w:rPr>
              <w:t>。</w:t>
            </w:r>
          </w:p>
        </w:tc>
        <w:tc>
          <w:tcPr>
            <w:tcW w:w="1131" w:type="dxa"/>
            <w:tcBorders>
              <w:top w:val="single" w:color="auto" w:sz="4" w:space="0"/>
              <w:left w:val="nil"/>
              <w:bottom w:val="single" w:color="auto" w:sz="4" w:space="0"/>
              <w:right w:val="single" w:color="auto" w:sz="4" w:space="0"/>
            </w:tcBorders>
            <w:vAlign w:val="center"/>
          </w:tcPr>
          <w:p w14:paraId="14D09909">
            <w:pPr>
              <w:keepNext w:val="0"/>
              <w:keepLines w:val="0"/>
              <w:pageBreakBefore w:val="0"/>
              <w:kinsoku/>
              <w:wordWrap/>
              <w:overflowPunct/>
              <w:topLinePunct w:val="0"/>
              <w:bidi w:val="0"/>
              <w:spacing w:line="360" w:lineRule="exact"/>
              <w:textAlignment w:val="auto"/>
              <w:rPr>
                <w:rFonts w:hint="eastAsia" w:ascii="仿宋" w:hAnsi="仿宋" w:eastAsia="仿宋" w:cs="仿宋"/>
                <w:color w:val="auto"/>
                <w:kern w:val="0"/>
                <w:highlight w:val="none"/>
              </w:rPr>
            </w:pPr>
          </w:p>
        </w:tc>
      </w:tr>
      <w:tr w14:paraId="043CB62D">
        <w:tblPrEx>
          <w:tblCellMar>
            <w:top w:w="0" w:type="dxa"/>
            <w:left w:w="108" w:type="dxa"/>
            <w:bottom w:w="0" w:type="dxa"/>
            <w:right w:w="108" w:type="dxa"/>
          </w:tblCellMar>
        </w:tblPrEx>
        <w:trPr>
          <w:trHeight w:val="1055"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7CA9BB52">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lang w:val="en-US" w:eastAsia="zh-CN"/>
              </w:rPr>
              <w:t>9</w:t>
            </w:r>
          </w:p>
        </w:tc>
        <w:tc>
          <w:tcPr>
            <w:tcW w:w="7545" w:type="dxa"/>
            <w:tcBorders>
              <w:top w:val="single" w:color="auto" w:sz="4" w:space="0"/>
              <w:left w:val="nil"/>
              <w:bottom w:val="single" w:color="auto" w:sz="4" w:space="0"/>
              <w:right w:val="single" w:color="auto" w:sz="4" w:space="0"/>
            </w:tcBorders>
            <w:vAlign w:val="center"/>
          </w:tcPr>
          <w:p w14:paraId="2AF5F629">
            <w:pPr>
              <w:keepNext w:val="0"/>
              <w:keepLines w:val="0"/>
              <w:pageBreakBefore w:val="0"/>
              <w:widowControl/>
              <w:kinsoku/>
              <w:wordWrap/>
              <w:overflowPunct/>
              <w:topLinePunct w:val="0"/>
              <w:bidi w:val="0"/>
              <w:spacing w:line="360" w:lineRule="exact"/>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kern w:val="0"/>
                <w:highlight w:val="none"/>
              </w:rPr>
              <w:t>供应商</w:t>
            </w:r>
            <w:r>
              <w:rPr>
                <w:rFonts w:hint="eastAsia" w:ascii="仿宋" w:hAnsi="仿宋" w:eastAsia="仿宋" w:cs="仿宋"/>
                <w:color w:val="auto"/>
                <w:kern w:val="0"/>
                <w:highlight w:val="none"/>
                <w:lang w:val="en-US" w:eastAsia="zh-CN"/>
              </w:rPr>
              <w:t>具有中华人民共和国</w:t>
            </w:r>
            <w:r>
              <w:rPr>
                <w:rFonts w:hint="eastAsia" w:ascii="仿宋" w:hAnsi="仿宋" w:eastAsia="仿宋" w:cs="仿宋"/>
                <w:color w:val="auto"/>
                <w:kern w:val="0"/>
                <w:highlight w:val="none"/>
              </w:rPr>
              <w:t>司法部门颁发的</w:t>
            </w:r>
            <w:r>
              <w:rPr>
                <w:rFonts w:hint="eastAsia" w:ascii="仿宋" w:hAnsi="仿宋" w:eastAsia="仿宋" w:cs="仿宋"/>
                <w:color w:val="auto"/>
                <w:kern w:val="0"/>
                <w:highlight w:val="none"/>
                <w:lang w:val="en-US" w:eastAsia="zh-CN"/>
              </w:rPr>
              <w:t>《律师事务所执业许可证》或《律师事务所分所执业许可证》。</w:t>
            </w:r>
          </w:p>
        </w:tc>
        <w:tc>
          <w:tcPr>
            <w:tcW w:w="1131" w:type="dxa"/>
            <w:tcBorders>
              <w:top w:val="single" w:color="auto" w:sz="4" w:space="0"/>
              <w:left w:val="nil"/>
              <w:bottom w:val="single" w:color="auto" w:sz="4" w:space="0"/>
              <w:right w:val="single" w:color="auto" w:sz="4" w:space="0"/>
            </w:tcBorders>
            <w:vAlign w:val="center"/>
          </w:tcPr>
          <w:p w14:paraId="5869D466">
            <w:pPr>
              <w:keepNext w:val="0"/>
              <w:keepLines w:val="0"/>
              <w:pageBreakBefore w:val="0"/>
              <w:kinsoku/>
              <w:wordWrap/>
              <w:overflowPunct/>
              <w:topLinePunct w:val="0"/>
              <w:bidi w:val="0"/>
              <w:spacing w:line="360" w:lineRule="exact"/>
              <w:textAlignment w:val="auto"/>
              <w:rPr>
                <w:rFonts w:hint="eastAsia" w:ascii="仿宋" w:hAnsi="仿宋" w:eastAsia="仿宋" w:cs="仿宋"/>
                <w:color w:val="auto"/>
                <w:kern w:val="0"/>
                <w:highlight w:val="none"/>
              </w:rPr>
            </w:pPr>
          </w:p>
        </w:tc>
      </w:tr>
      <w:tr w14:paraId="63D68F33">
        <w:tblPrEx>
          <w:tblCellMar>
            <w:top w:w="0" w:type="dxa"/>
            <w:left w:w="108" w:type="dxa"/>
            <w:bottom w:w="0" w:type="dxa"/>
            <w:right w:w="108" w:type="dxa"/>
          </w:tblCellMar>
        </w:tblPrEx>
        <w:trPr>
          <w:trHeight w:val="55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4CFBD0EC">
            <w:pPr>
              <w:keepNext w:val="0"/>
              <w:keepLines w:val="0"/>
              <w:pageBreakBefore w:val="0"/>
              <w:widowControl/>
              <w:kinsoku/>
              <w:wordWrap/>
              <w:overflowPunct/>
              <w:topLinePunct w:val="0"/>
              <w:bidi w:val="0"/>
              <w:spacing w:line="360" w:lineRule="exact"/>
              <w:jc w:val="center"/>
              <w:textAlignment w:val="auto"/>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10</w:t>
            </w:r>
          </w:p>
        </w:tc>
        <w:tc>
          <w:tcPr>
            <w:tcW w:w="7545" w:type="dxa"/>
            <w:tcBorders>
              <w:top w:val="single" w:color="auto" w:sz="4" w:space="0"/>
              <w:left w:val="nil"/>
              <w:bottom w:val="single" w:color="auto" w:sz="4" w:space="0"/>
              <w:right w:val="single" w:color="auto" w:sz="4" w:space="0"/>
            </w:tcBorders>
            <w:vAlign w:val="center"/>
          </w:tcPr>
          <w:p w14:paraId="0197DDD0">
            <w:pPr>
              <w:keepNext w:val="0"/>
              <w:keepLines w:val="0"/>
              <w:pageBreakBefore w:val="0"/>
              <w:widowControl/>
              <w:kinsoku/>
              <w:wordWrap/>
              <w:overflowPunct/>
              <w:topLinePunct w:val="0"/>
              <w:bidi w:val="0"/>
              <w:spacing w:line="360" w:lineRule="exact"/>
              <w:jc w:val="both"/>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供应商认为其他必要的材料。</w:t>
            </w:r>
          </w:p>
        </w:tc>
        <w:tc>
          <w:tcPr>
            <w:tcW w:w="1131" w:type="dxa"/>
            <w:tcBorders>
              <w:top w:val="single" w:color="auto" w:sz="4" w:space="0"/>
              <w:left w:val="nil"/>
              <w:bottom w:val="single" w:color="auto" w:sz="4" w:space="0"/>
              <w:right w:val="single" w:color="auto" w:sz="4" w:space="0"/>
            </w:tcBorders>
            <w:vAlign w:val="center"/>
          </w:tcPr>
          <w:p w14:paraId="537F6977">
            <w:pPr>
              <w:keepNext w:val="0"/>
              <w:keepLines w:val="0"/>
              <w:pageBreakBefore w:val="0"/>
              <w:widowControl/>
              <w:kinsoku/>
              <w:wordWrap/>
              <w:overflowPunct/>
              <w:topLinePunct w:val="0"/>
              <w:bidi w:val="0"/>
              <w:spacing w:line="360" w:lineRule="exact"/>
              <w:jc w:val="center"/>
              <w:textAlignment w:val="auto"/>
              <w:rPr>
                <w:rFonts w:hint="eastAsia" w:ascii="仿宋" w:hAnsi="仿宋" w:eastAsia="仿宋" w:cs="仿宋"/>
                <w:color w:val="auto"/>
                <w:kern w:val="0"/>
                <w:highlight w:val="none"/>
              </w:rPr>
            </w:pPr>
          </w:p>
        </w:tc>
      </w:tr>
    </w:tbl>
    <w:p w14:paraId="7C2C3596">
      <w:pPr>
        <w:keepNext w:val="0"/>
        <w:keepLines w:val="0"/>
        <w:pageBreakBefore w:val="0"/>
        <w:kinsoku/>
        <w:wordWrap/>
        <w:overflowPunct/>
        <w:topLinePunct w:val="0"/>
        <w:autoSpaceDE w:val="0"/>
        <w:autoSpaceDN w:val="0"/>
        <w:bidi w:val="0"/>
        <w:adjustRightInd w:val="0"/>
        <w:spacing w:line="3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法定代表人或其委托人签字：</w:t>
      </w:r>
    </w:p>
    <w:p w14:paraId="74F459D4">
      <w:pPr>
        <w:keepNext w:val="0"/>
        <w:keepLines w:val="0"/>
        <w:pageBreakBefore w:val="0"/>
        <w:kinsoku/>
        <w:wordWrap/>
        <w:overflowPunct/>
        <w:topLinePunct w:val="0"/>
        <w:autoSpaceDE w:val="0"/>
        <w:autoSpaceDN w:val="0"/>
        <w:bidi w:val="0"/>
        <w:adjustRightInd w:val="0"/>
        <w:spacing w:line="3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供应商盖章：</w:t>
      </w:r>
    </w:p>
    <w:p w14:paraId="70B0DB22">
      <w:pPr>
        <w:keepNext w:val="0"/>
        <w:keepLines w:val="0"/>
        <w:pageBreakBefore w:val="0"/>
        <w:kinsoku/>
        <w:wordWrap/>
        <w:overflowPunct/>
        <w:topLinePunct w:val="0"/>
        <w:autoSpaceDE w:val="0"/>
        <w:autoSpaceDN w:val="0"/>
        <w:bidi w:val="0"/>
        <w:adjustRightInd w:val="0"/>
        <w:spacing w:line="3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注：以上表格由供应商填写。</w:t>
      </w:r>
    </w:p>
    <w:p w14:paraId="4A5D3C7D">
      <w:pPr>
        <w:pStyle w:val="9"/>
        <w:pageBreakBefore w:val="0"/>
        <w:kinsoku/>
        <w:wordWrap/>
        <w:overflowPunct/>
        <w:topLinePunct w:val="0"/>
        <w:bidi w:val="0"/>
        <w:spacing w:line="360" w:lineRule="auto"/>
        <w:rPr>
          <w:rFonts w:hint="eastAsia" w:ascii="仿宋" w:hAnsi="仿宋" w:eastAsia="仿宋" w:cs="仿宋"/>
          <w:color w:val="auto"/>
          <w:highlight w:val="none"/>
        </w:rPr>
      </w:pPr>
    </w:p>
    <w:p w14:paraId="5AF6FFCF">
      <w:pPr>
        <w:pageBreakBefore w:val="0"/>
        <w:kinsoku/>
        <w:wordWrap/>
        <w:overflowPunct/>
        <w:topLinePunct w:val="0"/>
        <w:bidi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4D9C2607">
      <w:pPr>
        <w:pageBreakBefore w:val="0"/>
        <w:kinsoku/>
        <w:wordWrap/>
        <w:overflowPunct/>
        <w:topLinePunct w:val="0"/>
        <w:bidi w:val="0"/>
        <w:snapToGrid w:val="0"/>
        <w:spacing w:line="360" w:lineRule="auto"/>
        <w:jc w:val="center"/>
        <w:outlineLvl w:val="4"/>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1、法定代表人身份证明</w:t>
      </w:r>
    </w:p>
    <w:p w14:paraId="54F2F55E">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rPr>
      </w:pPr>
    </w:p>
    <w:p w14:paraId="0AC2C267">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u w:val="single"/>
        </w:rPr>
        <w:t>（采购人）</w:t>
      </w:r>
      <w:r>
        <w:rPr>
          <w:rFonts w:hint="eastAsia" w:ascii="仿宋" w:hAnsi="仿宋" w:eastAsia="仿宋" w:cs="仿宋"/>
          <w:color w:val="auto"/>
          <w:sz w:val="24"/>
          <w:szCs w:val="24"/>
          <w:highlight w:val="none"/>
        </w:rPr>
        <w:t>：</w:t>
      </w:r>
    </w:p>
    <w:p w14:paraId="3B3A4723">
      <w:pPr>
        <w:pageBreakBefore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我公司法定代表人参加贵单位组织的（采购</w:t>
      </w:r>
      <w:r>
        <w:rPr>
          <w:rFonts w:hint="eastAsia" w:ascii="仿宋" w:hAnsi="仿宋" w:eastAsia="仿宋" w:cs="仿宋"/>
          <w:color w:val="auto"/>
          <w:sz w:val="24"/>
          <w:szCs w:val="24"/>
          <w:highlight w:val="none"/>
          <w:lang w:eastAsia="zh-CN"/>
        </w:rPr>
        <w:t>项目名称</w:t>
      </w:r>
      <w:r>
        <w:rPr>
          <w:rFonts w:hint="eastAsia" w:ascii="仿宋" w:hAnsi="仿宋" w:eastAsia="仿宋" w:cs="仿宋"/>
          <w:color w:val="auto"/>
          <w:sz w:val="24"/>
          <w:szCs w:val="24"/>
          <w:highlight w:val="none"/>
        </w:rPr>
        <w:t>)项目公开招标采购活动，全权代表我公司处理投标的有关事宜。</w:t>
      </w:r>
    </w:p>
    <w:p w14:paraId="1F7941E6">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附：法定代表人情况：</w:t>
      </w:r>
    </w:p>
    <w:p w14:paraId="304CF20E">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职务：</w:t>
      </w:r>
    </w:p>
    <w:p w14:paraId="6DD64DDF">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p w14:paraId="379D805D">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传真：</w:t>
      </w:r>
    </w:p>
    <w:p w14:paraId="67A634D9">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14:paraId="0A41F298">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法定代表人（签字）</w:t>
      </w:r>
    </w:p>
    <w:p w14:paraId="23187534">
      <w:pPr>
        <w:pageBreakBefore w:val="0"/>
        <w:kinsoku/>
        <w:wordWrap/>
        <w:overflowPunct/>
        <w:topLinePunct w:val="0"/>
        <w:bidi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4594EA74">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rPr>
      </w:pPr>
    </w:p>
    <w:p w14:paraId="4FF07952">
      <w:pPr>
        <w:pageBreakBefore w:val="0"/>
        <w:kinsoku/>
        <w:wordWrap/>
        <w:overflowPunct/>
        <w:topLinePunct w:val="0"/>
        <w:bidi w:val="0"/>
        <w:snapToGrid w:val="0"/>
        <w:spacing w:line="360" w:lineRule="auto"/>
        <w:rPr>
          <w:rFonts w:hint="eastAsia" w:ascii="仿宋" w:hAnsi="仿宋" w:eastAsia="仿宋" w:cs="仿宋"/>
          <w:color w:val="auto"/>
          <w:sz w:val="24"/>
          <w:szCs w:val="24"/>
          <w:highlight w:val="none"/>
        </w:rPr>
      </w:pPr>
    </w:p>
    <w:p w14:paraId="29240FDE">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法定代表人身份证复印件正反两面</w:t>
      </w:r>
    </w:p>
    <w:p w14:paraId="232B18C2">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p w14:paraId="6C321BDB">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（粘贴此处）</w:t>
      </w:r>
    </w:p>
    <w:p w14:paraId="0C086C60">
      <w:pPr>
        <w:pageBreakBefore w:val="0"/>
        <w:kinsoku/>
        <w:wordWrap/>
        <w:overflowPunct/>
        <w:topLinePunct w:val="0"/>
        <w:bidi w:val="0"/>
        <w:snapToGrid w:val="0"/>
        <w:spacing w:line="360" w:lineRule="auto"/>
        <w:ind w:firstLine="2280" w:firstLineChars="950"/>
        <w:rPr>
          <w:rFonts w:hint="eastAsia" w:ascii="仿宋" w:hAnsi="仿宋" w:eastAsia="仿宋" w:cs="仿宋"/>
          <w:color w:val="auto"/>
          <w:sz w:val="24"/>
          <w:szCs w:val="24"/>
          <w:highlight w:val="none"/>
        </w:rPr>
      </w:pPr>
    </w:p>
    <w:p w14:paraId="443E0FB2">
      <w:pPr>
        <w:pageBreakBefore w:val="0"/>
        <w:kinsoku/>
        <w:wordWrap/>
        <w:overflowPunct/>
        <w:topLinePunct w:val="0"/>
        <w:bidi w:val="0"/>
        <w:snapToGrid w:val="0"/>
        <w:spacing w:line="360" w:lineRule="auto"/>
        <w:ind w:firstLine="2280" w:firstLineChars="950"/>
        <w:rPr>
          <w:rFonts w:hint="eastAsia" w:ascii="仿宋" w:hAnsi="仿宋" w:eastAsia="仿宋" w:cs="仿宋"/>
          <w:color w:val="auto"/>
          <w:sz w:val="24"/>
          <w:szCs w:val="24"/>
          <w:highlight w:val="none"/>
        </w:rPr>
      </w:pPr>
    </w:p>
    <w:p w14:paraId="5A08CCD6">
      <w:pPr>
        <w:pageBreakBefore w:val="0"/>
        <w:kinsoku/>
        <w:wordWrap/>
        <w:overflowPunct/>
        <w:topLinePunct w:val="0"/>
        <w:bidi w:val="0"/>
        <w:snapToGrid w:val="0"/>
        <w:spacing w:line="360" w:lineRule="auto"/>
        <w:jc w:val="center"/>
        <w:outlineLvl w:val="4"/>
        <w:rPr>
          <w:rFonts w:hint="eastAsia" w:ascii="仿宋" w:hAnsi="仿宋" w:eastAsia="仿宋" w:cs="仿宋"/>
          <w:b/>
          <w:bCs/>
          <w:color w:val="auto"/>
          <w:sz w:val="24"/>
          <w:szCs w:val="24"/>
          <w:highlight w:val="none"/>
        </w:rPr>
      </w:pPr>
    </w:p>
    <w:p w14:paraId="0AF1D236">
      <w:pPr>
        <w:pageBreakBefore w:val="0"/>
        <w:kinsoku/>
        <w:wordWrap/>
        <w:overflowPunct/>
        <w:topLinePunct w:val="0"/>
        <w:bidi w:val="0"/>
        <w:snapToGrid w:val="0"/>
        <w:spacing w:line="360" w:lineRule="auto"/>
        <w:jc w:val="center"/>
        <w:outlineLvl w:val="4"/>
        <w:rPr>
          <w:rFonts w:hint="eastAsia" w:ascii="仿宋" w:hAnsi="仿宋" w:eastAsia="仿宋" w:cs="仿宋"/>
          <w:b/>
          <w:bCs/>
          <w:color w:val="auto"/>
          <w:sz w:val="24"/>
          <w:szCs w:val="24"/>
          <w:highlight w:val="none"/>
        </w:rPr>
      </w:pPr>
    </w:p>
    <w:p w14:paraId="22F1C415">
      <w:pPr>
        <w:pageBreakBefore w:val="0"/>
        <w:kinsoku/>
        <w:wordWrap/>
        <w:overflowPunct/>
        <w:topLinePunct w:val="0"/>
        <w:bidi w:val="0"/>
        <w:snapToGrid w:val="0"/>
        <w:spacing w:line="360" w:lineRule="auto"/>
        <w:jc w:val="center"/>
        <w:outlineLvl w:val="4"/>
        <w:rPr>
          <w:rFonts w:hint="eastAsia" w:ascii="仿宋" w:hAnsi="仿宋" w:eastAsia="仿宋" w:cs="仿宋"/>
          <w:b/>
          <w:bCs/>
          <w:color w:val="auto"/>
          <w:sz w:val="24"/>
          <w:szCs w:val="24"/>
          <w:highlight w:val="none"/>
        </w:rPr>
      </w:pPr>
    </w:p>
    <w:p w14:paraId="7F4411BE">
      <w:pPr>
        <w:pageBreakBefore w:val="0"/>
        <w:widowControl/>
        <w:kinsoku/>
        <w:wordWrap/>
        <w:overflowPunct/>
        <w:topLinePunct w:val="0"/>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785876F2">
      <w:pPr>
        <w:pageBreakBefore w:val="0"/>
        <w:kinsoku/>
        <w:wordWrap/>
        <w:overflowPunct/>
        <w:topLinePunct w:val="0"/>
        <w:bidi w:val="0"/>
        <w:snapToGrid w:val="0"/>
        <w:spacing w:line="360" w:lineRule="auto"/>
        <w:ind w:firstLine="2811" w:firstLineChars="1000"/>
        <w:outlineLvl w:val="4"/>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2、法定代表人授权委托书</w:t>
      </w:r>
    </w:p>
    <w:p w14:paraId="20B6FC66">
      <w:pPr>
        <w:pageBreakBefore w:val="0"/>
        <w:kinsoku/>
        <w:wordWrap/>
        <w:overflowPunct/>
        <w:topLinePunct w:val="0"/>
        <w:bidi w:val="0"/>
        <w:snapToGrid w:val="0"/>
        <w:spacing w:line="360" w:lineRule="auto"/>
        <w:textAlignment w:val="baseline"/>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color="000000"/>
          <w:lang w:eastAsia="zh-CN"/>
        </w:rPr>
        <w:t>（</w:t>
      </w:r>
      <w:r>
        <w:rPr>
          <w:rFonts w:hint="eastAsia" w:ascii="仿宋" w:hAnsi="仿宋" w:eastAsia="仿宋" w:cs="仿宋"/>
          <w:color w:val="auto"/>
          <w:sz w:val="24"/>
          <w:szCs w:val="24"/>
          <w:highlight w:val="none"/>
          <w:u w:val="single" w:color="000000"/>
          <w:lang w:val="en-US" w:eastAsia="zh-CN"/>
        </w:rPr>
        <w:t>采购人</w:t>
      </w:r>
      <w:r>
        <w:rPr>
          <w:rFonts w:hint="eastAsia" w:ascii="仿宋" w:hAnsi="仿宋" w:eastAsia="仿宋" w:cs="仿宋"/>
          <w:color w:val="auto"/>
          <w:sz w:val="24"/>
          <w:szCs w:val="24"/>
          <w:highlight w:val="none"/>
          <w:u w:val="single" w:color="000000"/>
          <w:lang w:eastAsia="zh-CN"/>
        </w:rPr>
        <w:t>）</w:t>
      </w:r>
      <w:r>
        <w:rPr>
          <w:rFonts w:hint="eastAsia" w:ascii="仿宋" w:hAnsi="仿宋" w:eastAsia="仿宋" w:cs="仿宋"/>
          <w:color w:val="auto"/>
          <w:sz w:val="24"/>
          <w:szCs w:val="24"/>
          <w:highlight w:val="none"/>
          <w:u w:val="single" w:color="000000"/>
        </w:rPr>
        <w:t>：</w:t>
      </w:r>
    </w:p>
    <w:p w14:paraId="77722844">
      <w:pPr>
        <w:pageBreakBefore w:val="0"/>
        <w:kinsoku/>
        <w:wordWrap/>
        <w:overflowPunct/>
        <w:topLinePunct w:val="0"/>
        <w:bidi w:val="0"/>
        <w:snapToGrid w:val="0"/>
        <w:spacing w:line="360" w:lineRule="auto"/>
        <w:ind w:firstLine="484" w:firstLineChars="2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本授权委托书声明：我</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（姓名）系</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（供应商名称）的法定代表人，现授权委托</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（姓名）为我公司</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被委托</w:t>
      </w:r>
      <w:r>
        <w:rPr>
          <w:rFonts w:hint="eastAsia" w:ascii="仿宋" w:hAnsi="仿宋" w:eastAsia="仿宋" w:cs="仿宋"/>
          <w:color w:val="auto"/>
          <w:sz w:val="24"/>
          <w:szCs w:val="24"/>
          <w:highlight w:val="none"/>
          <w:lang w:eastAsia="zh-CN"/>
        </w:rPr>
        <w:t>授</w:t>
      </w:r>
      <w:r>
        <w:rPr>
          <w:rFonts w:hint="eastAsia" w:ascii="仿宋" w:hAnsi="仿宋" w:eastAsia="仿宋" w:cs="仿宋"/>
          <w:color w:val="auto"/>
          <w:sz w:val="24"/>
          <w:szCs w:val="24"/>
          <w:highlight w:val="none"/>
        </w:rPr>
        <w:t>权人，以本公司的名义参加本项目的</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活动。被委托</w:t>
      </w:r>
      <w:r>
        <w:rPr>
          <w:rFonts w:hint="eastAsia" w:ascii="仿宋" w:hAnsi="仿宋" w:eastAsia="仿宋" w:cs="仿宋"/>
          <w:color w:val="auto"/>
          <w:sz w:val="24"/>
          <w:szCs w:val="24"/>
          <w:highlight w:val="none"/>
          <w:lang w:eastAsia="zh-CN"/>
        </w:rPr>
        <w:t>授</w:t>
      </w:r>
      <w:r>
        <w:rPr>
          <w:rFonts w:hint="eastAsia" w:ascii="仿宋" w:hAnsi="仿宋" w:eastAsia="仿宋" w:cs="仿宋"/>
          <w:color w:val="auto"/>
          <w:sz w:val="24"/>
          <w:szCs w:val="24"/>
          <w:highlight w:val="none"/>
        </w:rPr>
        <w:t>权人在开标、评审活动、合同谈判过程中所签署的一切文件和处理与之有关的一切事务，我均予以承认。</w:t>
      </w:r>
    </w:p>
    <w:p w14:paraId="6B15CB5E">
      <w:pPr>
        <w:pageBreakBefore w:val="0"/>
        <w:kinsoku/>
        <w:wordWrap/>
        <w:overflowPunct/>
        <w:topLinePunct w:val="0"/>
        <w:bidi w:val="0"/>
        <w:snapToGrid w:val="0"/>
        <w:spacing w:line="360" w:lineRule="auto"/>
        <w:ind w:firstLine="484" w:firstLineChars="2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被委托</w:t>
      </w:r>
      <w:r>
        <w:rPr>
          <w:rFonts w:hint="eastAsia" w:ascii="仿宋" w:hAnsi="仿宋" w:eastAsia="仿宋" w:cs="仿宋"/>
          <w:color w:val="auto"/>
          <w:sz w:val="24"/>
          <w:szCs w:val="24"/>
          <w:highlight w:val="none"/>
          <w:lang w:eastAsia="zh-CN"/>
        </w:rPr>
        <w:t>授</w:t>
      </w:r>
      <w:r>
        <w:rPr>
          <w:rFonts w:hint="eastAsia" w:ascii="仿宋" w:hAnsi="仿宋" w:eastAsia="仿宋" w:cs="仿宋"/>
          <w:color w:val="auto"/>
          <w:sz w:val="24"/>
          <w:szCs w:val="24"/>
          <w:highlight w:val="none"/>
        </w:rPr>
        <w:t>权人无转委权。特此委托。</w:t>
      </w:r>
    </w:p>
    <w:p w14:paraId="16EDD6B5">
      <w:pPr>
        <w:pStyle w:val="9"/>
        <w:pageBreakBefore w:val="0"/>
        <w:kinsoku/>
        <w:wordWrap/>
        <w:overflowPunct/>
        <w:topLinePunct w:val="0"/>
        <w:bidi w:val="0"/>
        <w:snapToGrid w:val="0"/>
        <w:spacing w:line="360" w:lineRule="auto"/>
        <w:textAlignment w:val="baseline"/>
        <w:rPr>
          <w:rFonts w:hint="eastAsia" w:ascii="仿宋" w:hAnsi="仿宋" w:eastAsia="仿宋" w:cs="仿宋"/>
          <w:color w:val="auto"/>
          <w:szCs w:val="24"/>
          <w:highlight w:val="none"/>
        </w:rPr>
      </w:pPr>
    </w:p>
    <w:p w14:paraId="1623CB5E">
      <w:pPr>
        <w:pageBreakBefore w:val="0"/>
        <w:kinsoku/>
        <w:wordWrap/>
        <w:overflowPunct/>
        <w:topLinePunct w:val="0"/>
        <w:bidi w:val="0"/>
        <w:snapToGrid w:val="0"/>
        <w:spacing w:line="360" w:lineRule="auto"/>
        <w:ind w:firstLine="484" w:firstLineChars="2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p>
    <w:p w14:paraId="3E7BCB3F">
      <w:pPr>
        <w:pageBreakBefore w:val="0"/>
        <w:kinsoku/>
        <w:wordWrap/>
        <w:overflowPunct/>
        <w:topLinePunct w:val="0"/>
        <w:bidi w:val="0"/>
        <w:snapToGrid w:val="0"/>
        <w:spacing w:line="360" w:lineRule="auto"/>
        <w:ind w:firstLine="484" w:firstLineChars="2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被委托</w:t>
      </w:r>
      <w:r>
        <w:rPr>
          <w:rFonts w:hint="eastAsia" w:ascii="仿宋" w:hAnsi="仿宋" w:eastAsia="仿宋" w:cs="仿宋"/>
          <w:color w:val="auto"/>
          <w:sz w:val="24"/>
          <w:szCs w:val="24"/>
          <w:highlight w:val="none"/>
          <w:lang w:eastAsia="zh-CN"/>
        </w:rPr>
        <w:t>授</w:t>
      </w:r>
      <w:r>
        <w:rPr>
          <w:rFonts w:hint="eastAsia" w:ascii="仿宋" w:hAnsi="仿宋" w:eastAsia="仿宋" w:cs="仿宋"/>
          <w:color w:val="auto"/>
          <w:sz w:val="24"/>
          <w:szCs w:val="24"/>
          <w:highlight w:val="none"/>
        </w:rPr>
        <w:t>权人身份证号：</w:t>
      </w:r>
    </w:p>
    <w:p w14:paraId="611D64CC">
      <w:pPr>
        <w:pageBreakBefore w:val="0"/>
        <w:kinsoku/>
        <w:wordWrap/>
        <w:overflowPunct/>
        <w:topLinePunct w:val="0"/>
        <w:bidi w:val="0"/>
        <w:snapToGrid w:val="0"/>
        <w:spacing w:line="360" w:lineRule="auto"/>
        <w:ind w:firstLine="484" w:firstLineChars="2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被委托</w:t>
      </w:r>
      <w:r>
        <w:rPr>
          <w:rFonts w:hint="eastAsia" w:ascii="仿宋" w:hAnsi="仿宋" w:eastAsia="仿宋" w:cs="仿宋"/>
          <w:color w:val="auto"/>
          <w:sz w:val="24"/>
          <w:szCs w:val="24"/>
          <w:highlight w:val="none"/>
          <w:lang w:eastAsia="zh-CN"/>
        </w:rPr>
        <w:t>授</w:t>
      </w:r>
      <w:r>
        <w:rPr>
          <w:rFonts w:hint="eastAsia" w:ascii="仿宋" w:hAnsi="仿宋" w:eastAsia="仿宋" w:cs="仿宋"/>
          <w:color w:val="auto"/>
          <w:sz w:val="24"/>
          <w:szCs w:val="24"/>
          <w:highlight w:val="none"/>
        </w:rPr>
        <w:t>权人签字：</w:t>
      </w:r>
    </w:p>
    <w:p w14:paraId="7296E5EC">
      <w:pPr>
        <w:pageBreakBefore w:val="0"/>
        <w:kinsoku/>
        <w:wordWrap/>
        <w:overflowPunct/>
        <w:topLinePunct w:val="0"/>
        <w:bidi w:val="0"/>
        <w:snapToGrid w:val="0"/>
        <w:spacing w:line="360" w:lineRule="auto"/>
        <w:jc w:val="righ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竞响应单位：（加盖公章）</w:t>
      </w:r>
    </w:p>
    <w:p w14:paraId="5C05026A">
      <w:pPr>
        <w:pageBreakBefore w:val="0"/>
        <w:kinsoku/>
        <w:wordWrap/>
        <w:overflowPunct/>
        <w:topLinePunct w:val="0"/>
        <w:bidi w:val="0"/>
        <w:snapToGrid w:val="0"/>
        <w:spacing w:line="360" w:lineRule="auto"/>
        <w:ind w:firstLine="484" w:firstLineChars="202"/>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年      月     日</w:t>
      </w:r>
    </w:p>
    <w:p w14:paraId="29860A10">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6A7D6B8">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p w14:paraId="3E1DD892">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法定代表人身份证复印件正反两面</w:t>
      </w:r>
    </w:p>
    <w:p w14:paraId="325957B6">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p w14:paraId="4B9E3263">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（粘贴此处）</w:t>
      </w:r>
    </w:p>
    <w:p w14:paraId="5338C8B6">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2E68643C">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被委托授权人的身份证复印件正反两面</w:t>
      </w:r>
    </w:p>
    <w:p w14:paraId="414886ED">
      <w:pPr>
        <w:pStyle w:val="87"/>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p>
    <w:p w14:paraId="1C4611F6">
      <w:pPr>
        <w:pStyle w:val="87"/>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（粘贴此处）</w:t>
      </w:r>
    </w:p>
    <w:p w14:paraId="013248ED">
      <w:pPr>
        <w:pStyle w:val="88"/>
        <w:pageBreakBefore w:val="0"/>
        <w:kinsoku/>
        <w:wordWrap/>
        <w:overflowPunct/>
        <w:topLinePunct w:val="0"/>
        <w:bidi w:val="0"/>
        <w:spacing w:line="360" w:lineRule="auto"/>
        <w:rPr>
          <w:rFonts w:hint="eastAsia"/>
          <w:highlight w:val="none"/>
        </w:rPr>
      </w:pPr>
    </w:p>
    <w:p w14:paraId="30BBF1F5">
      <w:pPr>
        <w:pStyle w:val="87"/>
        <w:pageBreakBefore w:val="0"/>
        <w:kinsoku/>
        <w:wordWrap/>
        <w:overflowPunct/>
        <w:topLinePunct w:val="0"/>
        <w:bidi w:val="0"/>
        <w:snapToGrid w:val="0"/>
        <w:spacing w:line="360" w:lineRule="auto"/>
        <w:ind w:firstLine="0"/>
        <w:jc w:val="left"/>
        <w:rPr>
          <w:rFonts w:hint="eastAsia" w:ascii="仿宋" w:hAnsi="仿宋" w:eastAsia="仿宋" w:cs="仿宋"/>
          <w:color w:val="auto"/>
          <w:sz w:val="24"/>
          <w:szCs w:val="24"/>
          <w:highlight w:val="none"/>
          <w:lang w:val="en-US" w:eastAsia="zh-CN"/>
        </w:rPr>
      </w:pPr>
    </w:p>
    <w:p w14:paraId="664565B8">
      <w:pPr>
        <w:pStyle w:val="87"/>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3830438">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7CD2FD86">
      <w:pPr>
        <w:pageBreakBefore w:val="0"/>
        <w:kinsoku/>
        <w:wordWrap/>
        <w:overflowPunct/>
        <w:topLinePunct w:val="0"/>
        <w:bidi w:val="0"/>
        <w:snapToGrid w:val="0"/>
        <w:spacing w:line="360" w:lineRule="auto"/>
        <w:jc w:val="center"/>
        <w:outlineLvl w:val="4"/>
        <w:rPr>
          <w:rFonts w:hint="eastAsia" w:ascii="仿宋" w:hAnsi="仿宋" w:eastAsia="仿宋" w:cs="仿宋"/>
          <w:b/>
          <w:bCs/>
          <w:color w:val="auto"/>
          <w:sz w:val="24"/>
          <w:szCs w:val="24"/>
          <w:highlight w:val="none"/>
        </w:rPr>
      </w:pPr>
      <w:bookmarkStart w:id="115" w:name="_Toc482189589"/>
      <w:bookmarkEnd w:id="115"/>
      <w:bookmarkStart w:id="116" w:name="_Toc482192403"/>
      <w:bookmarkEnd w:id="116"/>
    </w:p>
    <w:p w14:paraId="2AD98814">
      <w:pPr>
        <w:pageBreakBefore w:val="0"/>
        <w:kinsoku/>
        <w:wordWrap/>
        <w:overflowPunct/>
        <w:topLinePunct w:val="0"/>
        <w:bidi w:val="0"/>
        <w:snapToGrid w:val="0"/>
        <w:spacing w:line="360" w:lineRule="auto"/>
        <w:outlineLvl w:val="4"/>
        <w:rPr>
          <w:rFonts w:hint="eastAsia" w:ascii="仿宋" w:hAnsi="仿宋" w:eastAsia="仿宋" w:cs="仿宋"/>
          <w:b/>
          <w:bCs/>
          <w:color w:val="auto"/>
          <w:sz w:val="24"/>
          <w:szCs w:val="24"/>
          <w:highlight w:val="none"/>
        </w:rPr>
      </w:pPr>
    </w:p>
    <w:p w14:paraId="5614872A">
      <w:pPr>
        <w:pStyle w:val="21"/>
        <w:pageBreakBefore w:val="0"/>
        <w:kinsoku/>
        <w:wordWrap/>
        <w:overflowPunct/>
        <w:topLinePunct w:val="0"/>
        <w:bidi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99BDA36">
      <w:pPr>
        <w:pageBreakBefore w:val="0"/>
        <w:kinsoku/>
        <w:wordWrap/>
        <w:overflowPunct/>
        <w:topLinePunct w:val="0"/>
        <w:bidi w:val="0"/>
        <w:snapToGrid w:val="0"/>
        <w:spacing w:line="360" w:lineRule="auto"/>
        <w:ind w:firstLine="1105" w:firstLineChars="393"/>
        <w:jc w:val="center"/>
        <w:outlineLvl w:val="4"/>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3、供应商响应文件函</w:t>
      </w:r>
      <w:bookmarkStart w:id="117" w:name="_Toc501715517"/>
      <w:bookmarkEnd w:id="117"/>
      <w:bookmarkStart w:id="118" w:name="_Toc505331181"/>
      <w:bookmarkEnd w:id="118"/>
    </w:p>
    <w:p w14:paraId="67A4B961">
      <w:pPr>
        <w:pageBreakBefore w:val="0"/>
        <w:kinsoku/>
        <w:wordWrap/>
        <w:overflowPunct/>
        <w:topLinePunct w:val="0"/>
        <w:bidi w:val="0"/>
        <w:snapToGrid w:val="0"/>
        <w:spacing w:line="360" w:lineRule="auto"/>
        <w:outlineLvl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p>
    <w:p w14:paraId="7ACB4666">
      <w:pPr>
        <w:pageBreakBefore w:val="0"/>
        <w:kinsoku/>
        <w:wordWrap/>
        <w:overflowPunct/>
        <w:topLinePunct w:val="0"/>
        <w:bidi w:val="0"/>
        <w:snapToGrid w:val="0"/>
        <w:spacing w:line="360" w:lineRule="auto"/>
        <w:ind w:firstLine="480" w:firstLineChars="200"/>
        <w:outlineLvl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根据贵方的</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文件，正式授权下述签字人_________ (姓名和职务)代表我方______________（供应商的名称），全权处理本次项目采购的有关事宜。据此函，__________（签字人）兹宣布同意如下：</w:t>
      </w:r>
    </w:p>
    <w:p w14:paraId="1925B1BE">
      <w:pPr>
        <w:pageBreakBefore w:val="0"/>
        <w:kinsoku/>
        <w:wordWrap/>
        <w:overflowPunct/>
        <w:topLinePunct w:val="0"/>
        <w:bidi w:val="0"/>
        <w:snapToGrid w:val="0"/>
        <w:spacing w:line="360" w:lineRule="auto"/>
        <w:outlineLvl w:val="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（1）按</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文件规定的各项要求，向买方提供所需服务</w:t>
      </w:r>
      <w:r>
        <w:rPr>
          <w:rFonts w:hint="eastAsia" w:ascii="仿宋" w:hAnsi="仿宋" w:eastAsia="仿宋" w:cs="仿宋"/>
          <w:color w:val="auto"/>
          <w:sz w:val="24"/>
          <w:szCs w:val="24"/>
          <w:highlight w:val="none"/>
          <w:lang w:eastAsia="zh-CN"/>
        </w:rPr>
        <w:t>。</w:t>
      </w:r>
    </w:p>
    <w:p w14:paraId="25BCF043">
      <w:pPr>
        <w:pageBreakBefore w:val="0"/>
        <w:kinsoku/>
        <w:wordWrap/>
        <w:overflowPunct/>
        <w:topLinePunct w:val="0"/>
        <w:bidi w:val="0"/>
        <w:snapToGrid w:val="0"/>
        <w:spacing w:line="360" w:lineRule="auto"/>
        <w:outlineLvl w:val="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（2）我们已详细审核全部</w:t>
      </w:r>
      <w:r>
        <w:rPr>
          <w:rFonts w:hint="eastAsia" w:ascii="仿宋" w:hAnsi="仿宋" w:eastAsia="仿宋" w:cs="仿宋"/>
          <w:b/>
          <w:bCs/>
          <w:color w:val="auto"/>
          <w:sz w:val="24"/>
          <w:szCs w:val="24"/>
          <w:highlight w:val="none"/>
          <w:lang w:eastAsia="zh-CN"/>
        </w:rPr>
        <w:t>公开招标</w:t>
      </w:r>
      <w:r>
        <w:rPr>
          <w:rFonts w:hint="eastAsia" w:ascii="仿宋" w:hAnsi="仿宋" w:eastAsia="仿宋" w:cs="仿宋"/>
          <w:b/>
          <w:bCs/>
          <w:color w:val="auto"/>
          <w:sz w:val="24"/>
          <w:szCs w:val="24"/>
          <w:highlight w:val="none"/>
        </w:rPr>
        <w:t>文件及其有效补充文件，我们知道必须放弃提出含糊不清或误解问题的权利。</w:t>
      </w:r>
    </w:p>
    <w:p w14:paraId="605C1DBA">
      <w:pPr>
        <w:pageBreakBefore w:val="0"/>
        <w:kinsoku/>
        <w:wordWrap/>
        <w:overflowPunct/>
        <w:topLinePunct w:val="0"/>
        <w:bidi w:val="0"/>
        <w:snapToGrid w:val="0"/>
        <w:spacing w:line="360" w:lineRule="auto"/>
        <w:outlineLvl w:val="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（3）我们同意从规定的响应文件接收截止时间起遵循本响应文件，并在规定的</w:t>
      </w:r>
      <w:r>
        <w:rPr>
          <w:rFonts w:hint="eastAsia" w:ascii="仿宋" w:hAnsi="仿宋" w:eastAsia="仿宋" w:cs="仿宋"/>
          <w:b/>
          <w:bCs/>
          <w:color w:val="auto"/>
          <w:sz w:val="24"/>
          <w:szCs w:val="24"/>
          <w:highlight w:val="none"/>
          <w:lang w:eastAsia="zh-CN"/>
        </w:rPr>
        <w:t>公开招标</w:t>
      </w:r>
      <w:r>
        <w:rPr>
          <w:rFonts w:hint="eastAsia" w:ascii="仿宋" w:hAnsi="仿宋" w:eastAsia="仿宋" w:cs="仿宋"/>
          <w:b/>
          <w:bCs/>
          <w:color w:val="auto"/>
          <w:sz w:val="24"/>
          <w:szCs w:val="24"/>
          <w:highlight w:val="none"/>
        </w:rPr>
        <w:t>有效期期满之前均具有约束力。</w:t>
      </w:r>
    </w:p>
    <w:p w14:paraId="13BAB3ED">
      <w:pPr>
        <w:pageBreakBefore w:val="0"/>
        <w:kinsoku/>
        <w:wordWrap/>
        <w:overflowPunct/>
        <w:topLinePunct w:val="0"/>
        <w:bidi w:val="0"/>
        <w:snapToGrid w:val="0"/>
        <w:spacing w:line="360" w:lineRule="auto"/>
        <w:outlineLvl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（4）同意向贵方提供贵方可能另外要求的与采购有关的任何证据或资料，并保证我方已提供和将要提供的文件是真实的、准确的。</w:t>
      </w:r>
    </w:p>
    <w:p w14:paraId="588DF641">
      <w:pPr>
        <w:pageBreakBefore w:val="0"/>
        <w:kinsoku/>
        <w:wordWrap/>
        <w:overflowPunct/>
        <w:topLinePunct w:val="0"/>
        <w:bidi w:val="0"/>
        <w:snapToGrid w:val="0"/>
        <w:spacing w:line="360" w:lineRule="auto"/>
        <w:outlineLvl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（5）一旦我方成交，我方将根据</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文件的规定，严格履行合同的责任和义务，并保证在</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文件规定的时间完成项目，交付买方验收、使用。</w:t>
      </w:r>
    </w:p>
    <w:p w14:paraId="0A98A8C6">
      <w:pPr>
        <w:pageBreakBefore w:val="0"/>
        <w:kinsoku/>
        <w:wordWrap/>
        <w:overflowPunct/>
        <w:topLinePunct w:val="0"/>
        <w:bidi w:val="0"/>
        <w:snapToGrid w:val="0"/>
        <w:spacing w:line="360" w:lineRule="auto"/>
        <w:outlineLvl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（6）遵守</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文件中要求的收费项目和标准。</w:t>
      </w:r>
    </w:p>
    <w:p w14:paraId="022B204C">
      <w:pPr>
        <w:pageBreakBefore w:val="0"/>
        <w:kinsoku/>
        <w:wordWrap/>
        <w:overflowPunct/>
        <w:topLinePunct w:val="0"/>
        <w:bidi w:val="0"/>
        <w:snapToGrid w:val="0"/>
        <w:spacing w:line="360" w:lineRule="auto"/>
        <w:outlineLvl w:val="4"/>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（7）与本采购有关的正式通讯地址为：</w:t>
      </w:r>
    </w:p>
    <w:p w14:paraId="51253BF8">
      <w:pPr>
        <w:pStyle w:val="5"/>
        <w:pageBreakBefore w:val="0"/>
        <w:kinsoku/>
        <w:wordWrap/>
        <w:overflowPunct/>
        <w:topLinePunct w:val="0"/>
        <w:bidi w:val="0"/>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地址：邮编：</w:t>
      </w:r>
    </w:p>
    <w:p w14:paraId="09F3C8A1">
      <w:pPr>
        <w:pStyle w:val="5"/>
        <w:pageBreakBefore w:val="0"/>
        <w:kinsoku/>
        <w:wordWrap/>
        <w:overflowPunct/>
        <w:topLinePunct w:val="0"/>
        <w:bidi w:val="0"/>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电话：传真：</w:t>
      </w:r>
    </w:p>
    <w:p w14:paraId="4F3180FB">
      <w:pPr>
        <w:pStyle w:val="5"/>
        <w:pageBreakBefore w:val="0"/>
        <w:kinsoku/>
        <w:wordWrap/>
        <w:overflowPunct/>
        <w:topLinePunct w:val="0"/>
        <w:bidi w:val="0"/>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供应商开户行：账户：</w:t>
      </w:r>
    </w:p>
    <w:p w14:paraId="44406505">
      <w:pPr>
        <w:pStyle w:val="5"/>
        <w:pageBreakBefore w:val="0"/>
        <w:kinsoku/>
        <w:wordWrap/>
        <w:overflowPunct/>
        <w:topLinePunct w:val="0"/>
        <w:bidi w:val="0"/>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法定代表人或授权代表姓名（签字）：联系电话：</w:t>
      </w:r>
    </w:p>
    <w:p w14:paraId="2B127642">
      <w:pPr>
        <w:pStyle w:val="5"/>
        <w:pageBreakBefore w:val="0"/>
        <w:kinsoku/>
        <w:wordWrap/>
        <w:overflowPunct/>
        <w:topLinePunct w:val="0"/>
        <w:bidi w:val="0"/>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供应商名称（公章）：日期：________年____月____日</w:t>
      </w:r>
    </w:p>
    <w:p w14:paraId="5BC66BA1">
      <w:pPr>
        <w:pageBreakBefore w:val="0"/>
        <w:widowControl/>
        <w:kinsoku/>
        <w:wordWrap/>
        <w:overflowPunct/>
        <w:topLinePunct w:val="0"/>
        <w:bidi w:val="0"/>
        <w:spacing w:line="360" w:lineRule="auto"/>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5F10E40E">
      <w:pPr>
        <w:pageBreakBefore w:val="0"/>
        <w:kinsoku/>
        <w:wordWrap/>
        <w:overflowPunct/>
        <w:topLinePunct w:val="0"/>
        <w:bidi w:val="0"/>
        <w:snapToGrid w:val="0"/>
        <w:spacing w:line="360" w:lineRule="auto"/>
        <w:jc w:val="center"/>
        <w:outlineLvl w:val="4"/>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4、履行合同所必需的设备和专业技术能力承诺函</w:t>
      </w:r>
    </w:p>
    <w:p w14:paraId="43AD40AB">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u w:val="single"/>
        </w:rPr>
      </w:pPr>
    </w:p>
    <w:p w14:paraId="79BECB13">
      <w:pPr>
        <w:pageBreakBefore w:val="0"/>
        <w:kinsoku/>
        <w:wordWrap/>
        <w:overflowPunct/>
        <w:topLinePunct w:val="0"/>
        <w:bidi w:val="0"/>
        <w:spacing w:line="360" w:lineRule="auto"/>
        <w:jc w:val="left"/>
        <w:rPr>
          <w:rFonts w:hint="eastAsia" w:ascii="仿宋" w:hAnsi="仿宋" w:eastAsia="仿宋" w:cs="仿宋"/>
          <w:color w:val="auto"/>
          <w:sz w:val="24"/>
          <w:szCs w:val="24"/>
          <w:highlight w:val="none"/>
          <w:u w:val="single"/>
        </w:rPr>
      </w:pPr>
    </w:p>
    <w:p w14:paraId="14DE6445">
      <w:pPr>
        <w:pageBreakBefore w:val="0"/>
        <w:kinsoku/>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（采购人）</w:t>
      </w:r>
      <w:r>
        <w:rPr>
          <w:rFonts w:hint="eastAsia" w:ascii="仿宋" w:hAnsi="仿宋" w:eastAsia="仿宋" w:cs="仿宋"/>
          <w:color w:val="auto"/>
          <w:sz w:val="28"/>
          <w:szCs w:val="28"/>
          <w:highlight w:val="none"/>
        </w:rPr>
        <w:t>：</w:t>
      </w:r>
    </w:p>
    <w:p w14:paraId="2694DD10">
      <w:pPr>
        <w:pageBreakBefore w:val="0"/>
        <w:kinsoku/>
        <w:wordWrap/>
        <w:overflowPunct/>
        <w:topLinePunct w:val="0"/>
        <w:bidi w:val="0"/>
        <w:spacing w:line="360" w:lineRule="auto"/>
        <w:ind w:firstLine="5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我单位（供应商名称）郑重承诺：</w:t>
      </w:r>
    </w:p>
    <w:p w14:paraId="25AC7CAB">
      <w:pPr>
        <w:pageBreakBefore w:val="0"/>
        <w:kinsoku/>
        <w:wordWrap/>
        <w:overflowPunct/>
        <w:topLinePunct w:val="0"/>
        <w:bidi w:val="0"/>
        <w:spacing w:line="360" w:lineRule="auto"/>
        <w:ind w:firstLine="5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贵方组织的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我单位</w:t>
      </w:r>
      <w:r>
        <w:rPr>
          <w:rFonts w:hint="eastAsia" w:ascii="仿宋" w:hAnsi="仿宋" w:eastAsia="仿宋" w:cs="仿宋"/>
          <w:color w:val="auto"/>
          <w:sz w:val="24"/>
          <w:szCs w:val="24"/>
          <w:highlight w:val="none"/>
          <w:u w:val="single"/>
        </w:rPr>
        <w:t>(在下划线上如实填写：有或没有）</w:t>
      </w:r>
      <w:r>
        <w:rPr>
          <w:rFonts w:hint="eastAsia" w:ascii="仿宋" w:hAnsi="仿宋" w:eastAsia="仿宋" w:cs="仿宋"/>
          <w:color w:val="auto"/>
          <w:sz w:val="24"/>
          <w:szCs w:val="24"/>
          <w:highlight w:val="none"/>
        </w:rPr>
        <w:t>履行合同所必需的设备和专业技术能力。</w:t>
      </w:r>
    </w:p>
    <w:p w14:paraId="5FD13DA7">
      <w:pPr>
        <w:pageBreakBefore w:val="0"/>
        <w:kinsoku/>
        <w:wordWrap/>
        <w:overflowPunct/>
        <w:topLinePunct w:val="0"/>
        <w:bidi w:val="0"/>
        <w:spacing w:line="360" w:lineRule="auto"/>
        <w:ind w:firstLine="560"/>
        <w:jc w:val="left"/>
        <w:rPr>
          <w:rFonts w:hint="eastAsia" w:ascii="仿宋" w:hAnsi="仿宋" w:eastAsia="仿宋" w:cs="仿宋"/>
          <w:color w:val="auto"/>
          <w:sz w:val="24"/>
          <w:szCs w:val="24"/>
          <w:highlight w:val="none"/>
        </w:rPr>
      </w:pPr>
    </w:p>
    <w:p w14:paraId="3B79EE7F">
      <w:pPr>
        <w:pageBreakBefore w:val="0"/>
        <w:kinsoku/>
        <w:wordWrap/>
        <w:overflowPunct/>
        <w:topLinePunct w:val="0"/>
        <w:bidi w:val="0"/>
        <w:spacing w:line="360" w:lineRule="auto"/>
        <w:ind w:firstLine="5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承诺人：（公章）</w:t>
      </w:r>
    </w:p>
    <w:p w14:paraId="3745411B">
      <w:pPr>
        <w:pageBreakBefore w:val="0"/>
        <w:kinsoku/>
        <w:wordWrap/>
        <w:overflowPunct/>
        <w:topLinePunct w:val="0"/>
        <w:bidi w:val="0"/>
        <w:spacing w:line="360" w:lineRule="auto"/>
        <w:ind w:firstLine="5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p w14:paraId="75F19FF8">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p w14:paraId="595EA130">
      <w:pPr>
        <w:pageBreakBefore w:val="0"/>
        <w:kinsoku/>
        <w:wordWrap/>
        <w:overflowPunct/>
        <w:topLinePunct w:val="0"/>
        <w:bidi w:val="0"/>
        <w:spacing w:line="360" w:lineRule="auto"/>
        <w:rPr>
          <w:rFonts w:hint="eastAsia" w:ascii="仿宋" w:hAnsi="仿宋" w:eastAsia="仿宋" w:cs="仿宋"/>
          <w:color w:val="auto"/>
          <w:szCs w:val="20"/>
          <w:highlight w:val="none"/>
        </w:rPr>
      </w:pPr>
    </w:p>
    <w:p w14:paraId="5913B9A5">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26D9B9BB">
      <w:pPr>
        <w:pageBreakBefore w:val="0"/>
        <w:kinsoku/>
        <w:wordWrap/>
        <w:overflowPunct/>
        <w:topLinePunct w:val="0"/>
        <w:bidi w:val="0"/>
        <w:snapToGrid w:val="0"/>
        <w:spacing w:line="360" w:lineRule="auto"/>
        <w:ind w:firstLine="1105" w:firstLineChars="393"/>
        <w:jc w:val="center"/>
        <w:outlineLvl w:val="4"/>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5、无重大违法记录的书面声明</w:t>
      </w:r>
    </w:p>
    <w:p w14:paraId="65E10DA8">
      <w:pPr>
        <w:pageBreakBefore w:val="0"/>
        <w:kinsoku/>
        <w:wordWrap/>
        <w:overflowPunct/>
        <w:topLinePunct w:val="0"/>
        <w:bidi w:val="0"/>
        <w:spacing w:line="360" w:lineRule="auto"/>
        <w:jc w:val="center"/>
        <w:rPr>
          <w:rFonts w:hint="eastAsia" w:ascii="仿宋" w:hAnsi="仿宋" w:eastAsia="仿宋" w:cs="仿宋"/>
          <w:b/>
          <w:bCs/>
          <w:color w:val="auto"/>
          <w:sz w:val="44"/>
          <w:szCs w:val="44"/>
          <w:highlight w:val="none"/>
        </w:rPr>
      </w:pPr>
    </w:p>
    <w:p w14:paraId="0C8DC563">
      <w:pPr>
        <w:pageBreakBefore w:val="0"/>
        <w:kinsoku/>
        <w:wordWrap/>
        <w:overflowPunct/>
        <w:topLinePunct w:val="0"/>
        <w:bidi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（采购人）</w:t>
      </w:r>
      <w:r>
        <w:rPr>
          <w:rFonts w:hint="eastAsia" w:ascii="仿宋" w:hAnsi="仿宋" w:eastAsia="仿宋" w:cs="仿宋"/>
          <w:color w:val="auto"/>
          <w:sz w:val="28"/>
          <w:szCs w:val="28"/>
          <w:highlight w:val="none"/>
        </w:rPr>
        <w:t>：</w:t>
      </w:r>
    </w:p>
    <w:p w14:paraId="503A6603">
      <w:pPr>
        <w:pageBreakBefore w:val="0"/>
        <w:kinsoku/>
        <w:wordWrap/>
        <w:overflowPunct/>
        <w:topLinePunct w:val="0"/>
        <w:bidi w:val="0"/>
        <w:spacing w:line="360" w:lineRule="auto"/>
        <w:ind w:firstLine="56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我单位（供应商名称）郑重声明：</w:t>
      </w:r>
    </w:p>
    <w:p w14:paraId="347DBB12">
      <w:pPr>
        <w:pageBreakBefore w:val="0"/>
        <w:kinsoku/>
        <w:wordWrap/>
        <w:overflowPunct/>
        <w:topLinePunct w:val="0"/>
        <w:bidi w:val="0"/>
        <w:spacing w:line="360" w:lineRule="auto"/>
        <w:ind w:firstLine="56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参加本项目政府采购活动前3年内在经营活动中</w:t>
      </w:r>
      <w:r>
        <w:rPr>
          <w:rFonts w:hint="eastAsia" w:ascii="仿宋" w:hAnsi="仿宋" w:eastAsia="仿宋" w:cs="仿宋"/>
          <w:color w:val="auto"/>
          <w:sz w:val="28"/>
          <w:szCs w:val="28"/>
          <w:highlight w:val="none"/>
          <w:u w:val="single"/>
        </w:rPr>
        <w:t>(在下划线上如实填写：有或没有）</w:t>
      </w:r>
      <w:r>
        <w:rPr>
          <w:rFonts w:hint="eastAsia" w:ascii="仿宋" w:hAnsi="仿宋" w:eastAsia="仿宋" w:cs="仿宋"/>
          <w:color w:val="auto"/>
          <w:sz w:val="28"/>
          <w:szCs w:val="28"/>
          <w:highlight w:val="none"/>
        </w:rPr>
        <w:t>重大违法记录。</w:t>
      </w:r>
    </w:p>
    <w:p w14:paraId="60FB4D46">
      <w:pPr>
        <w:pageBreakBefore w:val="0"/>
        <w:kinsoku/>
        <w:wordWrap/>
        <w:overflowPunct/>
        <w:topLinePunct w:val="0"/>
        <w:bidi w:val="0"/>
        <w:spacing w:line="360" w:lineRule="auto"/>
        <w:ind w:firstLine="560"/>
        <w:jc w:val="left"/>
        <w:rPr>
          <w:rFonts w:hint="eastAsia" w:ascii="仿宋" w:hAnsi="仿宋" w:eastAsia="仿宋" w:cs="仿宋"/>
          <w:color w:val="auto"/>
          <w:sz w:val="28"/>
          <w:szCs w:val="28"/>
          <w:highlight w:val="none"/>
        </w:rPr>
      </w:pPr>
    </w:p>
    <w:p w14:paraId="7BD1B2C2">
      <w:pPr>
        <w:pageBreakBefore w:val="0"/>
        <w:kinsoku/>
        <w:wordWrap/>
        <w:overflowPunct/>
        <w:topLinePunct w:val="0"/>
        <w:bidi w:val="0"/>
        <w:spacing w:line="360" w:lineRule="auto"/>
        <w:ind w:firstLine="56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（说明：政府采购法第二十二条第一款第五项所称重大违法记录，是指供应商因违法经营受到刑事处罚或者责令停产停业、吊销许可证或者执照、较大数额罚款等行政处罚。）</w:t>
      </w:r>
    </w:p>
    <w:p w14:paraId="1B421A71">
      <w:pPr>
        <w:pageBreakBefore w:val="0"/>
        <w:kinsoku/>
        <w:wordWrap/>
        <w:overflowPunct/>
        <w:topLinePunct w:val="0"/>
        <w:bidi w:val="0"/>
        <w:spacing w:line="360" w:lineRule="auto"/>
        <w:ind w:firstLine="560"/>
        <w:jc w:val="left"/>
        <w:rPr>
          <w:rFonts w:hint="eastAsia" w:ascii="仿宋" w:hAnsi="仿宋" w:eastAsia="仿宋" w:cs="仿宋"/>
          <w:color w:val="auto"/>
          <w:sz w:val="28"/>
          <w:szCs w:val="28"/>
          <w:highlight w:val="none"/>
        </w:rPr>
      </w:pPr>
    </w:p>
    <w:p w14:paraId="18510C5E">
      <w:pPr>
        <w:pageBreakBefore w:val="0"/>
        <w:kinsoku/>
        <w:wordWrap/>
        <w:overflowPunct/>
        <w:topLinePunct w:val="0"/>
        <w:bidi w:val="0"/>
        <w:spacing w:line="360" w:lineRule="auto"/>
        <w:ind w:firstLine="56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声明人：（公章）</w:t>
      </w:r>
    </w:p>
    <w:p w14:paraId="4FCAC92B">
      <w:pPr>
        <w:pageBreakBefore w:val="0"/>
        <w:kinsoku/>
        <w:wordWrap/>
        <w:overflowPunct/>
        <w:topLinePunct w:val="0"/>
        <w:bidi w:val="0"/>
        <w:spacing w:line="360" w:lineRule="auto"/>
        <w:ind w:firstLine="56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14:paraId="40A34D5C">
      <w:pPr>
        <w:pStyle w:val="5"/>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7001287D">
      <w:pPr>
        <w:pStyle w:val="5"/>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6、资格证明材料所含内容的所有</w:t>
      </w:r>
      <w:bookmarkStart w:id="119" w:name="_Toc478169197"/>
      <w:bookmarkEnd w:id="119"/>
      <w:bookmarkStart w:id="120" w:name="_Toc505331182"/>
      <w:bookmarkEnd w:id="120"/>
      <w:bookmarkStart w:id="121" w:name="_Toc501715518"/>
      <w:r>
        <w:rPr>
          <w:rFonts w:hint="eastAsia" w:ascii="仿宋" w:hAnsi="仿宋" w:eastAsia="仿宋" w:cs="仿宋"/>
          <w:color w:val="auto"/>
          <w:sz w:val="24"/>
          <w:szCs w:val="24"/>
          <w:highlight w:val="none"/>
        </w:rPr>
        <w:t>复印件（加盖公章）</w:t>
      </w:r>
    </w:p>
    <w:p w14:paraId="1F06FC65">
      <w:pPr>
        <w:pStyle w:val="5"/>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认为其他必要的材料</w:t>
      </w:r>
      <w:bookmarkEnd w:id="121"/>
    </w:p>
    <w:p w14:paraId="4488DEC5">
      <w:pPr>
        <w:pageBreakBefore w:val="0"/>
        <w:kinsoku/>
        <w:wordWrap/>
        <w:overflowPunct/>
        <w:topLinePunct w:val="0"/>
        <w:bidi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08917047">
      <w:pPr>
        <w:pageBreakBefore w:val="0"/>
        <w:kinsoku/>
        <w:wordWrap/>
        <w:overflowPunct/>
        <w:topLinePunct w:val="0"/>
        <w:bidi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第二部分技术标主要内容（单独密封）</w:t>
      </w:r>
    </w:p>
    <w:p w14:paraId="3520AA1D">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p>
    <w:p w14:paraId="41CCE89D">
      <w:pPr>
        <w:pStyle w:val="59"/>
        <w:pageBreakBefore w:val="0"/>
        <w:kinsoku/>
        <w:wordWrap/>
        <w:overflowPunct/>
        <w:topLinePunct w:val="0"/>
        <w:bidi w:val="0"/>
        <w:spacing w:line="360" w:lineRule="auto"/>
        <w:ind w:left="0" w:lef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目录</w:t>
      </w:r>
    </w:p>
    <w:p w14:paraId="2DE29049">
      <w:pPr>
        <w:pStyle w:val="59"/>
        <w:pageBreakBefore w:val="0"/>
        <w:kinsoku/>
        <w:wordWrap/>
        <w:overflowPunct/>
        <w:topLinePunct w:val="0"/>
        <w:bidi w:val="0"/>
        <w:spacing w:line="360" w:lineRule="auto"/>
        <w:ind w:left="420" w:firstLine="0" w:firstLineChars="0"/>
        <w:jc w:val="center"/>
        <w:rPr>
          <w:rFonts w:hint="eastAsia" w:ascii="仿宋" w:hAnsi="仿宋" w:eastAsia="仿宋" w:cs="仿宋"/>
          <w:color w:val="auto"/>
          <w:sz w:val="24"/>
          <w:szCs w:val="24"/>
          <w:highlight w:val="none"/>
        </w:rPr>
      </w:pPr>
    </w:p>
    <w:p w14:paraId="2915654E">
      <w:pPr>
        <w:pageBreakBefore w:val="0"/>
        <w:kinsoku/>
        <w:wordWrap/>
        <w:overflowPunct/>
        <w:topLinePunct w:val="0"/>
        <w:bidi w:val="0"/>
        <w:snapToGrid w:val="0"/>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商务</w:t>
      </w:r>
      <w:r>
        <w:rPr>
          <w:rFonts w:hint="eastAsia" w:ascii="仿宋" w:hAnsi="仿宋" w:eastAsia="仿宋" w:cs="仿宋"/>
          <w:b/>
          <w:bCs/>
          <w:color w:val="auto"/>
          <w:kern w:val="0"/>
          <w:sz w:val="24"/>
          <w:szCs w:val="24"/>
          <w:highlight w:val="none"/>
        </w:rPr>
        <w:t>技术标包（应包括但不限于以下内容。不得出现报价，否则为废标）：</w:t>
      </w:r>
    </w:p>
    <w:p w14:paraId="27D24DF6">
      <w:pPr>
        <w:pageBreakBefore w:val="0"/>
        <w:kinsoku/>
        <w:wordWrap/>
        <w:overflowPunct/>
        <w:topLinePunct w:val="0"/>
        <w:bidi w:val="0"/>
        <w:spacing w:line="360" w:lineRule="auto"/>
        <w:ind w:firstLine="241" w:firstLineChars="1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1、封面</w:t>
      </w:r>
    </w:p>
    <w:p w14:paraId="5D071EDA">
      <w:pPr>
        <w:pageBreakBefore w:val="0"/>
        <w:kinsoku/>
        <w:wordWrap/>
        <w:overflowPunct/>
        <w:topLinePunct w:val="0"/>
        <w:bidi w:val="0"/>
        <w:spacing w:line="360" w:lineRule="auto"/>
        <w:ind w:firstLine="241" w:firstLineChars="1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2、响应函</w:t>
      </w:r>
    </w:p>
    <w:p w14:paraId="0381B398">
      <w:pPr>
        <w:pageBreakBefore w:val="0"/>
        <w:kinsoku/>
        <w:wordWrap/>
        <w:overflowPunct/>
        <w:topLinePunct w:val="0"/>
        <w:bidi w:val="0"/>
        <w:adjustRightInd w:val="0"/>
        <w:snapToGrid w:val="0"/>
        <w:spacing w:line="360" w:lineRule="auto"/>
        <w:ind w:firstLine="241" w:firstLineChars="1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3、根据第六章“评标办法”2.2.2 条款技术标的评审因素及评审标准提供相关投标资料。</w:t>
      </w:r>
    </w:p>
    <w:p w14:paraId="698C4897">
      <w:pPr>
        <w:pStyle w:val="9"/>
        <w:pageBreakBefore w:val="0"/>
        <w:kinsoku/>
        <w:wordWrap/>
        <w:overflowPunct/>
        <w:topLinePunct w:val="0"/>
        <w:bidi w:val="0"/>
        <w:spacing w:line="360" w:lineRule="auto"/>
        <w:ind w:firstLine="118" w:firstLineChars="4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4、商务技术条款响应一览表</w:t>
      </w:r>
    </w:p>
    <w:p w14:paraId="4BE7BE7C">
      <w:pPr>
        <w:pStyle w:val="9"/>
        <w:pageBreakBefore w:val="0"/>
        <w:kinsoku/>
        <w:wordWrap/>
        <w:overflowPunct/>
        <w:topLinePunct w:val="0"/>
        <w:bidi w:val="0"/>
        <w:spacing w:line="360" w:lineRule="auto"/>
        <w:rPr>
          <w:rFonts w:hint="eastAsia" w:ascii="仿宋" w:hAnsi="仿宋" w:eastAsia="仿宋" w:cs="仿宋"/>
          <w:color w:val="auto"/>
          <w:highlight w:val="none"/>
        </w:rPr>
      </w:pPr>
    </w:p>
    <w:p w14:paraId="35A8E60B">
      <w:pPr>
        <w:pageBreakBefore w:val="0"/>
        <w:kinsoku/>
        <w:wordWrap/>
        <w:overflowPunct/>
        <w:topLinePunct w:val="0"/>
        <w:bidi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注明：1、各投标单位根据本项目的技术标文件目录中的内容按顺序编制目录和页码范围（各条款的具体内容及要求请按照本</w:t>
      </w:r>
      <w:r>
        <w:rPr>
          <w:rFonts w:hint="eastAsia" w:ascii="仿宋" w:hAnsi="仿宋" w:eastAsia="仿宋" w:cs="仿宋"/>
          <w:b/>
          <w:bCs/>
          <w:color w:val="auto"/>
          <w:sz w:val="24"/>
          <w:szCs w:val="24"/>
          <w:highlight w:val="none"/>
          <w:lang w:eastAsia="zh-CN"/>
        </w:rPr>
        <w:t>公开招标</w:t>
      </w:r>
      <w:r>
        <w:rPr>
          <w:rFonts w:hint="eastAsia" w:ascii="仿宋" w:hAnsi="仿宋" w:eastAsia="仿宋" w:cs="仿宋"/>
          <w:b/>
          <w:bCs/>
          <w:color w:val="auto"/>
          <w:sz w:val="24"/>
          <w:szCs w:val="24"/>
          <w:highlight w:val="none"/>
        </w:rPr>
        <w:t>文件第六章“评标办法”2.2.2 条款技术标的评审因素及评审标准提供相关投标资料），技术标的以上条款中纸质所有证明材料或证书需提供复印件并加盖单位公章，</w:t>
      </w:r>
      <w:r>
        <w:rPr>
          <w:rFonts w:hint="eastAsia" w:ascii="仿宋" w:hAnsi="仿宋" w:eastAsia="仿宋" w:cs="仿宋"/>
          <w:bCs/>
          <w:color w:val="auto"/>
          <w:sz w:val="24"/>
          <w:szCs w:val="24"/>
          <w:highlight w:val="none"/>
          <w:lang w:val="en-US" w:eastAsia="zh-CN"/>
        </w:rPr>
        <w:t>投标文件中资料不清晰或资料不全的</w:t>
      </w:r>
      <w:r>
        <w:rPr>
          <w:rFonts w:hint="eastAsia" w:ascii="仿宋" w:hAnsi="仿宋" w:eastAsia="仿宋" w:cs="仿宋"/>
          <w:bCs/>
          <w:color w:val="auto"/>
          <w:sz w:val="24"/>
          <w:szCs w:val="24"/>
          <w:highlight w:val="none"/>
        </w:rPr>
        <w:t>不予得分</w:t>
      </w:r>
      <w:r>
        <w:rPr>
          <w:rFonts w:hint="eastAsia" w:ascii="仿宋" w:hAnsi="仿宋" w:eastAsia="仿宋" w:cs="仿宋"/>
          <w:b/>
          <w:bCs/>
          <w:color w:val="auto"/>
          <w:sz w:val="24"/>
          <w:szCs w:val="24"/>
          <w:highlight w:val="none"/>
        </w:rPr>
        <w:t>，造成一切后果由投标单位承担。</w:t>
      </w:r>
    </w:p>
    <w:p w14:paraId="1826C01A">
      <w:pPr>
        <w:pageBreakBefore w:val="0"/>
        <w:widowControl/>
        <w:shd w:val="clear" w:color="auto" w:fill="FFFFFF"/>
        <w:kinsoku/>
        <w:wordWrap/>
        <w:overflowPunct/>
        <w:topLinePunct w:val="0"/>
        <w:bidi w:val="0"/>
        <w:spacing w:line="360" w:lineRule="auto"/>
        <w:jc w:val="left"/>
        <w:rPr>
          <w:rFonts w:hint="eastAsia" w:ascii="仿宋" w:hAnsi="仿宋" w:eastAsia="仿宋" w:cs="仿宋"/>
          <w:b/>
          <w:bCs/>
          <w:color w:val="auto"/>
          <w:sz w:val="24"/>
          <w:szCs w:val="24"/>
          <w:highlight w:val="none"/>
        </w:rPr>
      </w:pPr>
    </w:p>
    <w:p w14:paraId="27A2EA5F">
      <w:pPr>
        <w:pageBreakBefore w:val="0"/>
        <w:widowControl/>
        <w:shd w:val="clear" w:color="auto" w:fill="FFFFFF"/>
        <w:kinsoku/>
        <w:wordWrap/>
        <w:overflowPunct/>
        <w:topLinePunct w:val="0"/>
        <w:bidi w:val="0"/>
        <w:spacing w:line="360" w:lineRule="auto"/>
        <w:jc w:val="center"/>
        <w:rPr>
          <w:rFonts w:hint="eastAsia" w:ascii="仿宋" w:hAnsi="仿宋" w:eastAsia="仿宋" w:cs="仿宋"/>
          <w:color w:val="auto"/>
          <w:sz w:val="24"/>
          <w:szCs w:val="24"/>
          <w:highlight w:val="none"/>
        </w:rPr>
      </w:pPr>
    </w:p>
    <w:p w14:paraId="18844E26">
      <w:pPr>
        <w:pageBreakBefore w:val="0"/>
        <w:kinsoku/>
        <w:wordWrap/>
        <w:overflowPunct/>
        <w:topLinePunct w:val="0"/>
        <w:bidi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highlight w:val="none"/>
        </w:rPr>
        <w:t>一、</w:t>
      </w:r>
      <w:r>
        <w:rPr>
          <w:rFonts w:hint="eastAsia" w:ascii="仿宋" w:hAnsi="仿宋" w:eastAsia="仿宋" w:cs="仿宋"/>
          <w:b/>
          <w:bCs/>
          <w:color w:val="auto"/>
          <w:sz w:val="28"/>
          <w:szCs w:val="28"/>
          <w:highlight w:val="none"/>
        </w:rPr>
        <w:t>响应函</w:t>
      </w:r>
    </w:p>
    <w:p w14:paraId="0B092280">
      <w:pPr>
        <w:pageBreakBefore w:val="0"/>
        <w:kinsoku/>
        <w:wordWrap/>
        <w:overflowPunct/>
        <w:topLinePunct w:val="0"/>
        <w:bidi w:val="0"/>
        <w:spacing w:line="360" w:lineRule="auto"/>
        <w:rPr>
          <w:rFonts w:hint="eastAsia" w:ascii="仿宋" w:hAnsi="仿宋" w:eastAsia="仿宋" w:cs="仿宋"/>
          <w:bCs/>
          <w:color w:val="auto"/>
          <w:sz w:val="24"/>
          <w:szCs w:val="24"/>
          <w:highlight w:val="none"/>
        </w:rPr>
      </w:pPr>
      <w:r>
        <w:rPr>
          <w:rFonts w:hint="eastAsia" w:ascii="仿宋" w:hAnsi="仿宋" w:eastAsia="仿宋" w:cs="仿宋"/>
          <w:iCs/>
          <w:color w:val="auto"/>
          <w:sz w:val="22"/>
          <w:szCs w:val="22"/>
          <w:highlight w:val="none"/>
          <w:u w:val="single"/>
        </w:rPr>
        <w:t>（招标人）</w:t>
      </w:r>
      <w:r>
        <w:rPr>
          <w:rFonts w:hint="eastAsia" w:ascii="仿宋" w:hAnsi="仿宋" w:eastAsia="仿宋" w:cs="仿宋"/>
          <w:color w:val="auto"/>
          <w:sz w:val="24"/>
          <w:szCs w:val="24"/>
          <w:highlight w:val="none"/>
        </w:rPr>
        <w:t>：</w:t>
      </w:r>
    </w:p>
    <w:p w14:paraId="765A38DC">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依据贵单位 （采购</w:t>
      </w:r>
      <w:r>
        <w:rPr>
          <w:rFonts w:hint="eastAsia" w:ascii="仿宋" w:hAnsi="仿宋" w:eastAsia="仿宋" w:cs="仿宋"/>
          <w:color w:val="auto"/>
          <w:sz w:val="24"/>
          <w:szCs w:val="24"/>
          <w:highlight w:val="none"/>
          <w:lang w:eastAsia="zh-CN"/>
        </w:rPr>
        <w:t>项目名称）</w:t>
      </w:r>
      <w:r>
        <w:rPr>
          <w:rFonts w:hint="eastAsia" w:ascii="仿宋" w:hAnsi="仿宋" w:eastAsia="仿宋" w:cs="仿宋"/>
          <w:color w:val="auto"/>
          <w:sz w:val="24"/>
          <w:szCs w:val="24"/>
          <w:highlight w:val="none"/>
        </w:rPr>
        <w:t>项目公开招标的邀请，我方授权（姓名）（职务）为全权代表参加该项目的投标，全权处理本次投标的有关事宜。同时，我公司声明如下：</w:t>
      </w:r>
    </w:p>
    <w:p w14:paraId="1AF8C03E">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1、同意并接受</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文件的各项要求，遵守</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文件中的各项规定，按</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文件的要求提供报价。</w:t>
      </w:r>
    </w:p>
    <w:p w14:paraId="75CF1BA5">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2、我公司已经详细阅读了全部</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文件及其附件，我方已完全清晰理解</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文件的要求，不存在任何含糊不清和误解之处，同意放弃对这些文件所提出的异议和质疑的权利。</w:t>
      </w:r>
    </w:p>
    <w:p w14:paraId="74AAE826">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3、我公司已毫无保留地向贵方提供一切所需的证明材料。</w:t>
      </w:r>
    </w:p>
    <w:p w14:paraId="1617FE73">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4、我公司承诺在本次投标中提供的一切文件，无论是原件还是复印件均真实合法有效，绝无任何虚假、伪造和夸大的成份。否则，愿承担相应的后果和法律责任。</w:t>
      </w:r>
    </w:p>
    <w:p w14:paraId="3C4F8D3F">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5、我公司尊重评标委员会所作的评定结果，同时清楚理解到报价最低并非意味着必定获得成交资格。</w:t>
      </w:r>
    </w:p>
    <w:p w14:paraId="5B7075E2">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6、一旦我方成交,我方将根据</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文件的要求和投标文件的承诺签订合同，严格履行合同的责任和义务,并保证在</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文件规定的时间完成项目，交付采购单位验收、使用。</w:t>
      </w:r>
    </w:p>
    <w:p w14:paraId="56FFD11B">
      <w:pPr>
        <w:pageBreakBefore w:val="0"/>
        <w:kinsoku/>
        <w:wordWrap/>
        <w:overflowPunct/>
        <w:topLinePunct w:val="0"/>
        <w:bidi w:val="0"/>
        <w:spacing w:line="360" w:lineRule="auto"/>
        <w:ind w:firstLine="1960" w:firstLineChars="700"/>
        <w:rPr>
          <w:rFonts w:hint="eastAsia" w:ascii="仿宋" w:hAnsi="仿宋" w:eastAsia="仿宋" w:cs="仿宋"/>
          <w:color w:val="auto"/>
          <w:sz w:val="28"/>
          <w:szCs w:val="28"/>
          <w:highlight w:val="none"/>
        </w:rPr>
      </w:pPr>
    </w:p>
    <w:p w14:paraId="58E9A637">
      <w:pPr>
        <w:pageBreakBefore w:val="0"/>
        <w:kinsoku/>
        <w:wordWrap/>
        <w:overflowPunct/>
        <w:topLinePunct w:val="0"/>
        <w:bidi w:val="0"/>
        <w:spacing w:line="360" w:lineRule="auto"/>
        <w:ind w:firstLine="1680" w:firstLineChars="7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：（加盖公章）</w:t>
      </w:r>
    </w:p>
    <w:p w14:paraId="16CBE337">
      <w:pPr>
        <w:pageBreakBefore w:val="0"/>
        <w:kinsoku/>
        <w:wordWrap/>
        <w:overflowPunct/>
        <w:topLinePunct w:val="0"/>
        <w:bidi w:val="0"/>
        <w:spacing w:line="360" w:lineRule="auto"/>
        <w:ind w:firstLine="1680" w:firstLineChars="7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法定代表人或被授权人：（签字或盖章）</w:t>
      </w:r>
    </w:p>
    <w:p w14:paraId="4CCD5937">
      <w:pPr>
        <w:pageBreakBefore w:val="0"/>
        <w:kinsoku/>
        <w:wordWrap/>
        <w:overflowPunct/>
        <w:topLinePunct w:val="0"/>
        <w:bidi w:val="0"/>
        <w:spacing w:line="360" w:lineRule="auto"/>
        <w:ind w:firstLine="4320" w:firstLineChars="1800"/>
        <w:jc w:val="right"/>
        <w:rPr>
          <w:rFonts w:hint="eastAsia" w:ascii="仿宋" w:hAnsi="仿宋" w:eastAsia="仿宋" w:cs="仿宋"/>
          <w:color w:val="auto"/>
          <w:sz w:val="24"/>
          <w:szCs w:val="24"/>
          <w:highlight w:val="none"/>
        </w:rPr>
      </w:pPr>
    </w:p>
    <w:p w14:paraId="41683836">
      <w:pPr>
        <w:pageBreakBefore w:val="0"/>
        <w:kinsoku/>
        <w:wordWrap/>
        <w:overflowPunct/>
        <w:topLinePunct w:val="0"/>
        <w:bidi w:val="0"/>
        <w:spacing w:line="360" w:lineRule="auto"/>
        <w:ind w:firstLine="4320" w:firstLineChars="18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DC5E97F">
      <w:pPr>
        <w:pageBreakBefore w:val="0"/>
        <w:kinsoku/>
        <w:wordWrap/>
        <w:overflowPunct/>
        <w:topLinePunct w:val="0"/>
        <w:autoSpaceDE w:val="0"/>
        <w:autoSpaceDN w:val="0"/>
        <w:bidi w:val="0"/>
        <w:adjustRightInd w:val="0"/>
        <w:spacing w:line="360" w:lineRule="auto"/>
        <w:jc w:val="center"/>
        <w:rPr>
          <w:rFonts w:hint="eastAsia" w:ascii="仿宋" w:hAnsi="仿宋" w:eastAsia="仿宋" w:cs="仿宋"/>
          <w:color w:val="auto"/>
          <w:szCs w:val="24"/>
          <w:highlight w:val="none"/>
        </w:rPr>
      </w:pPr>
    </w:p>
    <w:p w14:paraId="530F6733">
      <w:pPr>
        <w:pStyle w:val="9"/>
        <w:pageBreakBefore w:val="0"/>
        <w:kinsoku/>
        <w:wordWrap/>
        <w:overflowPunct/>
        <w:topLinePunct w:val="0"/>
        <w:bidi w:val="0"/>
        <w:spacing w:line="360" w:lineRule="auto"/>
        <w:ind w:firstLine="2800" w:firstLineChars="1000"/>
        <w:rPr>
          <w:rFonts w:hint="eastAsia" w:ascii="仿宋" w:hAnsi="仿宋" w:eastAsia="仿宋" w:cs="仿宋"/>
          <w:color w:val="auto"/>
          <w:highlight w:val="none"/>
        </w:rPr>
      </w:pPr>
    </w:p>
    <w:p w14:paraId="4A497B73">
      <w:pPr>
        <w:pStyle w:val="9"/>
        <w:pageBreakBefore w:val="0"/>
        <w:kinsoku/>
        <w:wordWrap/>
        <w:overflowPunct/>
        <w:topLinePunct w:val="0"/>
        <w:bidi w:val="0"/>
        <w:spacing w:line="360" w:lineRule="auto"/>
        <w:ind w:firstLine="2800" w:firstLineChars="1000"/>
        <w:rPr>
          <w:rFonts w:hint="eastAsia" w:ascii="仿宋" w:hAnsi="仿宋" w:eastAsia="仿宋" w:cs="仿宋"/>
          <w:color w:val="auto"/>
          <w:highlight w:val="none"/>
        </w:rPr>
      </w:pPr>
    </w:p>
    <w:p w14:paraId="1BB2BE6B">
      <w:pPr>
        <w:pStyle w:val="9"/>
        <w:pageBreakBefore w:val="0"/>
        <w:kinsoku/>
        <w:wordWrap/>
        <w:overflowPunct/>
        <w:topLinePunct w:val="0"/>
        <w:bidi w:val="0"/>
        <w:spacing w:line="360" w:lineRule="auto"/>
        <w:ind w:firstLine="2800" w:firstLineChars="1000"/>
        <w:rPr>
          <w:rFonts w:hint="eastAsia" w:ascii="仿宋" w:hAnsi="仿宋" w:eastAsia="仿宋" w:cs="仿宋"/>
          <w:color w:val="auto"/>
          <w:highlight w:val="none"/>
        </w:rPr>
      </w:pPr>
    </w:p>
    <w:p w14:paraId="270ED352">
      <w:pPr>
        <w:pStyle w:val="9"/>
        <w:pageBreakBefore w:val="0"/>
        <w:kinsoku/>
        <w:wordWrap/>
        <w:overflowPunct/>
        <w:topLinePunct w:val="0"/>
        <w:bidi w:val="0"/>
        <w:spacing w:line="360" w:lineRule="auto"/>
        <w:ind w:firstLine="2800" w:firstLineChars="1000"/>
        <w:rPr>
          <w:rFonts w:hint="eastAsia" w:ascii="仿宋" w:hAnsi="仿宋" w:eastAsia="仿宋" w:cs="仿宋"/>
          <w:color w:val="auto"/>
          <w:highlight w:val="none"/>
        </w:rPr>
      </w:pPr>
      <w:r>
        <w:rPr>
          <w:rFonts w:hint="eastAsia" w:ascii="仿宋" w:hAnsi="仿宋" w:eastAsia="仿宋" w:cs="仿宋"/>
          <w:color w:val="auto"/>
          <w:highlight w:val="none"/>
        </w:rPr>
        <w:t>二、商务技术条款响应一览表</w:t>
      </w:r>
    </w:p>
    <w:tbl>
      <w:tblPr>
        <w:tblStyle w:val="22"/>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734"/>
        <w:gridCol w:w="2268"/>
        <w:gridCol w:w="2268"/>
        <w:gridCol w:w="1620"/>
        <w:gridCol w:w="1215"/>
      </w:tblGrid>
      <w:tr w14:paraId="7B8F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566" w:type="dxa"/>
            <w:vAlign w:val="center"/>
          </w:tcPr>
          <w:p w14:paraId="79EED2CE">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734" w:type="dxa"/>
            <w:tcBorders>
              <w:left w:val="nil"/>
            </w:tcBorders>
            <w:vAlign w:val="center"/>
          </w:tcPr>
          <w:p w14:paraId="326BA071">
            <w:pPr>
              <w:pageBreakBefore w:val="0"/>
              <w:kinsoku/>
              <w:wordWrap/>
              <w:overflowPunct/>
              <w:topLinePunct w:val="0"/>
              <w:bidi w:val="0"/>
              <w:spacing w:line="360" w:lineRule="auto"/>
              <w:ind w:left="31" w:leftChars="15"/>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2268" w:type="dxa"/>
            <w:tcBorders>
              <w:left w:val="nil"/>
            </w:tcBorders>
            <w:vAlign w:val="center"/>
          </w:tcPr>
          <w:p w14:paraId="7FBC8C38">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文件的技术商务条款</w:t>
            </w:r>
          </w:p>
        </w:tc>
        <w:tc>
          <w:tcPr>
            <w:tcW w:w="2268" w:type="dxa"/>
            <w:tcBorders>
              <w:left w:val="nil"/>
            </w:tcBorders>
            <w:vAlign w:val="center"/>
          </w:tcPr>
          <w:p w14:paraId="6C8BAE64">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响应文件承诺的技术商务条款</w:t>
            </w:r>
          </w:p>
        </w:tc>
        <w:tc>
          <w:tcPr>
            <w:tcW w:w="1620" w:type="dxa"/>
            <w:tcBorders>
              <w:left w:val="nil"/>
            </w:tcBorders>
            <w:vAlign w:val="center"/>
          </w:tcPr>
          <w:p w14:paraId="3554BA13">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偏离情况</w:t>
            </w:r>
          </w:p>
        </w:tc>
        <w:tc>
          <w:tcPr>
            <w:tcW w:w="1215" w:type="dxa"/>
            <w:tcBorders>
              <w:left w:val="nil"/>
            </w:tcBorders>
            <w:vAlign w:val="center"/>
          </w:tcPr>
          <w:p w14:paraId="18408BF5">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455B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566" w:type="dxa"/>
            <w:vAlign w:val="center"/>
          </w:tcPr>
          <w:p w14:paraId="66BD11A0">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734" w:type="dxa"/>
            <w:tcBorders>
              <w:left w:val="nil"/>
            </w:tcBorders>
            <w:vAlign w:val="center"/>
          </w:tcPr>
          <w:p w14:paraId="4E1B7C10">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2268" w:type="dxa"/>
            <w:tcBorders>
              <w:left w:val="nil"/>
            </w:tcBorders>
            <w:vAlign w:val="center"/>
          </w:tcPr>
          <w:p w14:paraId="4BCC92B5">
            <w:pPr>
              <w:pageBreakBefore w:val="0"/>
              <w:kinsoku/>
              <w:wordWrap/>
              <w:overflowPunct/>
              <w:topLinePunct w:val="0"/>
              <w:bidi w:val="0"/>
              <w:adjustRightInd w:val="0"/>
              <w:spacing w:line="360" w:lineRule="auto"/>
              <w:ind w:right="-2" w:rightChars="-1" w:firstLine="480" w:firstLineChars="200"/>
              <w:rPr>
                <w:rFonts w:hint="eastAsia" w:ascii="仿宋" w:hAnsi="仿宋" w:eastAsia="仿宋" w:cs="仿宋"/>
                <w:b/>
                <w:bCs/>
                <w:color w:val="auto"/>
                <w:spacing w:val="-12"/>
                <w:sz w:val="24"/>
                <w:szCs w:val="24"/>
                <w:highlight w:val="none"/>
              </w:rPr>
            </w:pPr>
            <w:r>
              <w:rPr>
                <w:rFonts w:hint="eastAsia" w:ascii="仿宋" w:hAnsi="仿宋" w:eastAsia="仿宋" w:cs="仿宋"/>
                <w:color w:val="auto"/>
                <w:sz w:val="24"/>
                <w:szCs w:val="24"/>
                <w:highlight w:val="none"/>
              </w:rPr>
              <w:t> </w:t>
            </w:r>
          </w:p>
        </w:tc>
        <w:tc>
          <w:tcPr>
            <w:tcW w:w="2268" w:type="dxa"/>
            <w:tcBorders>
              <w:left w:val="nil"/>
            </w:tcBorders>
            <w:vAlign w:val="center"/>
          </w:tcPr>
          <w:p w14:paraId="4C94FC0F">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620" w:type="dxa"/>
            <w:tcBorders>
              <w:left w:val="nil"/>
            </w:tcBorders>
            <w:vAlign w:val="center"/>
          </w:tcPr>
          <w:p w14:paraId="6DA98A0F">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215" w:type="dxa"/>
            <w:tcBorders>
              <w:left w:val="nil"/>
            </w:tcBorders>
            <w:vAlign w:val="center"/>
          </w:tcPr>
          <w:p w14:paraId="392D6942">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r>
      <w:tr w14:paraId="77B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566" w:type="dxa"/>
            <w:vAlign w:val="center"/>
          </w:tcPr>
          <w:p w14:paraId="33CCA4F5">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734" w:type="dxa"/>
            <w:tcBorders>
              <w:left w:val="nil"/>
            </w:tcBorders>
            <w:vAlign w:val="center"/>
          </w:tcPr>
          <w:p w14:paraId="69276379">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2268" w:type="dxa"/>
            <w:tcBorders>
              <w:left w:val="nil"/>
            </w:tcBorders>
            <w:vAlign w:val="center"/>
          </w:tcPr>
          <w:p w14:paraId="30768601">
            <w:pPr>
              <w:pageBreakBefore w:val="0"/>
              <w:kinsoku/>
              <w:wordWrap/>
              <w:overflowPunct/>
              <w:topLinePunct w:val="0"/>
              <w:bidi w:val="0"/>
              <w:adjustRightInd w:val="0"/>
              <w:spacing w:line="360" w:lineRule="auto"/>
              <w:ind w:right="-2" w:rightChars="-1" w:firstLine="480" w:firstLineChars="200"/>
              <w:rPr>
                <w:rFonts w:hint="eastAsia" w:ascii="仿宋" w:hAnsi="仿宋" w:eastAsia="仿宋" w:cs="仿宋"/>
                <w:color w:val="auto"/>
                <w:sz w:val="24"/>
                <w:szCs w:val="24"/>
                <w:highlight w:val="none"/>
              </w:rPr>
            </w:pPr>
          </w:p>
        </w:tc>
        <w:tc>
          <w:tcPr>
            <w:tcW w:w="2268" w:type="dxa"/>
            <w:tcBorders>
              <w:left w:val="nil"/>
            </w:tcBorders>
            <w:vAlign w:val="center"/>
          </w:tcPr>
          <w:p w14:paraId="6E6BB5FF">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620" w:type="dxa"/>
            <w:tcBorders>
              <w:left w:val="nil"/>
            </w:tcBorders>
            <w:vAlign w:val="center"/>
          </w:tcPr>
          <w:p w14:paraId="60A8365D">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215" w:type="dxa"/>
            <w:tcBorders>
              <w:left w:val="nil"/>
            </w:tcBorders>
            <w:vAlign w:val="center"/>
          </w:tcPr>
          <w:p w14:paraId="66EC9D4D">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r>
      <w:tr w14:paraId="2BF4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566" w:type="dxa"/>
            <w:vAlign w:val="center"/>
          </w:tcPr>
          <w:p w14:paraId="4BF35BD9">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734" w:type="dxa"/>
            <w:tcBorders>
              <w:left w:val="nil"/>
            </w:tcBorders>
            <w:vAlign w:val="center"/>
          </w:tcPr>
          <w:p w14:paraId="3075F14F">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w:t>
            </w:r>
          </w:p>
        </w:tc>
        <w:tc>
          <w:tcPr>
            <w:tcW w:w="2268" w:type="dxa"/>
            <w:tcBorders>
              <w:left w:val="nil"/>
            </w:tcBorders>
            <w:vAlign w:val="center"/>
          </w:tcPr>
          <w:p w14:paraId="7D75AD79">
            <w:pPr>
              <w:pageBreakBefore w:val="0"/>
              <w:kinsoku/>
              <w:wordWrap/>
              <w:overflowPunct/>
              <w:topLinePunct w:val="0"/>
              <w:bidi w:val="0"/>
              <w:adjustRightInd w:val="0"/>
              <w:spacing w:line="360" w:lineRule="auto"/>
              <w:ind w:right="-2" w:rightChars="-1" w:firstLine="480" w:firstLineChars="200"/>
              <w:rPr>
                <w:rFonts w:hint="eastAsia" w:ascii="仿宋" w:hAnsi="仿宋" w:eastAsia="仿宋" w:cs="仿宋"/>
                <w:b/>
                <w:bCs/>
                <w:color w:val="auto"/>
                <w:spacing w:val="-12"/>
                <w:sz w:val="24"/>
                <w:szCs w:val="24"/>
                <w:highlight w:val="none"/>
              </w:rPr>
            </w:pPr>
            <w:r>
              <w:rPr>
                <w:rFonts w:hint="eastAsia" w:ascii="仿宋" w:hAnsi="仿宋" w:eastAsia="仿宋" w:cs="仿宋"/>
                <w:color w:val="auto"/>
                <w:sz w:val="24"/>
                <w:szCs w:val="24"/>
                <w:highlight w:val="none"/>
              </w:rPr>
              <w:t> </w:t>
            </w:r>
          </w:p>
        </w:tc>
        <w:tc>
          <w:tcPr>
            <w:tcW w:w="2268" w:type="dxa"/>
            <w:tcBorders>
              <w:left w:val="nil"/>
            </w:tcBorders>
            <w:vAlign w:val="center"/>
          </w:tcPr>
          <w:p w14:paraId="06CEB3F2">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620" w:type="dxa"/>
            <w:tcBorders>
              <w:left w:val="nil"/>
            </w:tcBorders>
            <w:vAlign w:val="center"/>
          </w:tcPr>
          <w:p w14:paraId="44EF7C6B">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215" w:type="dxa"/>
            <w:tcBorders>
              <w:left w:val="nil"/>
            </w:tcBorders>
            <w:vAlign w:val="center"/>
          </w:tcPr>
          <w:p w14:paraId="27ED5613">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r>
      <w:tr w14:paraId="463F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566" w:type="dxa"/>
            <w:vAlign w:val="center"/>
          </w:tcPr>
          <w:p w14:paraId="441900C1">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734" w:type="dxa"/>
            <w:tcBorders>
              <w:left w:val="nil"/>
            </w:tcBorders>
            <w:vAlign w:val="center"/>
          </w:tcPr>
          <w:p w14:paraId="69FBAD20">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2268" w:type="dxa"/>
            <w:tcBorders>
              <w:left w:val="nil"/>
            </w:tcBorders>
            <w:vAlign w:val="center"/>
          </w:tcPr>
          <w:p w14:paraId="63B0EA19">
            <w:pPr>
              <w:pageBreakBefore w:val="0"/>
              <w:kinsoku/>
              <w:wordWrap/>
              <w:overflowPunct/>
              <w:topLinePunct w:val="0"/>
              <w:bidi w:val="0"/>
              <w:adjustRightInd w:val="0"/>
              <w:spacing w:line="360" w:lineRule="auto"/>
              <w:ind w:right="-2" w:rightChars="-1" w:firstLine="480" w:firstLineChars="200"/>
              <w:rPr>
                <w:rFonts w:hint="eastAsia" w:ascii="仿宋" w:hAnsi="仿宋" w:eastAsia="仿宋" w:cs="仿宋"/>
                <w:color w:val="auto"/>
                <w:sz w:val="24"/>
                <w:szCs w:val="24"/>
                <w:highlight w:val="none"/>
              </w:rPr>
            </w:pPr>
          </w:p>
        </w:tc>
        <w:tc>
          <w:tcPr>
            <w:tcW w:w="2268" w:type="dxa"/>
            <w:tcBorders>
              <w:left w:val="nil"/>
            </w:tcBorders>
            <w:vAlign w:val="center"/>
          </w:tcPr>
          <w:p w14:paraId="49DB6A01">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620" w:type="dxa"/>
            <w:tcBorders>
              <w:left w:val="nil"/>
            </w:tcBorders>
            <w:vAlign w:val="center"/>
          </w:tcPr>
          <w:p w14:paraId="2BC82875">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215" w:type="dxa"/>
            <w:tcBorders>
              <w:left w:val="nil"/>
            </w:tcBorders>
            <w:vAlign w:val="center"/>
          </w:tcPr>
          <w:p w14:paraId="43570E88">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r>
      <w:tr w14:paraId="546F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566" w:type="dxa"/>
            <w:vAlign w:val="center"/>
          </w:tcPr>
          <w:p w14:paraId="6F8C8BBD">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734" w:type="dxa"/>
            <w:tcBorders>
              <w:left w:val="nil"/>
            </w:tcBorders>
            <w:vAlign w:val="center"/>
          </w:tcPr>
          <w:p w14:paraId="47AF0540">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2268" w:type="dxa"/>
            <w:tcBorders>
              <w:left w:val="nil"/>
            </w:tcBorders>
            <w:vAlign w:val="center"/>
          </w:tcPr>
          <w:p w14:paraId="632F5329">
            <w:pPr>
              <w:pageBreakBefore w:val="0"/>
              <w:kinsoku/>
              <w:wordWrap/>
              <w:overflowPunct/>
              <w:topLinePunct w:val="0"/>
              <w:bidi w:val="0"/>
              <w:adjustRightInd w:val="0"/>
              <w:spacing w:line="360" w:lineRule="auto"/>
              <w:ind w:right="-2" w:rightChars="-1" w:firstLine="480" w:firstLineChars="200"/>
              <w:rPr>
                <w:rFonts w:hint="eastAsia" w:ascii="仿宋" w:hAnsi="仿宋" w:eastAsia="仿宋" w:cs="仿宋"/>
                <w:color w:val="auto"/>
                <w:sz w:val="24"/>
                <w:szCs w:val="24"/>
                <w:highlight w:val="none"/>
              </w:rPr>
            </w:pPr>
          </w:p>
        </w:tc>
        <w:tc>
          <w:tcPr>
            <w:tcW w:w="2268" w:type="dxa"/>
            <w:tcBorders>
              <w:left w:val="nil"/>
            </w:tcBorders>
            <w:vAlign w:val="center"/>
          </w:tcPr>
          <w:p w14:paraId="26884996">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620" w:type="dxa"/>
            <w:tcBorders>
              <w:left w:val="nil"/>
            </w:tcBorders>
            <w:vAlign w:val="center"/>
          </w:tcPr>
          <w:p w14:paraId="58F85681">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c>
          <w:tcPr>
            <w:tcW w:w="1215" w:type="dxa"/>
            <w:tcBorders>
              <w:left w:val="nil"/>
            </w:tcBorders>
            <w:vAlign w:val="center"/>
          </w:tcPr>
          <w:p w14:paraId="6566E325">
            <w:pPr>
              <w:pageBreakBefore w:val="0"/>
              <w:kinsoku/>
              <w:wordWrap/>
              <w:overflowPunct/>
              <w:topLinePunct w:val="0"/>
              <w:bidi w:val="0"/>
              <w:spacing w:line="360" w:lineRule="auto"/>
              <w:jc w:val="center"/>
              <w:rPr>
                <w:rFonts w:hint="eastAsia" w:ascii="仿宋" w:hAnsi="仿宋" w:eastAsia="仿宋" w:cs="仿宋"/>
                <w:b/>
                <w:bCs/>
                <w:color w:val="auto"/>
                <w:sz w:val="24"/>
                <w:szCs w:val="24"/>
                <w:highlight w:val="none"/>
              </w:rPr>
            </w:pPr>
          </w:p>
        </w:tc>
      </w:tr>
    </w:tbl>
    <w:p w14:paraId="389D37AD">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4707B992">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F40371B">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1、请逐条对应本项目</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文件第六章“</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内容及要求”中技术商务条款的要求，认真填写该表。</w:t>
      </w:r>
    </w:p>
    <w:p w14:paraId="452B40E8">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2、若供应商有技术、商务偏离，应将</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文件要求和供应商响应文件文件承诺逐条对应的填列在偏离表中，否则将认为供应商未响应</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文件的要求。若供应商完全响应</w:t>
      </w:r>
      <w:r>
        <w:rPr>
          <w:rFonts w:hint="eastAsia" w:ascii="仿宋" w:hAnsi="仿宋" w:eastAsia="仿宋" w:cs="仿宋"/>
          <w:color w:val="auto"/>
          <w:sz w:val="24"/>
          <w:szCs w:val="24"/>
          <w:highlight w:val="none"/>
          <w:lang w:eastAsia="zh-CN"/>
        </w:rPr>
        <w:t>公开招标</w:t>
      </w:r>
      <w:r>
        <w:rPr>
          <w:rFonts w:hint="eastAsia" w:ascii="仿宋" w:hAnsi="仿宋" w:eastAsia="仿宋" w:cs="仿宋"/>
          <w:color w:val="auto"/>
          <w:sz w:val="24"/>
          <w:szCs w:val="24"/>
          <w:highlight w:val="none"/>
        </w:rPr>
        <w:t>文件所有技术、商务要求，则无需逐条列出技术商务条款，只需在“偏离情况”一栏中注明“无偏离，完全响应</w:t>
      </w:r>
      <w:r>
        <w:rPr>
          <w:rFonts w:hint="eastAsia" w:ascii="仿宋" w:hAnsi="仿宋" w:eastAsia="仿宋" w:cs="仿宋"/>
          <w:color w:val="auto"/>
          <w:sz w:val="24"/>
          <w:szCs w:val="24"/>
          <w:highlight w:val="none"/>
          <w:lang w:eastAsia="zh-CN"/>
        </w:rPr>
        <w:t>公开招标</w:t>
      </w:r>
      <w:bookmarkStart w:id="123" w:name="_GoBack"/>
      <w:bookmarkEnd w:id="123"/>
      <w:r>
        <w:rPr>
          <w:rFonts w:hint="eastAsia" w:ascii="仿宋" w:hAnsi="仿宋" w:eastAsia="仿宋" w:cs="仿宋"/>
          <w:color w:val="auto"/>
          <w:sz w:val="24"/>
          <w:szCs w:val="24"/>
          <w:highlight w:val="none"/>
        </w:rPr>
        <w:t>文件所有要求”，</w:t>
      </w:r>
    </w:p>
    <w:p w14:paraId="2743ED31">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3、本表如有多页，应逐页加盖公章。</w:t>
      </w:r>
    </w:p>
    <w:p w14:paraId="20CACAF8">
      <w:pPr>
        <w:pStyle w:val="9"/>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197A7770">
      <w:pPr>
        <w:pStyle w:val="9"/>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供应商（全称并加盖公章）：</w:t>
      </w:r>
    </w:p>
    <w:p w14:paraId="06208505">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供应商授权代表签字：</w:t>
      </w:r>
    </w:p>
    <w:p w14:paraId="33FB5AAF">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1AD8D8A6">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007F60A1">
      <w:pPr>
        <w:pageBreakBefore w:val="0"/>
        <w:kinsoku/>
        <w:wordWrap/>
        <w:overflowPunct/>
        <w:topLinePunct w:val="0"/>
        <w:bidi w:val="0"/>
        <w:spacing w:line="360" w:lineRule="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三、技术标其他格式自拟</w:t>
      </w:r>
    </w:p>
    <w:p w14:paraId="187916E3">
      <w:pPr>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4FB41A24">
      <w:pPr>
        <w:pageBreakBefore w:val="0"/>
        <w:kinsoku/>
        <w:wordWrap/>
        <w:overflowPunct/>
        <w:topLinePunct w:val="0"/>
        <w:bidi w:val="0"/>
        <w:snapToGrid w:val="0"/>
        <w:spacing w:line="360" w:lineRule="auto"/>
        <w:ind w:firstLine="960" w:firstLineChars="400"/>
        <w:jc w:val="center"/>
        <w:outlineLvl w:val="0"/>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8"/>
          <w:szCs w:val="28"/>
          <w:highlight w:val="none"/>
        </w:rPr>
        <w:t>第三部分报价标文件（单独密封）</w:t>
      </w:r>
    </w:p>
    <w:p w14:paraId="504B496B">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p>
    <w:p w14:paraId="0652EA75">
      <w:pPr>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目录</w:t>
      </w:r>
    </w:p>
    <w:p w14:paraId="477622DA">
      <w:pPr>
        <w:pageBreakBefore w:val="0"/>
        <w:kinsoku/>
        <w:wordWrap/>
        <w:overflowPunct/>
        <w:topLinePunct w:val="0"/>
        <w:bidi w:val="0"/>
        <w:spacing w:line="360" w:lineRule="auto"/>
        <w:ind w:firstLine="960" w:firstLineChars="4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封面</w:t>
      </w:r>
    </w:p>
    <w:p w14:paraId="264F1426">
      <w:pPr>
        <w:pageBreakBefore w:val="0"/>
        <w:kinsoku/>
        <w:wordWrap/>
        <w:overflowPunct/>
        <w:topLinePunct w:val="0"/>
        <w:bidi w:val="0"/>
        <w:spacing w:line="36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2、供应商响应文件报价表</w:t>
      </w:r>
    </w:p>
    <w:p w14:paraId="778E3798">
      <w:pPr>
        <w:pStyle w:val="9"/>
        <w:pageBreakBefore w:val="0"/>
        <w:kinsoku/>
        <w:wordWrap/>
        <w:overflowPunct/>
        <w:topLinePunct w:val="0"/>
        <w:bidi w:val="0"/>
        <w:spacing w:line="360" w:lineRule="auto"/>
        <w:rPr>
          <w:rFonts w:hint="eastAsia" w:ascii="仿宋" w:hAnsi="仿宋" w:eastAsia="仿宋" w:cs="仿宋"/>
          <w:color w:val="auto"/>
          <w:sz w:val="24"/>
          <w:szCs w:val="24"/>
          <w:highlight w:val="none"/>
        </w:rPr>
      </w:pPr>
    </w:p>
    <w:p w14:paraId="4088BC5C">
      <w:pPr>
        <w:pStyle w:val="9"/>
        <w:pageBreakBefore w:val="0"/>
        <w:kinsoku/>
        <w:wordWrap/>
        <w:overflowPunct/>
        <w:topLinePunct w:val="0"/>
        <w:bidi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0FFE42D">
      <w:pPr>
        <w:pageBreakBefore w:val="0"/>
        <w:kinsoku/>
        <w:wordWrap/>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ABE1695">
      <w:pPr>
        <w:pStyle w:val="9"/>
        <w:pageBreakBefore w:val="0"/>
        <w:kinsoku/>
        <w:wordWrap/>
        <w:overflowPunct/>
        <w:topLinePunct w:val="0"/>
        <w:bidi w:val="0"/>
        <w:spacing w:line="360" w:lineRule="auto"/>
        <w:jc w:val="center"/>
        <w:rPr>
          <w:rFonts w:hint="eastAsia" w:ascii="仿宋" w:hAnsi="仿宋" w:eastAsia="仿宋" w:cs="仿宋"/>
          <w:color w:val="auto"/>
          <w:sz w:val="24"/>
          <w:szCs w:val="24"/>
          <w:highlight w:val="none"/>
        </w:rPr>
      </w:pPr>
      <w:bookmarkStart w:id="122" w:name="_Toc501715523"/>
      <w:r>
        <w:rPr>
          <w:rFonts w:hint="eastAsia" w:ascii="仿宋" w:hAnsi="仿宋" w:eastAsia="仿宋" w:cs="仿宋"/>
          <w:color w:val="auto"/>
          <w:sz w:val="24"/>
          <w:szCs w:val="24"/>
          <w:highlight w:val="none"/>
        </w:rPr>
        <w:t>一、</w:t>
      </w:r>
      <w:r>
        <w:rPr>
          <w:rFonts w:hint="eastAsia" w:ascii="仿宋" w:hAnsi="仿宋" w:eastAsia="仿宋" w:cs="仿宋"/>
          <w:b/>
          <w:bCs/>
          <w:color w:val="auto"/>
          <w:highlight w:val="none"/>
        </w:rPr>
        <w:t>供应商响应文件报价表</w:t>
      </w:r>
    </w:p>
    <w:p w14:paraId="1F214C42">
      <w:pPr>
        <w:pageBreakBefore w:val="0"/>
        <w:kinsoku/>
        <w:wordWrap/>
        <w:overflowPunct/>
        <w:topLinePunct w:val="0"/>
        <w:bidi w:val="0"/>
        <w:spacing w:line="360" w:lineRule="auto"/>
        <w:rPr>
          <w:rFonts w:hint="eastAsia"/>
          <w:sz w:val="21"/>
          <w:szCs w:val="21"/>
          <w:highlight w:val="none"/>
        </w:rPr>
      </w:pPr>
    </w:p>
    <w:tbl>
      <w:tblPr>
        <w:tblStyle w:val="22"/>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3578"/>
        <w:gridCol w:w="4298"/>
        <w:gridCol w:w="929"/>
      </w:tblGrid>
      <w:tr w14:paraId="5297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13" w:type="dxa"/>
            <w:shd w:val="clear" w:color="auto" w:fill="auto"/>
            <w:vAlign w:val="center"/>
          </w:tcPr>
          <w:p w14:paraId="114D13CC">
            <w:pPr>
              <w:pageBreakBefore w:val="0"/>
              <w:kinsoku/>
              <w:wordWrap/>
              <w:overflowPunct/>
              <w:topLinePunct w:val="0"/>
              <w:bidi w:val="0"/>
              <w:spacing w:line="360" w:lineRule="auto"/>
              <w:jc w:val="center"/>
              <w:rPr>
                <w:rFonts w:hint="eastAsia" w:ascii="仿宋" w:hAnsi="仿宋" w:eastAsia="仿宋" w:cs="仿宋"/>
                <w:sz w:val="23"/>
                <w:szCs w:val="23"/>
                <w:highlight w:val="none"/>
              </w:rPr>
            </w:pPr>
            <w:r>
              <w:rPr>
                <w:rFonts w:hint="eastAsia" w:ascii="仿宋" w:hAnsi="仿宋" w:eastAsia="仿宋" w:cs="仿宋"/>
                <w:sz w:val="23"/>
                <w:szCs w:val="23"/>
                <w:highlight w:val="none"/>
              </w:rPr>
              <w:t>序号</w:t>
            </w:r>
          </w:p>
        </w:tc>
        <w:tc>
          <w:tcPr>
            <w:tcW w:w="3578" w:type="dxa"/>
            <w:shd w:val="clear" w:color="auto" w:fill="auto"/>
            <w:vAlign w:val="center"/>
          </w:tcPr>
          <w:p w14:paraId="155800EB">
            <w:pPr>
              <w:pageBreakBefore w:val="0"/>
              <w:kinsoku/>
              <w:wordWrap/>
              <w:overflowPunct/>
              <w:topLinePunct w:val="0"/>
              <w:bidi w:val="0"/>
              <w:spacing w:line="360" w:lineRule="auto"/>
              <w:jc w:val="center"/>
              <w:rPr>
                <w:rFonts w:hint="eastAsia" w:ascii="仿宋" w:hAnsi="仿宋" w:eastAsia="仿宋" w:cs="仿宋"/>
                <w:sz w:val="23"/>
                <w:szCs w:val="23"/>
                <w:highlight w:val="none"/>
              </w:rPr>
            </w:pPr>
            <w:r>
              <w:rPr>
                <w:rFonts w:hint="eastAsia" w:ascii="仿宋" w:hAnsi="仿宋" w:eastAsia="仿宋" w:cs="仿宋"/>
                <w:sz w:val="23"/>
                <w:szCs w:val="23"/>
                <w:highlight w:val="none"/>
              </w:rPr>
              <w:t>项目名称</w:t>
            </w:r>
          </w:p>
        </w:tc>
        <w:tc>
          <w:tcPr>
            <w:tcW w:w="4298" w:type="dxa"/>
            <w:shd w:val="clear" w:color="auto" w:fill="FFFFFF"/>
            <w:vAlign w:val="center"/>
          </w:tcPr>
          <w:p w14:paraId="2CB6761F">
            <w:pPr>
              <w:pageBreakBefore w:val="0"/>
              <w:kinsoku/>
              <w:wordWrap/>
              <w:overflowPunct/>
              <w:topLinePunct w:val="0"/>
              <w:bidi w:val="0"/>
              <w:spacing w:line="360" w:lineRule="auto"/>
              <w:jc w:val="center"/>
              <w:rPr>
                <w:rFonts w:hint="eastAsia" w:ascii="仿宋" w:hAnsi="仿宋" w:eastAsia="仿宋" w:cs="仿宋"/>
                <w:sz w:val="23"/>
                <w:szCs w:val="23"/>
                <w:highlight w:val="none"/>
              </w:rPr>
            </w:pPr>
            <w:r>
              <w:rPr>
                <w:rFonts w:hint="eastAsia" w:ascii="仿宋" w:hAnsi="仿宋" w:eastAsia="仿宋" w:cs="仿宋"/>
                <w:sz w:val="23"/>
                <w:szCs w:val="23"/>
                <w:highlight w:val="none"/>
              </w:rPr>
              <w:t xml:space="preserve"> 报价</w:t>
            </w:r>
          </w:p>
        </w:tc>
        <w:tc>
          <w:tcPr>
            <w:tcW w:w="929" w:type="dxa"/>
            <w:shd w:val="clear" w:color="auto" w:fill="FFFFFF"/>
            <w:vAlign w:val="center"/>
          </w:tcPr>
          <w:p w14:paraId="4CE36A02">
            <w:pPr>
              <w:pageBreakBefore w:val="0"/>
              <w:kinsoku/>
              <w:wordWrap/>
              <w:overflowPunct/>
              <w:topLinePunct w:val="0"/>
              <w:bidi w:val="0"/>
              <w:spacing w:line="360" w:lineRule="auto"/>
              <w:jc w:val="center"/>
              <w:rPr>
                <w:rFonts w:hint="eastAsia" w:ascii="仿宋" w:hAnsi="仿宋" w:eastAsia="仿宋" w:cs="仿宋"/>
                <w:sz w:val="23"/>
                <w:szCs w:val="23"/>
                <w:highlight w:val="none"/>
              </w:rPr>
            </w:pPr>
            <w:r>
              <w:rPr>
                <w:rFonts w:hint="eastAsia" w:ascii="仿宋" w:hAnsi="仿宋" w:eastAsia="仿宋" w:cs="仿宋"/>
                <w:sz w:val="23"/>
                <w:szCs w:val="23"/>
                <w:highlight w:val="none"/>
              </w:rPr>
              <w:t>备注</w:t>
            </w:r>
          </w:p>
        </w:tc>
      </w:tr>
      <w:tr w14:paraId="1D6E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613" w:type="dxa"/>
            <w:vAlign w:val="center"/>
          </w:tcPr>
          <w:p w14:paraId="3D3A6405">
            <w:pPr>
              <w:pageBreakBefore w:val="0"/>
              <w:kinsoku/>
              <w:wordWrap/>
              <w:overflowPunct/>
              <w:topLinePunct w:val="0"/>
              <w:bidi w:val="0"/>
              <w:spacing w:line="360" w:lineRule="auto"/>
              <w:jc w:val="center"/>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3578" w:type="dxa"/>
            <w:vAlign w:val="center"/>
          </w:tcPr>
          <w:p w14:paraId="5D3F363E">
            <w:pPr>
              <w:pageBreakBefore w:val="0"/>
              <w:kinsoku/>
              <w:wordWrap/>
              <w:overflowPunct/>
              <w:topLinePunct w:val="0"/>
              <w:bidi w:val="0"/>
              <w:spacing w:line="360" w:lineRule="auto"/>
              <w:jc w:val="center"/>
              <w:rPr>
                <w:rFonts w:hint="eastAsia" w:ascii="仿宋" w:hAnsi="仿宋" w:eastAsia="仿宋" w:cs="仿宋"/>
                <w:sz w:val="23"/>
                <w:szCs w:val="23"/>
                <w:highlight w:val="none"/>
              </w:rPr>
            </w:pPr>
          </w:p>
        </w:tc>
        <w:tc>
          <w:tcPr>
            <w:tcW w:w="4298" w:type="dxa"/>
            <w:vAlign w:val="center"/>
          </w:tcPr>
          <w:p w14:paraId="1024F14C">
            <w:pPr>
              <w:pageBreakBefore w:val="0"/>
              <w:kinsoku/>
              <w:wordWrap/>
              <w:overflowPunct/>
              <w:topLinePunct w:val="0"/>
              <w:bidi w:val="0"/>
              <w:spacing w:line="360" w:lineRule="auto"/>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大写：</w:t>
            </w:r>
            <w:r>
              <w:rPr>
                <w:rFonts w:hint="eastAsia" w:ascii="仿宋" w:hAnsi="仿宋" w:eastAsia="仿宋" w:cs="仿宋"/>
                <w:sz w:val="23"/>
                <w:szCs w:val="23"/>
                <w:highlight w:val="none"/>
                <w:u w:val="single"/>
                <w:lang w:val="en-US" w:eastAsia="zh-CN"/>
              </w:rPr>
              <w:t xml:space="preserve">                           </w:t>
            </w:r>
            <w:r>
              <w:rPr>
                <w:rFonts w:hint="eastAsia" w:ascii="仿宋" w:hAnsi="仿宋" w:eastAsia="仿宋" w:cs="仿宋"/>
                <w:sz w:val="23"/>
                <w:szCs w:val="23"/>
                <w:highlight w:val="none"/>
              </w:rPr>
              <w:br w:type="textWrapping"/>
            </w:r>
            <w:r>
              <w:rPr>
                <w:rFonts w:hint="eastAsia" w:ascii="仿宋" w:hAnsi="仿宋" w:eastAsia="仿宋" w:cs="仿宋"/>
                <w:sz w:val="23"/>
                <w:szCs w:val="23"/>
                <w:highlight w:val="none"/>
              </w:rPr>
              <w:t>小写：</w:t>
            </w:r>
            <w:r>
              <w:rPr>
                <w:rFonts w:hint="eastAsia" w:ascii="仿宋" w:hAnsi="仿宋" w:eastAsia="仿宋" w:cs="仿宋"/>
                <w:sz w:val="23"/>
                <w:szCs w:val="23"/>
                <w:highlight w:val="none"/>
                <w:lang w:val="en-US" w:eastAsia="zh-CN"/>
              </w:rPr>
              <w:t>¥</w:t>
            </w:r>
            <w:r>
              <w:rPr>
                <w:rFonts w:hint="eastAsia" w:ascii="仿宋" w:hAnsi="仿宋" w:eastAsia="仿宋" w:cs="仿宋"/>
                <w:sz w:val="23"/>
                <w:szCs w:val="23"/>
                <w:highlight w:val="none"/>
                <w:u w:val="single"/>
                <w:lang w:val="en-US" w:eastAsia="zh-CN"/>
              </w:rPr>
              <w:t xml:space="preserve">              </w:t>
            </w:r>
            <w:r>
              <w:rPr>
                <w:rFonts w:hint="eastAsia" w:ascii="仿宋" w:hAnsi="仿宋" w:eastAsia="仿宋" w:cs="仿宋"/>
                <w:sz w:val="23"/>
                <w:szCs w:val="23"/>
                <w:highlight w:val="none"/>
              </w:rPr>
              <w:t>元</w:t>
            </w:r>
            <w:r>
              <w:rPr>
                <w:rFonts w:hint="eastAsia" w:ascii="仿宋" w:hAnsi="仿宋" w:eastAsia="仿宋" w:cs="仿宋"/>
                <w:sz w:val="23"/>
                <w:szCs w:val="23"/>
                <w:highlight w:val="none"/>
                <w:lang w:val="en-US" w:eastAsia="zh-CN"/>
              </w:rPr>
              <w:t>/年</w:t>
            </w:r>
            <w:r>
              <w:rPr>
                <w:rFonts w:hint="eastAsia" w:ascii="仿宋" w:hAnsi="仿宋" w:eastAsia="仿宋" w:cs="仿宋"/>
                <w:sz w:val="23"/>
                <w:szCs w:val="23"/>
                <w:highlight w:val="none"/>
              </w:rPr>
              <w:t>（人民币）</w:t>
            </w:r>
          </w:p>
        </w:tc>
        <w:tc>
          <w:tcPr>
            <w:tcW w:w="929" w:type="dxa"/>
            <w:vAlign w:val="center"/>
          </w:tcPr>
          <w:p w14:paraId="14DF344C">
            <w:pPr>
              <w:pageBreakBefore w:val="0"/>
              <w:kinsoku/>
              <w:wordWrap/>
              <w:overflowPunct/>
              <w:topLinePunct w:val="0"/>
              <w:bidi w:val="0"/>
              <w:spacing w:line="360" w:lineRule="auto"/>
              <w:rPr>
                <w:rFonts w:hint="eastAsia" w:ascii="仿宋" w:hAnsi="仿宋" w:eastAsia="仿宋" w:cs="仿宋"/>
                <w:bCs/>
                <w:kern w:val="0"/>
                <w:sz w:val="23"/>
                <w:szCs w:val="23"/>
                <w:highlight w:val="none"/>
              </w:rPr>
            </w:pPr>
          </w:p>
        </w:tc>
      </w:tr>
      <w:tr w14:paraId="1CB4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613" w:type="dxa"/>
            <w:vAlign w:val="center"/>
          </w:tcPr>
          <w:p w14:paraId="785BE627">
            <w:pPr>
              <w:pageBreakBefore w:val="0"/>
              <w:kinsoku/>
              <w:wordWrap/>
              <w:overflowPunct/>
              <w:topLinePunct w:val="0"/>
              <w:bidi w:val="0"/>
              <w:spacing w:line="360" w:lineRule="auto"/>
              <w:jc w:val="center"/>
              <w:rPr>
                <w:rFonts w:hint="eastAsia" w:ascii="仿宋" w:hAnsi="仿宋" w:eastAsia="仿宋" w:cs="仿宋"/>
                <w:sz w:val="23"/>
                <w:szCs w:val="23"/>
                <w:highlight w:val="none"/>
                <w:lang w:val="en-US" w:eastAsia="zh-CN"/>
              </w:rPr>
            </w:pPr>
            <w:r>
              <w:rPr>
                <w:rFonts w:hint="eastAsia" w:ascii="仿宋" w:hAnsi="仿宋" w:eastAsia="仿宋" w:cs="仿宋"/>
                <w:sz w:val="23"/>
                <w:szCs w:val="23"/>
                <w:highlight w:val="none"/>
                <w:lang w:val="en-US" w:eastAsia="zh-CN"/>
              </w:rPr>
              <w:t>2</w:t>
            </w:r>
          </w:p>
        </w:tc>
        <w:tc>
          <w:tcPr>
            <w:tcW w:w="3578" w:type="dxa"/>
            <w:vAlign w:val="center"/>
          </w:tcPr>
          <w:p w14:paraId="5EDD0052">
            <w:pPr>
              <w:pageBreakBefore w:val="0"/>
              <w:kinsoku/>
              <w:wordWrap/>
              <w:overflowPunct/>
              <w:topLinePunct w:val="0"/>
              <w:bidi w:val="0"/>
              <w:spacing w:line="360" w:lineRule="auto"/>
              <w:jc w:val="center"/>
              <w:rPr>
                <w:rFonts w:hint="eastAsia" w:ascii="仿宋" w:hAnsi="仿宋" w:eastAsia="仿宋" w:cs="仿宋"/>
                <w:b w:val="0"/>
                <w:bCs/>
                <w:kern w:val="2"/>
                <w:sz w:val="23"/>
                <w:szCs w:val="23"/>
                <w:highlight w:val="none"/>
                <w:lang w:val="en-US" w:eastAsia="zh-CN" w:bidi="ar-SA"/>
              </w:rPr>
            </w:pPr>
            <w:r>
              <w:rPr>
                <w:rFonts w:hint="eastAsia" w:ascii="仿宋" w:hAnsi="仿宋" w:eastAsia="仿宋" w:cs="仿宋"/>
                <w:b w:val="0"/>
                <w:bCs/>
                <w:sz w:val="24"/>
                <w:szCs w:val="24"/>
                <w:highlight w:val="none"/>
                <w:lang w:eastAsia="zh-CN"/>
              </w:rPr>
              <w:t>除免费代理案件外，</w:t>
            </w:r>
            <w:r>
              <w:rPr>
                <w:rFonts w:hint="eastAsia" w:ascii="仿宋" w:hAnsi="仿宋" w:eastAsia="仿宋" w:cs="仿宋"/>
                <w:b w:val="0"/>
                <w:bCs/>
                <w:sz w:val="24"/>
                <w:szCs w:val="24"/>
                <w:highlight w:val="none"/>
              </w:rPr>
              <w:t xml:space="preserve">受理采购人委托的诉讼、仲裁、复议等案件的服务。 </w:t>
            </w:r>
          </w:p>
        </w:tc>
        <w:tc>
          <w:tcPr>
            <w:tcW w:w="4298" w:type="dxa"/>
            <w:vAlign w:val="center"/>
          </w:tcPr>
          <w:p w14:paraId="09C5D94B">
            <w:pPr>
              <w:pageBreakBefore w:val="0"/>
              <w:kinsoku/>
              <w:wordWrap/>
              <w:overflowPunct/>
              <w:topLinePunct w:val="0"/>
              <w:bidi w:val="0"/>
              <w:spacing w:line="360" w:lineRule="auto"/>
              <w:jc w:val="both"/>
              <w:rPr>
                <w:rFonts w:hint="eastAsia" w:ascii="仿宋" w:hAnsi="仿宋" w:eastAsia="仿宋" w:cs="仿宋"/>
                <w:b w:val="0"/>
                <w:bCs/>
                <w:kern w:val="2"/>
                <w:sz w:val="23"/>
                <w:szCs w:val="23"/>
                <w:highlight w:val="none"/>
                <w:lang w:val="en-US" w:eastAsia="zh-CN" w:bidi="ar-SA"/>
              </w:rPr>
            </w:pPr>
            <w:r>
              <w:rPr>
                <w:rFonts w:hint="eastAsia" w:ascii="仿宋" w:hAnsi="仿宋" w:eastAsia="仿宋" w:cs="仿宋"/>
                <w:b w:val="0"/>
                <w:bCs/>
                <w:sz w:val="24"/>
                <w:szCs w:val="24"/>
                <w:highlight w:val="none"/>
              </w:rPr>
              <w:t>本项为不可竞争费。按照国家发改委、司法部相关文件以及江苏省物价局、江苏省司法厅办分费421号文件规定的收费标准下限的</w:t>
            </w:r>
            <w:r>
              <w:rPr>
                <w:rFonts w:hint="eastAsia" w:ascii="仿宋" w:hAnsi="仿宋" w:eastAsia="仿宋" w:cs="仿宋"/>
                <w:b w:val="0"/>
                <w:bCs/>
                <w:sz w:val="24"/>
                <w:szCs w:val="24"/>
                <w:highlight w:val="none"/>
                <w:lang w:eastAsia="zh-CN"/>
              </w:rPr>
              <w:t>六</w:t>
            </w:r>
            <w:r>
              <w:rPr>
                <w:rFonts w:hint="eastAsia" w:ascii="仿宋" w:hAnsi="仿宋" w:eastAsia="仿宋" w:cs="仿宋"/>
                <w:b w:val="0"/>
                <w:bCs/>
                <w:sz w:val="24"/>
                <w:szCs w:val="24"/>
                <w:highlight w:val="none"/>
              </w:rPr>
              <w:t>折收取。</w:t>
            </w:r>
          </w:p>
        </w:tc>
        <w:tc>
          <w:tcPr>
            <w:tcW w:w="929" w:type="dxa"/>
            <w:vAlign w:val="center"/>
          </w:tcPr>
          <w:p w14:paraId="312D53BE">
            <w:pPr>
              <w:pageBreakBefore w:val="0"/>
              <w:kinsoku/>
              <w:wordWrap/>
              <w:overflowPunct/>
              <w:topLinePunct w:val="0"/>
              <w:bidi w:val="0"/>
              <w:spacing w:line="360" w:lineRule="auto"/>
              <w:rPr>
                <w:rFonts w:hint="eastAsia" w:ascii="仿宋" w:hAnsi="仿宋" w:eastAsia="仿宋" w:cs="仿宋"/>
                <w:bCs/>
                <w:kern w:val="0"/>
                <w:sz w:val="23"/>
                <w:szCs w:val="23"/>
                <w:highlight w:val="none"/>
              </w:rPr>
            </w:pPr>
          </w:p>
        </w:tc>
      </w:tr>
    </w:tbl>
    <w:p w14:paraId="40D8A864">
      <w:pPr>
        <w:pageBreakBefore w:val="0"/>
        <w:kinsoku/>
        <w:wordWrap/>
        <w:overflowPunct/>
        <w:topLinePunct w:val="0"/>
        <w:bidi w:val="0"/>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 xml:space="preserve">                                  </w:t>
      </w:r>
    </w:p>
    <w:p w14:paraId="12B3DA1B">
      <w:pPr>
        <w:pageBreakBefore w:val="0"/>
        <w:kinsoku/>
        <w:wordWrap/>
        <w:overflowPunct/>
        <w:topLinePunct w:val="0"/>
        <w:bidi w:val="0"/>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 xml:space="preserve">法定代表人或者授权代表（签字或盖章）：                    </w:t>
      </w:r>
    </w:p>
    <w:p w14:paraId="56C486FF">
      <w:pPr>
        <w:pageBreakBefore w:val="0"/>
        <w:kinsoku/>
        <w:wordWrap/>
        <w:overflowPunct/>
        <w:topLinePunct w:val="0"/>
        <w:bidi w:val="0"/>
        <w:spacing w:line="360" w:lineRule="auto"/>
        <w:rPr>
          <w:rFonts w:hint="eastAsia" w:ascii="仿宋" w:hAnsi="仿宋" w:eastAsia="仿宋" w:cs="仿宋"/>
          <w:color w:val="auto"/>
          <w:sz w:val="24"/>
          <w:szCs w:val="22"/>
          <w:highlight w:val="none"/>
          <w:u w:val="single"/>
        </w:rPr>
      </w:pPr>
      <w:r>
        <w:rPr>
          <w:rFonts w:hint="eastAsia" w:ascii="仿宋" w:hAnsi="仿宋" w:eastAsia="仿宋" w:cs="仿宋"/>
          <w:color w:val="auto"/>
          <w:sz w:val="24"/>
          <w:szCs w:val="22"/>
          <w:highlight w:val="none"/>
        </w:rPr>
        <w:t>供应商全称（盖章）：</w:t>
      </w:r>
    </w:p>
    <w:p w14:paraId="6EEEDFAA">
      <w:pPr>
        <w:pageBreakBefore w:val="0"/>
        <w:kinsoku/>
        <w:wordWrap/>
        <w:overflowPunct/>
        <w:topLinePunct w:val="0"/>
        <w:bidi w:val="0"/>
        <w:spacing w:line="360" w:lineRule="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 xml:space="preserve">                                               日期：    年   月    日</w:t>
      </w:r>
    </w:p>
    <w:p w14:paraId="0A2723A9">
      <w:pPr>
        <w:pageBreakBefore w:val="0"/>
        <w:kinsoku/>
        <w:wordWrap/>
        <w:overflowPunct/>
        <w:topLinePunct w:val="0"/>
        <w:bidi w:val="0"/>
        <w:snapToGrid w:val="0"/>
        <w:spacing w:line="360" w:lineRule="auto"/>
        <w:ind w:firstLine="316" w:firstLineChars="150"/>
        <w:rPr>
          <w:rFonts w:hint="eastAsia" w:ascii="仿宋" w:hAnsi="仿宋" w:eastAsia="仿宋" w:cs="仿宋"/>
          <w:b/>
          <w:kern w:val="0"/>
          <w:sz w:val="21"/>
          <w:szCs w:val="21"/>
          <w:highlight w:val="none"/>
        </w:rPr>
      </w:pPr>
    </w:p>
    <w:p w14:paraId="6CFF90E9">
      <w:pPr>
        <w:pageBreakBefore w:val="0"/>
        <w:kinsoku/>
        <w:wordWrap/>
        <w:overflowPunct/>
        <w:topLinePunct w:val="0"/>
        <w:bidi w:val="0"/>
        <w:snapToGrid w:val="0"/>
        <w:spacing w:line="360" w:lineRule="auto"/>
        <w:ind w:firstLine="316" w:firstLineChars="150"/>
        <w:rPr>
          <w:rFonts w:hint="eastAsia" w:ascii="仿宋" w:hAnsi="仿宋" w:eastAsia="仿宋" w:cs="仿宋"/>
          <w:sz w:val="21"/>
          <w:szCs w:val="21"/>
          <w:highlight w:val="none"/>
        </w:rPr>
      </w:pPr>
      <w:r>
        <w:rPr>
          <w:rFonts w:hint="eastAsia" w:ascii="仿宋" w:hAnsi="仿宋" w:eastAsia="仿宋" w:cs="仿宋"/>
          <w:b/>
          <w:kern w:val="0"/>
          <w:sz w:val="21"/>
          <w:szCs w:val="21"/>
          <w:highlight w:val="none"/>
        </w:rPr>
        <w:t>注：</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此表可以根据需要自行增减行数，且该表报价</w:t>
      </w:r>
      <w:r>
        <w:rPr>
          <w:rFonts w:hint="eastAsia" w:ascii="仿宋" w:hAnsi="仿宋" w:eastAsia="仿宋" w:cs="仿宋"/>
          <w:sz w:val="21"/>
          <w:szCs w:val="21"/>
          <w:highlight w:val="none"/>
          <w:lang w:eastAsia="zh-CN"/>
        </w:rPr>
        <w:t>为</w:t>
      </w:r>
      <w:r>
        <w:rPr>
          <w:rFonts w:hint="eastAsia" w:ascii="仿宋" w:hAnsi="仿宋" w:eastAsia="仿宋" w:cs="仿宋"/>
          <w:sz w:val="21"/>
          <w:szCs w:val="21"/>
          <w:highlight w:val="none"/>
        </w:rPr>
        <w:t>本次中的最后报价。</w:t>
      </w:r>
    </w:p>
    <w:p w14:paraId="7BF5B34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p>
    <w:bookmarkEnd w:id="122"/>
    <w:p w14:paraId="0B603A5B">
      <w:pPr>
        <w:pStyle w:val="41"/>
        <w:pageBreakBefore w:val="0"/>
        <w:kinsoku/>
        <w:wordWrap/>
        <w:overflowPunct/>
        <w:topLinePunct w:val="0"/>
        <w:bidi w:val="0"/>
        <w:spacing w:line="360" w:lineRule="auto"/>
        <w:ind w:left="0" w:leftChars="0" w:firstLine="0" w:firstLineChars="0"/>
        <w:rPr>
          <w:rFonts w:hint="eastAsia" w:ascii="仿宋" w:hAnsi="仿宋" w:eastAsia="仿宋" w:cs="仿宋"/>
          <w:color w:val="auto"/>
          <w:highlight w:val="none"/>
          <w:lang w:val="en-US" w:eastAsia="zh-CN"/>
        </w:rPr>
      </w:pPr>
    </w:p>
    <w:p w14:paraId="16B610B3">
      <w:pPr>
        <w:pageBreakBefore w:val="0"/>
        <w:kinsoku/>
        <w:wordWrap/>
        <w:overflowPunct/>
        <w:topLinePunct w:val="0"/>
        <w:bidi w:val="0"/>
        <w:spacing w:line="360" w:lineRule="auto"/>
        <w:rPr>
          <w:rFonts w:hint="eastAsia" w:ascii="仿宋" w:hAnsi="仿宋" w:eastAsia="仿宋" w:cs="仿宋"/>
          <w:color w:val="auto"/>
          <w:highlight w:val="none"/>
          <w:lang w:val="en-US" w:eastAsia="zh-CN"/>
        </w:rPr>
      </w:pPr>
    </w:p>
    <w:p w14:paraId="3AB247A7">
      <w:pPr>
        <w:pStyle w:val="2"/>
        <w:ind w:left="0" w:leftChars="0" w:firstLine="0" w:firstLineChars="0"/>
        <w:rPr>
          <w:rFonts w:hint="default" w:ascii="仿宋" w:hAnsi="仿宋" w:eastAsia="仿宋" w:cs="仿宋"/>
          <w:b/>
          <w:bCs/>
          <w:color w:val="auto"/>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8142">
    <w:pPr>
      <w:pStyle w:val="15"/>
      <w:tabs>
        <w:tab w:val="cente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8590" cy="153035"/>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48590" cy="153035"/>
                      </a:xfrm>
                      <a:prstGeom prst="rect">
                        <a:avLst/>
                      </a:prstGeom>
                      <a:noFill/>
                      <a:ln w="9525">
                        <a:noFill/>
                      </a:ln>
                      <a:effectLst/>
                    </wps:spPr>
                    <wps:txbx>
                      <w:txbxContent>
                        <w:p w14:paraId="26CE1BCE">
                          <w:pPr>
                            <w:pStyle w:val="11"/>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2.05pt;width:11.7pt;mso-position-horizontal:center;mso-position-horizontal-relative:margin;mso-wrap-style:none;z-index:251659264;mso-width-relative:page;mso-height-relative:page;" filled="f" stroked="f" coordsize="21600,21600" o:gfxdata="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u8fs/0QAAAAMBAAAPAAAAAAAAAAEA&#10;IAAAACIAAABkcnMvZG93bnJldi54bWxQSwECFAAUAAAACACHTuJAHyLwGN0BAACxAwAADgAAAAAA&#10;AAABACAAAAAgAQAAZHJzL2Uyb0RvYy54bWxQSwUGAAAAAAYABgBZAQAAbwUAAAAA&#10;">
              <v:fill on="f" focussize="0,0"/>
              <v:stroke on="f"/>
              <v:imagedata o:title=""/>
              <o:lock v:ext="edit" aspectratio="f"/>
              <v:textbox inset="0mm,0mm,0mm,0mm" style="mso-fit-shape-to-text:t;">
                <w:txbxContent>
                  <w:p w14:paraId="26CE1BCE">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0C5B8"/>
    <w:multiLevelType w:val="singleLevel"/>
    <w:tmpl w:val="1870C5B8"/>
    <w:lvl w:ilvl="0" w:tentative="0">
      <w:start w:val="1"/>
      <w:numFmt w:val="chineseCounting"/>
      <w:suff w:val="space"/>
      <w:lvlText w:val="第%1部分"/>
      <w:lvlJc w:val="left"/>
      <w:rPr>
        <w:rFonts w:hint="eastAsia"/>
      </w:rPr>
    </w:lvl>
  </w:abstractNum>
  <w:abstractNum w:abstractNumId="1">
    <w:nsid w:val="6981736E"/>
    <w:multiLevelType w:val="singleLevel"/>
    <w:tmpl w:val="6981736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YjNjZTRmNzNkODUwNmI5ZTU1NmM5NDljMDcwYzUifQ=="/>
    <w:docVar w:name="KSO_WPS_MARK_KEY" w:val="aec759aa-0e81-4aba-93ee-ea625e724371"/>
  </w:docVars>
  <w:rsids>
    <w:rsidRoot w:val="009F1011"/>
    <w:rsid w:val="0000025E"/>
    <w:rsid w:val="00001697"/>
    <w:rsid w:val="00001F6A"/>
    <w:rsid w:val="00003041"/>
    <w:rsid w:val="000058C2"/>
    <w:rsid w:val="00005E2B"/>
    <w:rsid w:val="00007C60"/>
    <w:rsid w:val="00010F18"/>
    <w:rsid w:val="00012822"/>
    <w:rsid w:val="00012D3A"/>
    <w:rsid w:val="000130AC"/>
    <w:rsid w:val="0001541B"/>
    <w:rsid w:val="00017EA8"/>
    <w:rsid w:val="00023984"/>
    <w:rsid w:val="00024622"/>
    <w:rsid w:val="0002624A"/>
    <w:rsid w:val="000263F9"/>
    <w:rsid w:val="0003295B"/>
    <w:rsid w:val="0003347D"/>
    <w:rsid w:val="00035869"/>
    <w:rsid w:val="000410D2"/>
    <w:rsid w:val="0004255A"/>
    <w:rsid w:val="000425EE"/>
    <w:rsid w:val="0004452C"/>
    <w:rsid w:val="00046141"/>
    <w:rsid w:val="00052AE4"/>
    <w:rsid w:val="00056847"/>
    <w:rsid w:val="00060E14"/>
    <w:rsid w:val="00061ECB"/>
    <w:rsid w:val="00062E7B"/>
    <w:rsid w:val="000650C7"/>
    <w:rsid w:val="00065304"/>
    <w:rsid w:val="0006606E"/>
    <w:rsid w:val="0006682A"/>
    <w:rsid w:val="00066FB5"/>
    <w:rsid w:val="0006715B"/>
    <w:rsid w:val="00073429"/>
    <w:rsid w:val="000736B5"/>
    <w:rsid w:val="00073A6F"/>
    <w:rsid w:val="000743AE"/>
    <w:rsid w:val="000744D8"/>
    <w:rsid w:val="00074BE3"/>
    <w:rsid w:val="0007705F"/>
    <w:rsid w:val="00077C86"/>
    <w:rsid w:val="000819BE"/>
    <w:rsid w:val="00086398"/>
    <w:rsid w:val="00087F54"/>
    <w:rsid w:val="00094728"/>
    <w:rsid w:val="0009476B"/>
    <w:rsid w:val="00096110"/>
    <w:rsid w:val="000A01F6"/>
    <w:rsid w:val="000A031B"/>
    <w:rsid w:val="000A1377"/>
    <w:rsid w:val="000A3463"/>
    <w:rsid w:val="000A393A"/>
    <w:rsid w:val="000A592A"/>
    <w:rsid w:val="000B0BCC"/>
    <w:rsid w:val="000B1EB3"/>
    <w:rsid w:val="000B3306"/>
    <w:rsid w:val="000B4099"/>
    <w:rsid w:val="000B5215"/>
    <w:rsid w:val="000B60C6"/>
    <w:rsid w:val="000B6829"/>
    <w:rsid w:val="000B7EAD"/>
    <w:rsid w:val="000C24E7"/>
    <w:rsid w:val="000C4097"/>
    <w:rsid w:val="000C478A"/>
    <w:rsid w:val="000D20C2"/>
    <w:rsid w:val="000D2B96"/>
    <w:rsid w:val="000D3267"/>
    <w:rsid w:val="000D3F91"/>
    <w:rsid w:val="000D402B"/>
    <w:rsid w:val="000D5EFA"/>
    <w:rsid w:val="000D66EA"/>
    <w:rsid w:val="000D6BEA"/>
    <w:rsid w:val="000E102E"/>
    <w:rsid w:val="000E3064"/>
    <w:rsid w:val="000E4E07"/>
    <w:rsid w:val="000F3323"/>
    <w:rsid w:val="000F357E"/>
    <w:rsid w:val="000F3689"/>
    <w:rsid w:val="000F6601"/>
    <w:rsid w:val="000F775D"/>
    <w:rsid w:val="00100BE8"/>
    <w:rsid w:val="00101A8F"/>
    <w:rsid w:val="00103DFE"/>
    <w:rsid w:val="0010479C"/>
    <w:rsid w:val="00104B93"/>
    <w:rsid w:val="001053FC"/>
    <w:rsid w:val="0010688E"/>
    <w:rsid w:val="001100AD"/>
    <w:rsid w:val="0011569F"/>
    <w:rsid w:val="00116528"/>
    <w:rsid w:val="00117B03"/>
    <w:rsid w:val="00120788"/>
    <w:rsid w:val="00121C82"/>
    <w:rsid w:val="00121DC3"/>
    <w:rsid w:val="00127786"/>
    <w:rsid w:val="00127AB5"/>
    <w:rsid w:val="00130D83"/>
    <w:rsid w:val="00132CF0"/>
    <w:rsid w:val="00133BC4"/>
    <w:rsid w:val="00135AE5"/>
    <w:rsid w:val="001373CA"/>
    <w:rsid w:val="00137AB9"/>
    <w:rsid w:val="0014039B"/>
    <w:rsid w:val="00140809"/>
    <w:rsid w:val="0014176C"/>
    <w:rsid w:val="0014198C"/>
    <w:rsid w:val="00142949"/>
    <w:rsid w:val="0014391A"/>
    <w:rsid w:val="0015414A"/>
    <w:rsid w:val="00155727"/>
    <w:rsid w:val="00155A76"/>
    <w:rsid w:val="00155C1B"/>
    <w:rsid w:val="00155EB1"/>
    <w:rsid w:val="00160E7A"/>
    <w:rsid w:val="001645F4"/>
    <w:rsid w:val="0017056C"/>
    <w:rsid w:val="00170C44"/>
    <w:rsid w:val="00173291"/>
    <w:rsid w:val="001757EE"/>
    <w:rsid w:val="00176582"/>
    <w:rsid w:val="001821BD"/>
    <w:rsid w:val="00186122"/>
    <w:rsid w:val="001904BD"/>
    <w:rsid w:val="001913A2"/>
    <w:rsid w:val="0019175F"/>
    <w:rsid w:val="00192048"/>
    <w:rsid w:val="00194DF8"/>
    <w:rsid w:val="00197238"/>
    <w:rsid w:val="00197CAE"/>
    <w:rsid w:val="001A0457"/>
    <w:rsid w:val="001A6B7B"/>
    <w:rsid w:val="001A7550"/>
    <w:rsid w:val="001B5066"/>
    <w:rsid w:val="001C026F"/>
    <w:rsid w:val="001C6135"/>
    <w:rsid w:val="001C74E5"/>
    <w:rsid w:val="001C7994"/>
    <w:rsid w:val="001D0985"/>
    <w:rsid w:val="001D2BB2"/>
    <w:rsid w:val="001D660C"/>
    <w:rsid w:val="001E03F3"/>
    <w:rsid w:val="001E4236"/>
    <w:rsid w:val="001E5C39"/>
    <w:rsid w:val="001E69A0"/>
    <w:rsid w:val="001F0E80"/>
    <w:rsid w:val="001F3A6F"/>
    <w:rsid w:val="001F40F1"/>
    <w:rsid w:val="001F5C55"/>
    <w:rsid w:val="001F6CDB"/>
    <w:rsid w:val="001F6D46"/>
    <w:rsid w:val="00201724"/>
    <w:rsid w:val="00201E87"/>
    <w:rsid w:val="00202FE8"/>
    <w:rsid w:val="002032C6"/>
    <w:rsid w:val="002056E8"/>
    <w:rsid w:val="00206F98"/>
    <w:rsid w:val="0021058F"/>
    <w:rsid w:val="00211835"/>
    <w:rsid w:val="0021189A"/>
    <w:rsid w:val="002137C5"/>
    <w:rsid w:val="00214F13"/>
    <w:rsid w:val="00215EA6"/>
    <w:rsid w:val="00217F4B"/>
    <w:rsid w:val="00224210"/>
    <w:rsid w:val="0022591B"/>
    <w:rsid w:val="002343F1"/>
    <w:rsid w:val="00237B48"/>
    <w:rsid w:val="00240A33"/>
    <w:rsid w:val="00243A03"/>
    <w:rsid w:val="00245489"/>
    <w:rsid w:val="00246387"/>
    <w:rsid w:val="00250957"/>
    <w:rsid w:val="00252E6C"/>
    <w:rsid w:val="00254355"/>
    <w:rsid w:val="00255199"/>
    <w:rsid w:val="00255F66"/>
    <w:rsid w:val="0025647D"/>
    <w:rsid w:val="002568E5"/>
    <w:rsid w:val="00257AE2"/>
    <w:rsid w:val="0026238D"/>
    <w:rsid w:val="0026484A"/>
    <w:rsid w:val="00264AFC"/>
    <w:rsid w:val="00267724"/>
    <w:rsid w:val="002710FC"/>
    <w:rsid w:val="002749C6"/>
    <w:rsid w:val="002749F7"/>
    <w:rsid w:val="00274C52"/>
    <w:rsid w:val="00276937"/>
    <w:rsid w:val="002802A1"/>
    <w:rsid w:val="00280916"/>
    <w:rsid w:val="002823A8"/>
    <w:rsid w:val="0028419D"/>
    <w:rsid w:val="00285FF7"/>
    <w:rsid w:val="00286635"/>
    <w:rsid w:val="0029064B"/>
    <w:rsid w:val="00291323"/>
    <w:rsid w:val="0029314B"/>
    <w:rsid w:val="00294BEF"/>
    <w:rsid w:val="002969FC"/>
    <w:rsid w:val="002A0442"/>
    <w:rsid w:val="002A0B9D"/>
    <w:rsid w:val="002A151B"/>
    <w:rsid w:val="002A4391"/>
    <w:rsid w:val="002A64E2"/>
    <w:rsid w:val="002A77AD"/>
    <w:rsid w:val="002A7B7D"/>
    <w:rsid w:val="002B09E9"/>
    <w:rsid w:val="002B4046"/>
    <w:rsid w:val="002B424A"/>
    <w:rsid w:val="002C0D11"/>
    <w:rsid w:val="002C23FA"/>
    <w:rsid w:val="002C4A32"/>
    <w:rsid w:val="002C5110"/>
    <w:rsid w:val="002C569D"/>
    <w:rsid w:val="002C58E0"/>
    <w:rsid w:val="002C598E"/>
    <w:rsid w:val="002C75CE"/>
    <w:rsid w:val="002C7F93"/>
    <w:rsid w:val="002D23CC"/>
    <w:rsid w:val="002D36A0"/>
    <w:rsid w:val="002D4193"/>
    <w:rsid w:val="002D616F"/>
    <w:rsid w:val="002D7337"/>
    <w:rsid w:val="002D7A34"/>
    <w:rsid w:val="002D7E58"/>
    <w:rsid w:val="002E0C20"/>
    <w:rsid w:val="002E1C08"/>
    <w:rsid w:val="002E5225"/>
    <w:rsid w:val="002E6240"/>
    <w:rsid w:val="002E710B"/>
    <w:rsid w:val="002F06BF"/>
    <w:rsid w:val="002F57F9"/>
    <w:rsid w:val="003009CB"/>
    <w:rsid w:val="0030105C"/>
    <w:rsid w:val="003012B0"/>
    <w:rsid w:val="00303868"/>
    <w:rsid w:val="00305BAF"/>
    <w:rsid w:val="00305DE8"/>
    <w:rsid w:val="003078E6"/>
    <w:rsid w:val="00315417"/>
    <w:rsid w:val="003158B6"/>
    <w:rsid w:val="00320856"/>
    <w:rsid w:val="00321AB4"/>
    <w:rsid w:val="00321C21"/>
    <w:rsid w:val="00323B8F"/>
    <w:rsid w:val="0034093D"/>
    <w:rsid w:val="00343918"/>
    <w:rsid w:val="00344186"/>
    <w:rsid w:val="00344761"/>
    <w:rsid w:val="00346644"/>
    <w:rsid w:val="003469F0"/>
    <w:rsid w:val="00350BA7"/>
    <w:rsid w:val="00351217"/>
    <w:rsid w:val="00351EC9"/>
    <w:rsid w:val="0035654C"/>
    <w:rsid w:val="003576C5"/>
    <w:rsid w:val="003603FD"/>
    <w:rsid w:val="00366F74"/>
    <w:rsid w:val="00370E99"/>
    <w:rsid w:val="003747CC"/>
    <w:rsid w:val="00374886"/>
    <w:rsid w:val="003752C8"/>
    <w:rsid w:val="00375D5A"/>
    <w:rsid w:val="00376D15"/>
    <w:rsid w:val="00380A36"/>
    <w:rsid w:val="003828F1"/>
    <w:rsid w:val="00383108"/>
    <w:rsid w:val="00383120"/>
    <w:rsid w:val="003831F9"/>
    <w:rsid w:val="00384E3B"/>
    <w:rsid w:val="00391285"/>
    <w:rsid w:val="00393CFA"/>
    <w:rsid w:val="00395064"/>
    <w:rsid w:val="003A53F8"/>
    <w:rsid w:val="003A6F77"/>
    <w:rsid w:val="003B1B26"/>
    <w:rsid w:val="003B5F80"/>
    <w:rsid w:val="003C1C5C"/>
    <w:rsid w:val="003C3057"/>
    <w:rsid w:val="003C38EF"/>
    <w:rsid w:val="003C719F"/>
    <w:rsid w:val="003D0BEE"/>
    <w:rsid w:val="003D2651"/>
    <w:rsid w:val="003D464E"/>
    <w:rsid w:val="003D4A5D"/>
    <w:rsid w:val="003D4C5F"/>
    <w:rsid w:val="003D4E4B"/>
    <w:rsid w:val="003E3D1D"/>
    <w:rsid w:val="003E6499"/>
    <w:rsid w:val="003E6A54"/>
    <w:rsid w:val="003E7995"/>
    <w:rsid w:val="003E7AAA"/>
    <w:rsid w:val="003E7D16"/>
    <w:rsid w:val="003F088B"/>
    <w:rsid w:val="003F2530"/>
    <w:rsid w:val="003F3001"/>
    <w:rsid w:val="003F40E0"/>
    <w:rsid w:val="003F41BE"/>
    <w:rsid w:val="003F6FBD"/>
    <w:rsid w:val="00403BCA"/>
    <w:rsid w:val="00404018"/>
    <w:rsid w:val="00404612"/>
    <w:rsid w:val="004140F7"/>
    <w:rsid w:val="00414C8B"/>
    <w:rsid w:val="00415390"/>
    <w:rsid w:val="004172B4"/>
    <w:rsid w:val="004179B8"/>
    <w:rsid w:val="004214D6"/>
    <w:rsid w:val="00422D53"/>
    <w:rsid w:val="004263D8"/>
    <w:rsid w:val="004265CE"/>
    <w:rsid w:val="004268EF"/>
    <w:rsid w:val="00432794"/>
    <w:rsid w:val="004350E0"/>
    <w:rsid w:val="00435727"/>
    <w:rsid w:val="00436A4A"/>
    <w:rsid w:val="00437812"/>
    <w:rsid w:val="00441724"/>
    <w:rsid w:val="00444D36"/>
    <w:rsid w:val="00446311"/>
    <w:rsid w:val="004469CD"/>
    <w:rsid w:val="00454123"/>
    <w:rsid w:val="00454A2F"/>
    <w:rsid w:val="00457808"/>
    <w:rsid w:val="004610C0"/>
    <w:rsid w:val="00462540"/>
    <w:rsid w:val="004629FF"/>
    <w:rsid w:val="00463470"/>
    <w:rsid w:val="0046644A"/>
    <w:rsid w:val="00466F76"/>
    <w:rsid w:val="00467971"/>
    <w:rsid w:val="004705CA"/>
    <w:rsid w:val="00474D3C"/>
    <w:rsid w:val="00476149"/>
    <w:rsid w:val="0047616B"/>
    <w:rsid w:val="00476789"/>
    <w:rsid w:val="0048057F"/>
    <w:rsid w:val="004821D1"/>
    <w:rsid w:val="00482214"/>
    <w:rsid w:val="0048344E"/>
    <w:rsid w:val="00486182"/>
    <w:rsid w:val="00486D83"/>
    <w:rsid w:val="00492535"/>
    <w:rsid w:val="004925F1"/>
    <w:rsid w:val="004953C2"/>
    <w:rsid w:val="004957B1"/>
    <w:rsid w:val="004960F8"/>
    <w:rsid w:val="00497A5B"/>
    <w:rsid w:val="004A0C46"/>
    <w:rsid w:val="004A198D"/>
    <w:rsid w:val="004A2314"/>
    <w:rsid w:val="004A3A22"/>
    <w:rsid w:val="004A55A9"/>
    <w:rsid w:val="004A56A7"/>
    <w:rsid w:val="004A7D78"/>
    <w:rsid w:val="004B05DD"/>
    <w:rsid w:val="004B2A0C"/>
    <w:rsid w:val="004B33EC"/>
    <w:rsid w:val="004B5174"/>
    <w:rsid w:val="004C20D2"/>
    <w:rsid w:val="004C28BE"/>
    <w:rsid w:val="004C41CA"/>
    <w:rsid w:val="004C4653"/>
    <w:rsid w:val="004C46B7"/>
    <w:rsid w:val="004C5F9E"/>
    <w:rsid w:val="004C79C1"/>
    <w:rsid w:val="004C7F40"/>
    <w:rsid w:val="004D1869"/>
    <w:rsid w:val="004D2CFB"/>
    <w:rsid w:val="004D6863"/>
    <w:rsid w:val="004D71A1"/>
    <w:rsid w:val="004D72D0"/>
    <w:rsid w:val="004D7FCE"/>
    <w:rsid w:val="004E1113"/>
    <w:rsid w:val="004E21B4"/>
    <w:rsid w:val="004E60B1"/>
    <w:rsid w:val="004E6AE4"/>
    <w:rsid w:val="004E6F5F"/>
    <w:rsid w:val="004E79B7"/>
    <w:rsid w:val="004E7F3C"/>
    <w:rsid w:val="004F13B5"/>
    <w:rsid w:val="004F20A5"/>
    <w:rsid w:val="004F387E"/>
    <w:rsid w:val="004F60C1"/>
    <w:rsid w:val="004F6C9D"/>
    <w:rsid w:val="004F72DA"/>
    <w:rsid w:val="00500636"/>
    <w:rsid w:val="005009A5"/>
    <w:rsid w:val="00504C57"/>
    <w:rsid w:val="00507A1F"/>
    <w:rsid w:val="00514F85"/>
    <w:rsid w:val="005203BF"/>
    <w:rsid w:val="00520771"/>
    <w:rsid w:val="0052443A"/>
    <w:rsid w:val="00531227"/>
    <w:rsid w:val="005324E9"/>
    <w:rsid w:val="005350E8"/>
    <w:rsid w:val="0054386A"/>
    <w:rsid w:val="00545DE2"/>
    <w:rsid w:val="00551108"/>
    <w:rsid w:val="00565869"/>
    <w:rsid w:val="00566ED1"/>
    <w:rsid w:val="00567EB6"/>
    <w:rsid w:val="00571464"/>
    <w:rsid w:val="005727AF"/>
    <w:rsid w:val="005735C8"/>
    <w:rsid w:val="00573748"/>
    <w:rsid w:val="00575673"/>
    <w:rsid w:val="00575A57"/>
    <w:rsid w:val="00577857"/>
    <w:rsid w:val="00580DC5"/>
    <w:rsid w:val="00581934"/>
    <w:rsid w:val="00585A05"/>
    <w:rsid w:val="00586A34"/>
    <w:rsid w:val="00590277"/>
    <w:rsid w:val="005946F8"/>
    <w:rsid w:val="005964AC"/>
    <w:rsid w:val="0059652F"/>
    <w:rsid w:val="005A1516"/>
    <w:rsid w:val="005A2523"/>
    <w:rsid w:val="005A2692"/>
    <w:rsid w:val="005A279B"/>
    <w:rsid w:val="005A5B1D"/>
    <w:rsid w:val="005A78F6"/>
    <w:rsid w:val="005A7D88"/>
    <w:rsid w:val="005A7D9E"/>
    <w:rsid w:val="005B0CA2"/>
    <w:rsid w:val="005B0D89"/>
    <w:rsid w:val="005B1BED"/>
    <w:rsid w:val="005B1ED0"/>
    <w:rsid w:val="005B5494"/>
    <w:rsid w:val="005B57AD"/>
    <w:rsid w:val="005B648E"/>
    <w:rsid w:val="005C1729"/>
    <w:rsid w:val="005C297B"/>
    <w:rsid w:val="005C2F4A"/>
    <w:rsid w:val="005C5A70"/>
    <w:rsid w:val="005C73C5"/>
    <w:rsid w:val="005D0218"/>
    <w:rsid w:val="005D0775"/>
    <w:rsid w:val="005D3613"/>
    <w:rsid w:val="005D3E38"/>
    <w:rsid w:val="005E2D44"/>
    <w:rsid w:val="005E4037"/>
    <w:rsid w:val="005E5E52"/>
    <w:rsid w:val="005F044A"/>
    <w:rsid w:val="005F0ED8"/>
    <w:rsid w:val="005F55FF"/>
    <w:rsid w:val="005F7100"/>
    <w:rsid w:val="005F7ABB"/>
    <w:rsid w:val="00600367"/>
    <w:rsid w:val="00600DAC"/>
    <w:rsid w:val="00601B87"/>
    <w:rsid w:val="006025CF"/>
    <w:rsid w:val="0060315E"/>
    <w:rsid w:val="006105E0"/>
    <w:rsid w:val="00616CF2"/>
    <w:rsid w:val="00617763"/>
    <w:rsid w:val="006202CC"/>
    <w:rsid w:val="00623B88"/>
    <w:rsid w:val="00626D89"/>
    <w:rsid w:val="0063061E"/>
    <w:rsid w:val="006319B9"/>
    <w:rsid w:val="00633EEE"/>
    <w:rsid w:val="006342B2"/>
    <w:rsid w:val="00634EC7"/>
    <w:rsid w:val="00635281"/>
    <w:rsid w:val="0063759E"/>
    <w:rsid w:val="006420EB"/>
    <w:rsid w:val="00644099"/>
    <w:rsid w:val="00644672"/>
    <w:rsid w:val="00645560"/>
    <w:rsid w:val="00650DE1"/>
    <w:rsid w:val="006561C5"/>
    <w:rsid w:val="00661307"/>
    <w:rsid w:val="00663E07"/>
    <w:rsid w:val="006650C0"/>
    <w:rsid w:val="0067236C"/>
    <w:rsid w:val="006732A6"/>
    <w:rsid w:val="00674CF5"/>
    <w:rsid w:val="00675790"/>
    <w:rsid w:val="00685724"/>
    <w:rsid w:val="00687BBF"/>
    <w:rsid w:val="00692CD3"/>
    <w:rsid w:val="00694947"/>
    <w:rsid w:val="006962E6"/>
    <w:rsid w:val="00696DBE"/>
    <w:rsid w:val="006A516F"/>
    <w:rsid w:val="006A63FF"/>
    <w:rsid w:val="006A700F"/>
    <w:rsid w:val="006B125C"/>
    <w:rsid w:val="006B4C98"/>
    <w:rsid w:val="006C03C5"/>
    <w:rsid w:val="006C06C9"/>
    <w:rsid w:val="006C2324"/>
    <w:rsid w:val="006C2984"/>
    <w:rsid w:val="006C3981"/>
    <w:rsid w:val="006D0A6A"/>
    <w:rsid w:val="006D484B"/>
    <w:rsid w:val="006D5448"/>
    <w:rsid w:val="006D6DA4"/>
    <w:rsid w:val="006E3D63"/>
    <w:rsid w:val="006E5DF6"/>
    <w:rsid w:val="006E673D"/>
    <w:rsid w:val="006F05FC"/>
    <w:rsid w:val="006F3415"/>
    <w:rsid w:val="006F4E2C"/>
    <w:rsid w:val="006F67DE"/>
    <w:rsid w:val="006F746D"/>
    <w:rsid w:val="006F7B3B"/>
    <w:rsid w:val="00703042"/>
    <w:rsid w:val="007032FB"/>
    <w:rsid w:val="00706722"/>
    <w:rsid w:val="0071071C"/>
    <w:rsid w:val="0071116C"/>
    <w:rsid w:val="00711B1D"/>
    <w:rsid w:val="007131BE"/>
    <w:rsid w:val="00714DA0"/>
    <w:rsid w:val="0071770F"/>
    <w:rsid w:val="00731E9B"/>
    <w:rsid w:val="0073323E"/>
    <w:rsid w:val="00733F82"/>
    <w:rsid w:val="007368A9"/>
    <w:rsid w:val="00736E24"/>
    <w:rsid w:val="0073774E"/>
    <w:rsid w:val="00737E75"/>
    <w:rsid w:val="00740011"/>
    <w:rsid w:val="00740C69"/>
    <w:rsid w:val="00743945"/>
    <w:rsid w:val="00743D52"/>
    <w:rsid w:val="00752DAF"/>
    <w:rsid w:val="00753293"/>
    <w:rsid w:val="007538A5"/>
    <w:rsid w:val="00754022"/>
    <w:rsid w:val="00755153"/>
    <w:rsid w:val="00760B2B"/>
    <w:rsid w:val="00760D44"/>
    <w:rsid w:val="00761DAF"/>
    <w:rsid w:val="00765080"/>
    <w:rsid w:val="00766984"/>
    <w:rsid w:val="00767868"/>
    <w:rsid w:val="00770084"/>
    <w:rsid w:val="00770176"/>
    <w:rsid w:val="00771E4F"/>
    <w:rsid w:val="00773F07"/>
    <w:rsid w:val="00774406"/>
    <w:rsid w:val="007752C3"/>
    <w:rsid w:val="0077596F"/>
    <w:rsid w:val="00777106"/>
    <w:rsid w:val="00784057"/>
    <w:rsid w:val="0078428E"/>
    <w:rsid w:val="00787A03"/>
    <w:rsid w:val="0079063A"/>
    <w:rsid w:val="00793627"/>
    <w:rsid w:val="007A03A9"/>
    <w:rsid w:val="007A5267"/>
    <w:rsid w:val="007A6A07"/>
    <w:rsid w:val="007A7B9B"/>
    <w:rsid w:val="007B1676"/>
    <w:rsid w:val="007B5655"/>
    <w:rsid w:val="007B5BA9"/>
    <w:rsid w:val="007C0C41"/>
    <w:rsid w:val="007C3732"/>
    <w:rsid w:val="007C3B93"/>
    <w:rsid w:val="007C50AF"/>
    <w:rsid w:val="007C5A36"/>
    <w:rsid w:val="007E0A28"/>
    <w:rsid w:val="007E2AC4"/>
    <w:rsid w:val="007E4478"/>
    <w:rsid w:val="007E69A7"/>
    <w:rsid w:val="007F04EC"/>
    <w:rsid w:val="007F20C0"/>
    <w:rsid w:val="007F51DE"/>
    <w:rsid w:val="007F7209"/>
    <w:rsid w:val="008022DA"/>
    <w:rsid w:val="00804A0D"/>
    <w:rsid w:val="00806EAA"/>
    <w:rsid w:val="00810BFE"/>
    <w:rsid w:val="008158FA"/>
    <w:rsid w:val="00816377"/>
    <w:rsid w:val="00816B20"/>
    <w:rsid w:val="00820EA6"/>
    <w:rsid w:val="008237A5"/>
    <w:rsid w:val="008252FE"/>
    <w:rsid w:val="008276D1"/>
    <w:rsid w:val="008304FF"/>
    <w:rsid w:val="00830D6F"/>
    <w:rsid w:val="00833459"/>
    <w:rsid w:val="008356D9"/>
    <w:rsid w:val="00835D02"/>
    <w:rsid w:val="0083753A"/>
    <w:rsid w:val="00840E95"/>
    <w:rsid w:val="0084105F"/>
    <w:rsid w:val="008428E3"/>
    <w:rsid w:val="00852E54"/>
    <w:rsid w:val="00853EDA"/>
    <w:rsid w:val="0085414B"/>
    <w:rsid w:val="00855BA1"/>
    <w:rsid w:val="008574AB"/>
    <w:rsid w:val="00861EF1"/>
    <w:rsid w:val="00862062"/>
    <w:rsid w:val="00864E9B"/>
    <w:rsid w:val="008658D1"/>
    <w:rsid w:val="008676FA"/>
    <w:rsid w:val="008706A5"/>
    <w:rsid w:val="00871CB5"/>
    <w:rsid w:val="00872304"/>
    <w:rsid w:val="00874B56"/>
    <w:rsid w:val="00874EDA"/>
    <w:rsid w:val="00875D40"/>
    <w:rsid w:val="008767B2"/>
    <w:rsid w:val="008844D1"/>
    <w:rsid w:val="00884798"/>
    <w:rsid w:val="0088752D"/>
    <w:rsid w:val="00890458"/>
    <w:rsid w:val="0089183B"/>
    <w:rsid w:val="0089184B"/>
    <w:rsid w:val="008923FE"/>
    <w:rsid w:val="008926EF"/>
    <w:rsid w:val="00895EEE"/>
    <w:rsid w:val="008976DD"/>
    <w:rsid w:val="008A12A7"/>
    <w:rsid w:val="008A59E0"/>
    <w:rsid w:val="008A6C9E"/>
    <w:rsid w:val="008B58EC"/>
    <w:rsid w:val="008B7F5B"/>
    <w:rsid w:val="008C11D5"/>
    <w:rsid w:val="008C1A04"/>
    <w:rsid w:val="008C200C"/>
    <w:rsid w:val="008C2DDE"/>
    <w:rsid w:val="008C36EF"/>
    <w:rsid w:val="008C3F28"/>
    <w:rsid w:val="008C4E67"/>
    <w:rsid w:val="008C5E1D"/>
    <w:rsid w:val="008C68BA"/>
    <w:rsid w:val="008C6A08"/>
    <w:rsid w:val="008D1811"/>
    <w:rsid w:val="008D3759"/>
    <w:rsid w:val="008D5089"/>
    <w:rsid w:val="008D6B08"/>
    <w:rsid w:val="008E1BD1"/>
    <w:rsid w:val="008E3299"/>
    <w:rsid w:val="008E4E55"/>
    <w:rsid w:val="008E70BA"/>
    <w:rsid w:val="008F11B1"/>
    <w:rsid w:val="008F43C7"/>
    <w:rsid w:val="008F7A27"/>
    <w:rsid w:val="009003D8"/>
    <w:rsid w:val="00900E21"/>
    <w:rsid w:val="009029B3"/>
    <w:rsid w:val="009042E1"/>
    <w:rsid w:val="00910583"/>
    <w:rsid w:val="00911E2C"/>
    <w:rsid w:val="00912E66"/>
    <w:rsid w:val="0091341E"/>
    <w:rsid w:val="00917D97"/>
    <w:rsid w:val="00921D18"/>
    <w:rsid w:val="0092655C"/>
    <w:rsid w:val="00926EE3"/>
    <w:rsid w:val="009332A6"/>
    <w:rsid w:val="009350C0"/>
    <w:rsid w:val="00936F89"/>
    <w:rsid w:val="00940A2E"/>
    <w:rsid w:val="00940AAF"/>
    <w:rsid w:val="00940CE6"/>
    <w:rsid w:val="00940FBE"/>
    <w:rsid w:val="00941A02"/>
    <w:rsid w:val="009425ED"/>
    <w:rsid w:val="00942E44"/>
    <w:rsid w:val="00943E5E"/>
    <w:rsid w:val="00944E3B"/>
    <w:rsid w:val="00944E85"/>
    <w:rsid w:val="00944EE4"/>
    <w:rsid w:val="00945EAF"/>
    <w:rsid w:val="00947D5F"/>
    <w:rsid w:val="00950CE4"/>
    <w:rsid w:val="0095178A"/>
    <w:rsid w:val="00953A74"/>
    <w:rsid w:val="00956FEF"/>
    <w:rsid w:val="00962318"/>
    <w:rsid w:val="00963A40"/>
    <w:rsid w:val="009676C4"/>
    <w:rsid w:val="0097356B"/>
    <w:rsid w:val="00982A7A"/>
    <w:rsid w:val="00982D78"/>
    <w:rsid w:val="00986B74"/>
    <w:rsid w:val="00992FC0"/>
    <w:rsid w:val="00993085"/>
    <w:rsid w:val="009948EB"/>
    <w:rsid w:val="009A0C16"/>
    <w:rsid w:val="009A1253"/>
    <w:rsid w:val="009A5077"/>
    <w:rsid w:val="009A5BED"/>
    <w:rsid w:val="009B07E4"/>
    <w:rsid w:val="009B119C"/>
    <w:rsid w:val="009B20C2"/>
    <w:rsid w:val="009B3720"/>
    <w:rsid w:val="009B6168"/>
    <w:rsid w:val="009B6DCD"/>
    <w:rsid w:val="009B762B"/>
    <w:rsid w:val="009C1239"/>
    <w:rsid w:val="009C2D35"/>
    <w:rsid w:val="009C4243"/>
    <w:rsid w:val="009C4460"/>
    <w:rsid w:val="009D047E"/>
    <w:rsid w:val="009D24DC"/>
    <w:rsid w:val="009D2BE6"/>
    <w:rsid w:val="009D62D1"/>
    <w:rsid w:val="009D6E58"/>
    <w:rsid w:val="009E031C"/>
    <w:rsid w:val="009E1832"/>
    <w:rsid w:val="009E2089"/>
    <w:rsid w:val="009E29EA"/>
    <w:rsid w:val="009E3A4E"/>
    <w:rsid w:val="009E6B75"/>
    <w:rsid w:val="009F0981"/>
    <w:rsid w:val="009F1011"/>
    <w:rsid w:val="009F17A3"/>
    <w:rsid w:val="009F2D5A"/>
    <w:rsid w:val="009F476C"/>
    <w:rsid w:val="009F4A6F"/>
    <w:rsid w:val="009F56E7"/>
    <w:rsid w:val="009F5CC2"/>
    <w:rsid w:val="009F5E2B"/>
    <w:rsid w:val="00A01CFC"/>
    <w:rsid w:val="00A04884"/>
    <w:rsid w:val="00A06400"/>
    <w:rsid w:val="00A066F7"/>
    <w:rsid w:val="00A07045"/>
    <w:rsid w:val="00A1046B"/>
    <w:rsid w:val="00A11257"/>
    <w:rsid w:val="00A161F7"/>
    <w:rsid w:val="00A165D2"/>
    <w:rsid w:val="00A20AE2"/>
    <w:rsid w:val="00A2156B"/>
    <w:rsid w:val="00A24F7C"/>
    <w:rsid w:val="00A2609F"/>
    <w:rsid w:val="00A322C6"/>
    <w:rsid w:val="00A32402"/>
    <w:rsid w:val="00A3296F"/>
    <w:rsid w:val="00A342D3"/>
    <w:rsid w:val="00A345BB"/>
    <w:rsid w:val="00A41426"/>
    <w:rsid w:val="00A435C6"/>
    <w:rsid w:val="00A4370F"/>
    <w:rsid w:val="00A47BCA"/>
    <w:rsid w:val="00A50E33"/>
    <w:rsid w:val="00A557CB"/>
    <w:rsid w:val="00A560D9"/>
    <w:rsid w:val="00A56184"/>
    <w:rsid w:val="00A64065"/>
    <w:rsid w:val="00A65B92"/>
    <w:rsid w:val="00A718E3"/>
    <w:rsid w:val="00A735F7"/>
    <w:rsid w:val="00A7380E"/>
    <w:rsid w:val="00A765B1"/>
    <w:rsid w:val="00A76A2D"/>
    <w:rsid w:val="00A77D7A"/>
    <w:rsid w:val="00A8124E"/>
    <w:rsid w:val="00A8143E"/>
    <w:rsid w:val="00A83617"/>
    <w:rsid w:val="00A84855"/>
    <w:rsid w:val="00A876A6"/>
    <w:rsid w:val="00A87839"/>
    <w:rsid w:val="00A87C3B"/>
    <w:rsid w:val="00A90F8D"/>
    <w:rsid w:val="00A91F58"/>
    <w:rsid w:val="00A924B1"/>
    <w:rsid w:val="00A92F48"/>
    <w:rsid w:val="00A94D15"/>
    <w:rsid w:val="00A95FF6"/>
    <w:rsid w:val="00A96B3C"/>
    <w:rsid w:val="00A96E4A"/>
    <w:rsid w:val="00A96F37"/>
    <w:rsid w:val="00AA310C"/>
    <w:rsid w:val="00AA465A"/>
    <w:rsid w:val="00AA5F7C"/>
    <w:rsid w:val="00AA6879"/>
    <w:rsid w:val="00AB1620"/>
    <w:rsid w:val="00AB162C"/>
    <w:rsid w:val="00AB433E"/>
    <w:rsid w:val="00AB4E6D"/>
    <w:rsid w:val="00AC05CB"/>
    <w:rsid w:val="00AC0708"/>
    <w:rsid w:val="00AC18BE"/>
    <w:rsid w:val="00AC1A22"/>
    <w:rsid w:val="00AC3B17"/>
    <w:rsid w:val="00AC458C"/>
    <w:rsid w:val="00AC7452"/>
    <w:rsid w:val="00AC7E85"/>
    <w:rsid w:val="00AD14AD"/>
    <w:rsid w:val="00AD256D"/>
    <w:rsid w:val="00AD3240"/>
    <w:rsid w:val="00AD360B"/>
    <w:rsid w:val="00AD3FB8"/>
    <w:rsid w:val="00AD4390"/>
    <w:rsid w:val="00AD45A6"/>
    <w:rsid w:val="00AE2465"/>
    <w:rsid w:val="00AE527E"/>
    <w:rsid w:val="00AE5BA8"/>
    <w:rsid w:val="00AE7116"/>
    <w:rsid w:val="00AF18BF"/>
    <w:rsid w:val="00AF512E"/>
    <w:rsid w:val="00AF5DCB"/>
    <w:rsid w:val="00AF787E"/>
    <w:rsid w:val="00B00586"/>
    <w:rsid w:val="00B01217"/>
    <w:rsid w:val="00B01588"/>
    <w:rsid w:val="00B01B35"/>
    <w:rsid w:val="00B035CB"/>
    <w:rsid w:val="00B038BF"/>
    <w:rsid w:val="00B04300"/>
    <w:rsid w:val="00B04429"/>
    <w:rsid w:val="00B07010"/>
    <w:rsid w:val="00B07327"/>
    <w:rsid w:val="00B0736A"/>
    <w:rsid w:val="00B14347"/>
    <w:rsid w:val="00B14348"/>
    <w:rsid w:val="00B1450E"/>
    <w:rsid w:val="00B156DF"/>
    <w:rsid w:val="00B15D5E"/>
    <w:rsid w:val="00B1689E"/>
    <w:rsid w:val="00B21691"/>
    <w:rsid w:val="00B2505F"/>
    <w:rsid w:val="00B26B07"/>
    <w:rsid w:val="00B30B9D"/>
    <w:rsid w:val="00B32ABD"/>
    <w:rsid w:val="00B3369D"/>
    <w:rsid w:val="00B369FD"/>
    <w:rsid w:val="00B36AFC"/>
    <w:rsid w:val="00B373D3"/>
    <w:rsid w:val="00B376F8"/>
    <w:rsid w:val="00B37D21"/>
    <w:rsid w:val="00B404A3"/>
    <w:rsid w:val="00B40544"/>
    <w:rsid w:val="00B4169A"/>
    <w:rsid w:val="00B441DD"/>
    <w:rsid w:val="00B44C5D"/>
    <w:rsid w:val="00B44FEE"/>
    <w:rsid w:val="00B45161"/>
    <w:rsid w:val="00B4602B"/>
    <w:rsid w:val="00B479E4"/>
    <w:rsid w:val="00B549E1"/>
    <w:rsid w:val="00B54E7F"/>
    <w:rsid w:val="00B608BE"/>
    <w:rsid w:val="00B62922"/>
    <w:rsid w:val="00B6557A"/>
    <w:rsid w:val="00B67247"/>
    <w:rsid w:val="00B67480"/>
    <w:rsid w:val="00B701F6"/>
    <w:rsid w:val="00B73C56"/>
    <w:rsid w:val="00B769FB"/>
    <w:rsid w:val="00B815BD"/>
    <w:rsid w:val="00B81F32"/>
    <w:rsid w:val="00B82CF0"/>
    <w:rsid w:val="00B82FFC"/>
    <w:rsid w:val="00B86DA2"/>
    <w:rsid w:val="00B86F47"/>
    <w:rsid w:val="00B92DF6"/>
    <w:rsid w:val="00B93281"/>
    <w:rsid w:val="00B95781"/>
    <w:rsid w:val="00B9701D"/>
    <w:rsid w:val="00BA048E"/>
    <w:rsid w:val="00BA0553"/>
    <w:rsid w:val="00BA0871"/>
    <w:rsid w:val="00BA08CA"/>
    <w:rsid w:val="00BA1A55"/>
    <w:rsid w:val="00BA1F99"/>
    <w:rsid w:val="00BA4ED8"/>
    <w:rsid w:val="00BA5FD3"/>
    <w:rsid w:val="00BA66A5"/>
    <w:rsid w:val="00BA6A93"/>
    <w:rsid w:val="00BB0B7B"/>
    <w:rsid w:val="00BB11A2"/>
    <w:rsid w:val="00BB1BCC"/>
    <w:rsid w:val="00BB24B2"/>
    <w:rsid w:val="00BB33CC"/>
    <w:rsid w:val="00BB3684"/>
    <w:rsid w:val="00BB36A9"/>
    <w:rsid w:val="00BB36FF"/>
    <w:rsid w:val="00BB406C"/>
    <w:rsid w:val="00BB4673"/>
    <w:rsid w:val="00BB4D05"/>
    <w:rsid w:val="00BB6E22"/>
    <w:rsid w:val="00BC344E"/>
    <w:rsid w:val="00BC3F40"/>
    <w:rsid w:val="00BC507E"/>
    <w:rsid w:val="00BC58F4"/>
    <w:rsid w:val="00BC59E9"/>
    <w:rsid w:val="00BD0ADD"/>
    <w:rsid w:val="00BD3127"/>
    <w:rsid w:val="00BD335E"/>
    <w:rsid w:val="00BD3A7D"/>
    <w:rsid w:val="00BD3BF4"/>
    <w:rsid w:val="00BD56F6"/>
    <w:rsid w:val="00BD6898"/>
    <w:rsid w:val="00BD7C4B"/>
    <w:rsid w:val="00BE034D"/>
    <w:rsid w:val="00BE0F4B"/>
    <w:rsid w:val="00BE1128"/>
    <w:rsid w:val="00BE13D1"/>
    <w:rsid w:val="00BE20D7"/>
    <w:rsid w:val="00BE2A9E"/>
    <w:rsid w:val="00BE36CB"/>
    <w:rsid w:val="00BE6F54"/>
    <w:rsid w:val="00BE79BD"/>
    <w:rsid w:val="00BE7B13"/>
    <w:rsid w:val="00BF61F9"/>
    <w:rsid w:val="00BF6E17"/>
    <w:rsid w:val="00BF723F"/>
    <w:rsid w:val="00BF7C1B"/>
    <w:rsid w:val="00BF7E11"/>
    <w:rsid w:val="00C00192"/>
    <w:rsid w:val="00C018FB"/>
    <w:rsid w:val="00C04947"/>
    <w:rsid w:val="00C06E92"/>
    <w:rsid w:val="00C07D59"/>
    <w:rsid w:val="00C10AB8"/>
    <w:rsid w:val="00C10DF8"/>
    <w:rsid w:val="00C11D39"/>
    <w:rsid w:val="00C161E1"/>
    <w:rsid w:val="00C16A7C"/>
    <w:rsid w:val="00C16EE1"/>
    <w:rsid w:val="00C208F4"/>
    <w:rsid w:val="00C22FB9"/>
    <w:rsid w:val="00C24DA9"/>
    <w:rsid w:val="00C25ED6"/>
    <w:rsid w:val="00C2704F"/>
    <w:rsid w:val="00C27B02"/>
    <w:rsid w:val="00C341C8"/>
    <w:rsid w:val="00C403B7"/>
    <w:rsid w:val="00C40624"/>
    <w:rsid w:val="00C4361B"/>
    <w:rsid w:val="00C460DB"/>
    <w:rsid w:val="00C50610"/>
    <w:rsid w:val="00C509A6"/>
    <w:rsid w:val="00C53BC3"/>
    <w:rsid w:val="00C5569A"/>
    <w:rsid w:val="00C56E28"/>
    <w:rsid w:val="00C579B4"/>
    <w:rsid w:val="00C600C7"/>
    <w:rsid w:val="00C65355"/>
    <w:rsid w:val="00C72C02"/>
    <w:rsid w:val="00C7333B"/>
    <w:rsid w:val="00C7613A"/>
    <w:rsid w:val="00C77944"/>
    <w:rsid w:val="00C810DC"/>
    <w:rsid w:val="00C81EAA"/>
    <w:rsid w:val="00C8301C"/>
    <w:rsid w:val="00C838B1"/>
    <w:rsid w:val="00C9492D"/>
    <w:rsid w:val="00C94B67"/>
    <w:rsid w:val="00C95C11"/>
    <w:rsid w:val="00C97231"/>
    <w:rsid w:val="00CA3CA1"/>
    <w:rsid w:val="00CA3CE0"/>
    <w:rsid w:val="00CA5E8C"/>
    <w:rsid w:val="00CA7D26"/>
    <w:rsid w:val="00CB05E9"/>
    <w:rsid w:val="00CB0CFC"/>
    <w:rsid w:val="00CB20FE"/>
    <w:rsid w:val="00CB2EA1"/>
    <w:rsid w:val="00CB6EF1"/>
    <w:rsid w:val="00CC169A"/>
    <w:rsid w:val="00CC3851"/>
    <w:rsid w:val="00CC3FD2"/>
    <w:rsid w:val="00CC5BA8"/>
    <w:rsid w:val="00CC6811"/>
    <w:rsid w:val="00CC77CC"/>
    <w:rsid w:val="00CD1F2A"/>
    <w:rsid w:val="00CD3630"/>
    <w:rsid w:val="00CD4D0D"/>
    <w:rsid w:val="00CD5782"/>
    <w:rsid w:val="00CD7F4F"/>
    <w:rsid w:val="00CE2C2C"/>
    <w:rsid w:val="00CE4FD2"/>
    <w:rsid w:val="00CF0759"/>
    <w:rsid w:val="00CF0A87"/>
    <w:rsid w:val="00CF0C55"/>
    <w:rsid w:val="00CF0FB7"/>
    <w:rsid w:val="00CF26A3"/>
    <w:rsid w:val="00CF33DB"/>
    <w:rsid w:val="00CF7C7B"/>
    <w:rsid w:val="00D02EA4"/>
    <w:rsid w:val="00D0375F"/>
    <w:rsid w:val="00D0462C"/>
    <w:rsid w:val="00D04D15"/>
    <w:rsid w:val="00D0587D"/>
    <w:rsid w:val="00D05982"/>
    <w:rsid w:val="00D05A58"/>
    <w:rsid w:val="00D1094F"/>
    <w:rsid w:val="00D125E1"/>
    <w:rsid w:val="00D13235"/>
    <w:rsid w:val="00D136DF"/>
    <w:rsid w:val="00D13A04"/>
    <w:rsid w:val="00D13EDD"/>
    <w:rsid w:val="00D1604D"/>
    <w:rsid w:val="00D2092E"/>
    <w:rsid w:val="00D211A2"/>
    <w:rsid w:val="00D30DD9"/>
    <w:rsid w:val="00D31037"/>
    <w:rsid w:val="00D3194A"/>
    <w:rsid w:val="00D33F2C"/>
    <w:rsid w:val="00D377C5"/>
    <w:rsid w:val="00D409F2"/>
    <w:rsid w:val="00D418F4"/>
    <w:rsid w:val="00D423C6"/>
    <w:rsid w:val="00D4240C"/>
    <w:rsid w:val="00D45047"/>
    <w:rsid w:val="00D52018"/>
    <w:rsid w:val="00D54062"/>
    <w:rsid w:val="00D56424"/>
    <w:rsid w:val="00D61679"/>
    <w:rsid w:val="00D625C1"/>
    <w:rsid w:val="00D63EBF"/>
    <w:rsid w:val="00D64818"/>
    <w:rsid w:val="00D64834"/>
    <w:rsid w:val="00D650DF"/>
    <w:rsid w:val="00D672AA"/>
    <w:rsid w:val="00D704DA"/>
    <w:rsid w:val="00D7070F"/>
    <w:rsid w:val="00D70F4C"/>
    <w:rsid w:val="00D7180A"/>
    <w:rsid w:val="00D72C73"/>
    <w:rsid w:val="00D7507B"/>
    <w:rsid w:val="00D77BE8"/>
    <w:rsid w:val="00D80F6D"/>
    <w:rsid w:val="00D827D1"/>
    <w:rsid w:val="00D82BFE"/>
    <w:rsid w:val="00D84F90"/>
    <w:rsid w:val="00D873ED"/>
    <w:rsid w:val="00D90BDB"/>
    <w:rsid w:val="00D90D59"/>
    <w:rsid w:val="00D91577"/>
    <w:rsid w:val="00D91D7E"/>
    <w:rsid w:val="00D9225F"/>
    <w:rsid w:val="00D92A3A"/>
    <w:rsid w:val="00D9470B"/>
    <w:rsid w:val="00D94BA3"/>
    <w:rsid w:val="00D969E1"/>
    <w:rsid w:val="00D9778F"/>
    <w:rsid w:val="00DA41D7"/>
    <w:rsid w:val="00DA6180"/>
    <w:rsid w:val="00DA6E10"/>
    <w:rsid w:val="00DB1427"/>
    <w:rsid w:val="00DB462F"/>
    <w:rsid w:val="00DC2B2F"/>
    <w:rsid w:val="00DC328D"/>
    <w:rsid w:val="00DC44B3"/>
    <w:rsid w:val="00DD0C75"/>
    <w:rsid w:val="00DD187A"/>
    <w:rsid w:val="00DD5C5B"/>
    <w:rsid w:val="00DD5C99"/>
    <w:rsid w:val="00DD6500"/>
    <w:rsid w:val="00DD6EA6"/>
    <w:rsid w:val="00DE2507"/>
    <w:rsid w:val="00DE2A60"/>
    <w:rsid w:val="00DE2E08"/>
    <w:rsid w:val="00DE3BFB"/>
    <w:rsid w:val="00DF08C9"/>
    <w:rsid w:val="00DF3D6E"/>
    <w:rsid w:val="00DF4881"/>
    <w:rsid w:val="00DF7C65"/>
    <w:rsid w:val="00E03086"/>
    <w:rsid w:val="00E037A0"/>
    <w:rsid w:val="00E03DBC"/>
    <w:rsid w:val="00E03DF6"/>
    <w:rsid w:val="00E0535C"/>
    <w:rsid w:val="00E0671A"/>
    <w:rsid w:val="00E110DE"/>
    <w:rsid w:val="00E21803"/>
    <w:rsid w:val="00E2299C"/>
    <w:rsid w:val="00E22C11"/>
    <w:rsid w:val="00E23974"/>
    <w:rsid w:val="00E2610C"/>
    <w:rsid w:val="00E26BD3"/>
    <w:rsid w:val="00E30B0F"/>
    <w:rsid w:val="00E3371A"/>
    <w:rsid w:val="00E3467D"/>
    <w:rsid w:val="00E35329"/>
    <w:rsid w:val="00E40637"/>
    <w:rsid w:val="00E41F28"/>
    <w:rsid w:val="00E43A96"/>
    <w:rsid w:val="00E44834"/>
    <w:rsid w:val="00E539A0"/>
    <w:rsid w:val="00E53F53"/>
    <w:rsid w:val="00E56314"/>
    <w:rsid w:val="00E605FF"/>
    <w:rsid w:val="00E61CD5"/>
    <w:rsid w:val="00E637C4"/>
    <w:rsid w:val="00E71156"/>
    <w:rsid w:val="00E72DE6"/>
    <w:rsid w:val="00E766E1"/>
    <w:rsid w:val="00E76A11"/>
    <w:rsid w:val="00E76ECB"/>
    <w:rsid w:val="00E81CFA"/>
    <w:rsid w:val="00E82795"/>
    <w:rsid w:val="00E82DA2"/>
    <w:rsid w:val="00E833A9"/>
    <w:rsid w:val="00E86959"/>
    <w:rsid w:val="00E8722E"/>
    <w:rsid w:val="00E9134F"/>
    <w:rsid w:val="00E916AD"/>
    <w:rsid w:val="00E96A56"/>
    <w:rsid w:val="00EA2390"/>
    <w:rsid w:val="00EA5FF7"/>
    <w:rsid w:val="00EB0853"/>
    <w:rsid w:val="00EB1CA8"/>
    <w:rsid w:val="00EB2866"/>
    <w:rsid w:val="00EB3A02"/>
    <w:rsid w:val="00EB44C0"/>
    <w:rsid w:val="00EB788C"/>
    <w:rsid w:val="00EC181C"/>
    <w:rsid w:val="00EC2787"/>
    <w:rsid w:val="00EC555A"/>
    <w:rsid w:val="00ED173D"/>
    <w:rsid w:val="00ED1C08"/>
    <w:rsid w:val="00ED4842"/>
    <w:rsid w:val="00ED79FB"/>
    <w:rsid w:val="00EE06D3"/>
    <w:rsid w:val="00EE0F68"/>
    <w:rsid w:val="00EE3028"/>
    <w:rsid w:val="00EE5C4A"/>
    <w:rsid w:val="00EF0D50"/>
    <w:rsid w:val="00EF19CC"/>
    <w:rsid w:val="00EF4B20"/>
    <w:rsid w:val="00EF60F2"/>
    <w:rsid w:val="00EF63B3"/>
    <w:rsid w:val="00EF7618"/>
    <w:rsid w:val="00F004BD"/>
    <w:rsid w:val="00F009F5"/>
    <w:rsid w:val="00F04712"/>
    <w:rsid w:val="00F05069"/>
    <w:rsid w:val="00F06F72"/>
    <w:rsid w:val="00F077C9"/>
    <w:rsid w:val="00F105C9"/>
    <w:rsid w:val="00F1253B"/>
    <w:rsid w:val="00F12777"/>
    <w:rsid w:val="00F12DBF"/>
    <w:rsid w:val="00F15993"/>
    <w:rsid w:val="00F179A8"/>
    <w:rsid w:val="00F23F1C"/>
    <w:rsid w:val="00F241B5"/>
    <w:rsid w:val="00F25553"/>
    <w:rsid w:val="00F275E0"/>
    <w:rsid w:val="00F27B61"/>
    <w:rsid w:val="00F30297"/>
    <w:rsid w:val="00F32707"/>
    <w:rsid w:val="00F32A9D"/>
    <w:rsid w:val="00F32F96"/>
    <w:rsid w:val="00F36DDE"/>
    <w:rsid w:val="00F37481"/>
    <w:rsid w:val="00F405AD"/>
    <w:rsid w:val="00F40B7C"/>
    <w:rsid w:val="00F41065"/>
    <w:rsid w:val="00F43871"/>
    <w:rsid w:val="00F45C82"/>
    <w:rsid w:val="00F4605F"/>
    <w:rsid w:val="00F465D1"/>
    <w:rsid w:val="00F46892"/>
    <w:rsid w:val="00F5544A"/>
    <w:rsid w:val="00F64629"/>
    <w:rsid w:val="00F64B44"/>
    <w:rsid w:val="00F64C79"/>
    <w:rsid w:val="00F654AE"/>
    <w:rsid w:val="00F732FA"/>
    <w:rsid w:val="00F732FE"/>
    <w:rsid w:val="00F74B5A"/>
    <w:rsid w:val="00F75236"/>
    <w:rsid w:val="00F759BE"/>
    <w:rsid w:val="00F83012"/>
    <w:rsid w:val="00F83B41"/>
    <w:rsid w:val="00F86CDF"/>
    <w:rsid w:val="00F94FEF"/>
    <w:rsid w:val="00F9553E"/>
    <w:rsid w:val="00F96AFC"/>
    <w:rsid w:val="00F96E7D"/>
    <w:rsid w:val="00FA14AE"/>
    <w:rsid w:val="00FA30CC"/>
    <w:rsid w:val="00FA3248"/>
    <w:rsid w:val="00FA3484"/>
    <w:rsid w:val="00FA7A3E"/>
    <w:rsid w:val="00FB10BC"/>
    <w:rsid w:val="00FB13BB"/>
    <w:rsid w:val="00FB1DBB"/>
    <w:rsid w:val="00FB2956"/>
    <w:rsid w:val="00FC19B4"/>
    <w:rsid w:val="00FC1F63"/>
    <w:rsid w:val="00FC255F"/>
    <w:rsid w:val="00FC3CA5"/>
    <w:rsid w:val="00FD2084"/>
    <w:rsid w:val="00FD43FF"/>
    <w:rsid w:val="00FD7F97"/>
    <w:rsid w:val="00FE4366"/>
    <w:rsid w:val="00FE6637"/>
    <w:rsid w:val="00FE7479"/>
    <w:rsid w:val="00FF2056"/>
    <w:rsid w:val="012F2F77"/>
    <w:rsid w:val="01517183"/>
    <w:rsid w:val="01565C22"/>
    <w:rsid w:val="01611BAA"/>
    <w:rsid w:val="017B3006"/>
    <w:rsid w:val="01EA1096"/>
    <w:rsid w:val="02211C4E"/>
    <w:rsid w:val="02383E9F"/>
    <w:rsid w:val="025F2317"/>
    <w:rsid w:val="02653238"/>
    <w:rsid w:val="02824A49"/>
    <w:rsid w:val="02A927EA"/>
    <w:rsid w:val="02AA0989"/>
    <w:rsid w:val="02D7249D"/>
    <w:rsid w:val="02DA36D6"/>
    <w:rsid w:val="02E670D9"/>
    <w:rsid w:val="02ED248B"/>
    <w:rsid w:val="03273204"/>
    <w:rsid w:val="0332719F"/>
    <w:rsid w:val="036F2E82"/>
    <w:rsid w:val="037A5862"/>
    <w:rsid w:val="038677FA"/>
    <w:rsid w:val="039D181C"/>
    <w:rsid w:val="03BF5539"/>
    <w:rsid w:val="03D01A40"/>
    <w:rsid w:val="03D575A8"/>
    <w:rsid w:val="03EC5011"/>
    <w:rsid w:val="044A1AEF"/>
    <w:rsid w:val="04714B20"/>
    <w:rsid w:val="047A076D"/>
    <w:rsid w:val="049B4314"/>
    <w:rsid w:val="04A8061F"/>
    <w:rsid w:val="04D43D04"/>
    <w:rsid w:val="04DA259C"/>
    <w:rsid w:val="04F27A0F"/>
    <w:rsid w:val="05296601"/>
    <w:rsid w:val="05443172"/>
    <w:rsid w:val="05917228"/>
    <w:rsid w:val="05B9794F"/>
    <w:rsid w:val="05BA3179"/>
    <w:rsid w:val="05BC690F"/>
    <w:rsid w:val="05CC3FC5"/>
    <w:rsid w:val="05D223F3"/>
    <w:rsid w:val="05ED58F9"/>
    <w:rsid w:val="062A4725"/>
    <w:rsid w:val="06454C9D"/>
    <w:rsid w:val="06604730"/>
    <w:rsid w:val="06B16D0C"/>
    <w:rsid w:val="06BE7F0F"/>
    <w:rsid w:val="06F461E9"/>
    <w:rsid w:val="07072223"/>
    <w:rsid w:val="072B18E0"/>
    <w:rsid w:val="07566ECB"/>
    <w:rsid w:val="076C2950"/>
    <w:rsid w:val="078C6D54"/>
    <w:rsid w:val="07AC782C"/>
    <w:rsid w:val="07D17DB0"/>
    <w:rsid w:val="0864596D"/>
    <w:rsid w:val="089D4D5D"/>
    <w:rsid w:val="08D52012"/>
    <w:rsid w:val="08D746FC"/>
    <w:rsid w:val="08E54959"/>
    <w:rsid w:val="08FF478F"/>
    <w:rsid w:val="090034AD"/>
    <w:rsid w:val="094B0907"/>
    <w:rsid w:val="09526CCE"/>
    <w:rsid w:val="0987442F"/>
    <w:rsid w:val="099D5D54"/>
    <w:rsid w:val="09F7476D"/>
    <w:rsid w:val="0A002BCE"/>
    <w:rsid w:val="0A037595"/>
    <w:rsid w:val="0A1C72DC"/>
    <w:rsid w:val="0A2161A8"/>
    <w:rsid w:val="0A310E93"/>
    <w:rsid w:val="0A4A57B3"/>
    <w:rsid w:val="0A7F6DC4"/>
    <w:rsid w:val="0A8A3706"/>
    <w:rsid w:val="0AB835E9"/>
    <w:rsid w:val="0AD705FE"/>
    <w:rsid w:val="0AD82E0D"/>
    <w:rsid w:val="0B2569AA"/>
    <w:rsid w:val="0B3120C1"/>
    <w:rsid w:val="0B316DB7"/>
    <w:rsid w:val="0B470389"/>
    <w:rsid w:val="0B5736C0"/>
    <w:rsid w:val="0B701520"/>
    <w:rsid w:val="0B8711F2"/>
    <w:rsid w:val="0BAC1B19"/>
    <w:rsid w:val="0BE65B1B"/>
    <w:rsid w:val="0C011C21"/>
    <w:rsid w:val="0C207271"/>
    <w:rsid w:val="0C4A6383"/>
    <w:rsid w:val="0C4D7C21"/>
    <w:rsid w:val="0C6154D5"/>
    <w:rsid w:val="0C6311F3"/>
    <w:rsid w:val="0C6342BE"/>
    <w:rsid w:val="0C675A71"/>
    <w:rsid w:val="0C724CD8"/>
    <w:rsid w:val="0CBB4733"/>
    <w:rsid w:val="0CCA5BFE"/>
    <w:rsid w:val="0CCD416A"/>
    <w:rsid w:val="0CDC0C2F"/>
    <w:rsid w:val="0D744649"/>
    <w:rsid w:val="0D806B6B"/>
    <w:rsid w:val="0DB96054"/>
    <w:rsid w:val="0DED4BAB"/>
    <w:rsid w:val="0E0E2E78"/>
    <w:rsid w:val="0E3E318E"/>
    <w:rsid w:val="0E534D9E"/>
    <w:rsid w:val="0E5F482E"/>
    <w:rsid w:val="0E69085A"/>
    <w:rsid w:val="0EC27DF2"/>
    <w:rsid w:val="0EC8352B"/>
    <w:rsid w:val="0ECA34C2"/>
    <w:rsid w:val="0EF34AB0"/>
    <w:rsid w:val="0EFF4DBA"/>
    <w:rsid w:val="0F155567"/>
    <w:rsid w:val="0F2E5AE8"/>
    <w:rsid w:val="0FA32F99"/>
    <w:rsid w:val="0FA57148"/>
    <w:rsid w:val="0FB83A07"/>
    <w:rsid w:val="0FCC2CAE"/>
    <w:rsid w:val="0FD4136B"/>
    <w:rsid w:val="0FD84E81"/>
    <w:rsid w:val="0FE268D2"/>
    <w:rsid w:val="0FFE378F"/>
    <w:rsid w:val="100A7570"/>
    <w:rsid w:val="100F7AB1"/>
    <w:rsid w:val="10232677"/>
    <w:rsid w:val="102E4A6F"/>
    <w:rsid w:val="104A2CCD"/>
    <w:rsid w:val="104C1533"/>
    <w:rsid w:val="10790D97"/>
    <w:rsid w:val="10CD51A9"/>
    <w:rsid w:val="10D63123"/>
    <w:rsid w:val="114C494B"/>
    <w:rsid w:val="114D2E7D"/>
    <w:rsid w:val="11B239D7"/>
    <w:rsid w:val="11CF5422"/>
    <w:rsid w:val="11D03EA1"/>
    <w:rsid w:val="121D11D6"/>
    <w:rsid w:val="122C32AE"/>
    <w:rsid w:val="12427A7B"/>
    <w:rsid w:val="12512752"/>
    <w:rsid w:val="130A061A"/>
    <w:rsid w:val="137A11F7"/>
    <w:rsid w:val="13C25F12"/>
    <w:rsid w:val="13DE752A"/>
    <w:rsid w:val="142121BB"/>
    <w:rsid w:val="144708B7"/>
    <w:rsid w:val="14C352E5"/>
    <w:rsid w:val="14C75043"/>
    <w:rsid w:val="14CE617D"/>
    <w:rsid w:val="14D96BDD"/>
    <w:rsid w:val="14EF1B43"/>
    <w:rsid w:val="15065013"/>
    <w:rsid w:val="15110C22"/>
    <w:rsid w:val="151644B9"/>
    <w:rsid w:val="153D47A3"/>
    <w:rsid w:val="154A3653"/>
    <w:rsid w:val="155344FA"/>
    <w:rsid w:val="157D3325"/>
    <w:rsid w:val="15820963"/>
    <w:rsid w:val="1590137E"/>
    <w:rsid w:val="15945613"/>
    <w:rsid w:val="15F42563"/>
    <w:rsid w:val="1603092B"/>
    <w:rsid w:val="160327CE"/>
    <w:rsid w:val="162D6B6C"/>
    <w:rsid w:val="165A5757"/>
    <w:rsid w:val="16672243"/>
    <w:rsid w:val="16731334"/>
    <w:rsid w:val="167D1A17"/>
    <w:rsid w:val="168537E8"/>
    <w:rsid w:val="16882455"/>
    <w:rsid w:val="16883814"/>
    <w:rsid w:val="16895CFA"/>
    <w:rsid w:val="168C2744"/>
    <w:rsid w:val="16A918FF"/>
    <w:rsid w:val="16AC3289"/>
    <w:rsid w:val="16DB3639"/>
    <w:rsid w:val="16F7498E"/>
    <w:rsid w:val="17114644"/>
    <w:rsid w:val="17507D30"/>
    <w:rsid w:val="17B47DF1"/>
    <w:rsid w:val="183202B8"/>
    <w:rsid w:val="18574354"/>
    <w:rsid w:val="18597BDB"/>
    <w:rsid w:val="187A75E9"/>
    <w:rsid w:val="188D6A31"/>
    <w:rsid w:val="18EA6F23"/>
    <w:rsid w:val="194039CF"/>
    <w:rsid w:val="19575178"/>
    <w:rsid w:val="195C3750"/>
    <w:rsid w:val="1977008B"/>
    <w:rsid w:val="198253AE"/>
    <w:rsid w:val="19847EBC"/>
    <w:rsid w:val="199C343A"/>
    <w:rsid w:val="19C107B8"/>
    <w:rsid w:val="19FF69FF"/>
    <w:rsid w:val="1A530AF8"/>
    <w:rsid w:val="1A636953"/>
    <w:rsid w:val="1AA358A4"/>
    <w:rsid w:val="1ABE6083"/>
    <w:rsid w:val="1AEA34F7"/>
    <w:rsid w:val="1AEA3527"/>
    <w:rsid w:val="1AF23756"/>
    <w:rsid w:val="1B530A20"/>
    <w:rsid w:val="1B760482"/>
    <w:rsid w:val="1B795278"/>
    <w:rsid w:val="1BBE0B71"/>
    <w:rsid w:val="1BC6744A"/>
    <w:rsid w:val="1BD2420F"/>
    <w:rsid w:val="1BD404E8"/>
    <w:rsid w:val="1BED7449"/>
    <w:rsid w:val="1C1A76B5"/>
    <w:rsid w:val="1C3426A9"/>
    <w:rsid w:val="1C3C7DD7"/>
    <w:rsid w:val="1C5E4285"/>
    <w:rsid w:val="1C815647"/>
    <w:rsid w:val="1C9364BC"/>
    <w:rsid w:val="1C953CE3"/>
    <w:rsid w:val="1C98646C"/>
    <w:rsid w:val="1CCA43EB"/>
    <w:rsid w:val="1CE835F8"/>
    <w:rsid w:val="1D03217E"/>
    <w:rsid w:val="1D3C7B7D"/>
    <w:rsid w:val="1D6B64E7"/>
    <w:rsid w:val="1DA10035"/>
    <w:rsid w:val="1E19578F"/>
    <w:rsid w:val="1E5B2938"/>
    <w:rsid w:val="1E6240CD"/>
    <w:rsid w:val="1E904AB4"/>
    <w:rsid w:val="1EA4214E"/>
    <w:rsid w:val="1EA71166"/>
    <w:rsid w:val="1EBA0184"/>
    <w:rsid w:val="1ED135DB"/>
    <w:rsid w:val="1EEA45CF"/>
    <w:rsid w:val="1F48278E"/>
    <w:rsid w:val="1F5C5CAF"/>
    <w:rsid w:val="1F953BEB"/>
    <w:rsid w:val="1F9C084C"/>
    <w:rsid w:val="1FAE468A"/>
    <w:rsid w:val="1FD224BF"/>
    <w:rsid w:val="1FD5034D"/>
    <w:rsid w:val="1FE51107"/>
    <w:rsid w:val="2029085E"/>
    <w:rsid w:val="20322F5E"/>
    <w:rsid w:val="205F2E5C"/>
    <w:rsid w:val="207E5971"/>
    <w:rsid w:val="20822FB1"/>
    <w:rsid w:val="20AC0216"/>
    <w:rsid w:val="20B63250"/>
    <w:rsid w:val="20C92CE4"/>
    <w:rsid w:val="210E23CE"/>
    <w:rsid w:val="211D6F0E"/>
    <w:rsid w:val="213D5766"/>
    <w:rsid w:val="21570452"/>
    <w:rsid w:val="21C1442B"/>
    <w:rsid w:val="21CB6405"/>
    <w:rsid w:val="21D70C5C"/>
    <w:rsid w:val="21E24DE7"/>
    <w:rsid w:val="22026934"/>
    <w:rsid w:val="2248417F"/>
    <w:rsid w:val="22705AC9"/>
    <w:rsid w:val="227E05AA"/>
    <w:rsid w:val="22970A3C"/>
    <w:rsid w:val="229E5E90"/>
    <w:rsid w:val="230171C7"/>
    <w:rsid w:val="231860A1"/>
    <w:rsid w:val="23361A2E"/>
    <w:rsid w:val="23700B5B"/>
    <w:rsid w:val="23A3664D"/>
    <w:rsid w:val="23A55991"/>
    <w:rsid w:val="23C605E7"/>
    <w:rsid w:val="23CD569C"/>
    <w:rsid w:val="245A1939"/>
    <w:rsid w:val="24685852"/>
    <w:rsid w:val="24974A6D"/>
    <w:rsid w:val="249B013A"/>
    <w:rsid w:val="24AA7567"/>
    <w:rsid w:val="24BA024F"/>
    <w:rsid w:val="24BF3E14"/>
    <w:rsid w:val="24D86BE1"/>
    <w:rsid w:val="253A7CA2"/>
    <w:rsid w:val="257727C8"/>
    <w:rsid w:val="25853B30"/>
    <w:rsid w:val="25A65432"/>
    <w:rsid w:val="25E47F17"/>
    <w:rsid w:val="25E66CC5"/>
    <w:rsid w:val="25EF4DF7"/>
    <w:rsid w:val="26006E2F"/>
    <w:rsid w:val="26317B80"/>
    <w:rsid w:val="265826D1"/>
    <w:rsid w:val="26891282"/>
    <w:rsid w:val="268D3CB1"/>
    <w:rsid w:val="268E4002"/>
    <w:rsid w:val="26A10B5B"/>
    <w:rsid w:val="2727432F"/>
    <w:rsid w:val="273656BF"/>
    <w:rsid w:val="276E1D43"/>
    <w:rsid w:val="279F054C"/>
    <w:rsid w:val="27C052F3"/>
    <w:rsid w:val="27F36D87"/>
    <w:rsid w:val="28083684"/>
    <w:rsid w:val="28215D92"/>
    <w:rsid w:val="2886361F"/>
    <w:rsid w:val="28DB79F6"/>
    <w:rsid w:val="29247617"/>
    <w:rsid w:val="296B791D"/>
    <w:rsid w:val="29FE6CE6"/>
    <w:rsid w:val="2A2A04E8"/>
    <w:rsid w:val="2A336048"/>
    <w:rsid w:val="2A5C57A7"/>
    <w:rsid w:val="2A605D91"/>
    <w:rsid w:val="2A755C89"/>
    <w:rsid w:val="2AB1014D"/>
    <w:rsid w:val="2ADF222D"/>
    <w:rsid w:val="2B0B55F7"/>
    <w:rsid w:val="2B137D0D"/>
    <w:rsid w:val="2B5E540C"/>
    <w:rsid w:val="2B760E9B"/>
    <w:rsid w:val="2B7702AD"/>
    <w:rsid w:val="2B772F8F"/>
    <w:rsid w:val="2B9D7E25"/>
    <w:rsid w:val="2BA46A71"/>
    <w:rsid w:val="2BF51DA7"/>
    <w:rsid w:val="2C0B7581"/>
    <w:rsid w:val="2C1520B2"/>
    <w:rsid w:val="2C197BFF"/>
    <w:rsid w:val="2C3F3942"/>
    <w:rsid w:val="2C583DE3"/>
    <w:rsid w:val="2CB33227"/>
    <w:rsid w:val="2D0A688F"/>
    <w:rsid w:val="2D6A7A16"/>
    <w:rsid w:val="2D6D20C4"/>
    <w:rsid w:val="2D962D7E"/>
    <w:rsid w:val="2DDA1983"/>
    <w:rsid w:val="2E071A24"/>
    <w:rsid w:val="2E08508E"/>
    <w:rsid w:val="2E596789"/>
    <w:rsid w:val="2E702310"/>
    <w:rsid w:val="2E950595"/>
    <w:rsid w:val="2ED578D6"/>
    <w:rsid w:val="2EDC14F2"/>
    <w:rsid w:val="2EEA7A7B"/>
    <w:rsid w:val="2F20083B"/>
    <w:rsid w:val="2F8F24F9"/>
    <w:rsid w:val="2F910EDF"/>
    <w:rsid w:val="2F9175E8"/>
    <w:rsid w:val="2FA61A42"/>
    <w:rsid w:val="2FB01266"/>
    <w:rsid w:val="2FC70332"/>
    <w:rsid w:val="2FF61581"/>
    <w:rsid w:val="300F506A"/>
    <w:rsid w:val="305B3861"/>
    <w:rsid w:val="307D7351"/>
    <w:rsid w:val="309F63EE"/>
    <w:rsid w:val="30AB1817"/>
    <w:rsid w:val="30BC0716"/>
    <w:rsid w:val="30E263F2"/>
    <w:rsid w:val="30ED00E0"/>
    <w:rsid w:val="30F40A40"/>
    <w:rsid w:val="314305AC"/>
    <w:rsid w:val="31490A9E"/>
    <w:rsid w:val="317766F7"/>
    <w:rsid w:val="317D37D3"/>
    <w:rsid w:val="31B62CD5"/>
    <w:rsid w:val="31BD08C4"/>
    <w:rsid w:val="31BE4461"/>
    <w:rsid w:val="321B1187"/>
    <w:rsid w:val="32317FC6"/>
    <w:rsid w:val="32383CED"/>
    <w:rsid w:val="323C6729"/>
    <w:rsid w:val="32531705"/>
    <w:rsid w:val="3291709C"/>
    <w:rsid w:val="329C6FD5"/>
    <w:rsid w:val="329F3940"/>
    <w:rsid w:val="32A64964"/>
    <w:rsid w:val="32D839D4"/>
    <w:rsid w:val="32F866CB"/>
    <w:rsid w:val="334E1BEE"/>
    <w:rsid w:val="33696F02"/>
    <w:rsid w:val="33754746"/>
    <w:rsid w:val="33887944"/>
    <w:rsid w:val="33960096"/>
    <w:rsid w:val="339D5FB4"/>
    <w:rsid w:val="33A723EF"/>
    <w:rsid w:val="33AC4531"/>
    <w:rsid w:val="33B72FA9"/>
    <w:rsid w:val="33BD7BCA"/>
    <w:rsid w:val="33CF0542"/>
    <w:rsid w:val="33D87069"/>
    <w:rsid w:val="3417273F"/>
    <w:rsid w:val="342438B0"/>
    <w:rsid w:val="345F1E0A"/>
    <w:rsid w:val="34990504"/>
    <w:rsid w:val="34DE5496"/>
    <w:rsid w:val="351725FC"/>
    <w:rsid w:val="35476753"/>
    <w:rsid w:val="35840971"/>
    <w:rsid w:val="35872E0B"/>
    <w:rsid w:val="35C74993"/>
    <w:rsid w:val="35E9336F"/>
    <w:rsid w:val="35E94755"/>
    <w:rsid w:val="36164015"/>
    <w:rsid w:val="36462271"/>
    <w:rsid w:val="3658393A"/>
    <w:rsid w:val="36633F72"/>
    <w:rsid w:val="36706C6B"/>
    <w:rsid w:val="3691778A"/>
    <w:rsid w:val="36A036D2"/>
    <w:rsid w:val="36B551CB"/>
    <w:rsid w:val="36DF1384"/>
    <w:rsid w:val="37144A90"/>
    <w:rsid w:val="37213AEB"/>
    <w:rsid w:val="37276FA3"/>
    <w:rsid w:val="374E5E70"/>
    <w:rsid w:val="37610BA9"/>
    <w:rsid w:val="37642C74"/>
    <w:rsid w:val="378F5AE7"/>
    <w:rsid w:val="37D1691E"/>
    <w:rsid w:val="37D74481"/>
    <w:rsid w:val="381F2470"/>
    <w:rsid w:val="384B36EA"/>
    <w:rsid w:val="38933BEB"/>
    <w:rsid w:val="38AA188B"/>
    <w:rsid w:val="391605DF"/>
    <w:rsid w:val="392B3C05"/>
    <w:rsid w:val="394A5D5A"/>
    <w:rsid w:val="396131F9"/>
    <w:rsid w:val="39784971"/>
    <w:rsid w:val="399B34CA"/>
    <w:rsid w:val="39A86FCC"/>
    <w:rsid w:val="39BE0986"/>
    <w:rsid w:val="39F87742"/>
    <w:rsid w:val="3A070207"/>
    <w:rsid w:val="3A1D10DB"/>
    <w:rsid w:val="3A4901B7"/>
    <w:rsid w:val="3A4D1742"/>
    <w:rsid w:val="3A7129B2"/>
    <w:rsid w:val="3A777061"/>
    <w:rsid w:val="3A88060B"/>
    <w:rsid w:val="3AA47D73"/>
    <w:rsid w:val="3AB95B5C"/>
    <w:rsid w:val="3B1F144B"/>
    <w:rsid w:val="3B283FEC"/>
    <w:rsid w:val="3BB94D09"/>
    <w:rsid w:val="3BBA7AA0"/>
    <w:rsid w:val="3BCB5D64"/>
    <w:rsid w:val="3C572B8C"/>
    <w:rsid w:val="3C78579D"/>
    <w:rsid w:val="3C88601A"/>
    <w:rsid w:val="3CAB5632"/>
    <w:rsid w:val="3D0555C3"/>
    <w:rsid w:val="3D1D02FD"/>
    <w:rsid w:val="3D1F64D0"/>
    <w:rsid w:val="3D217C5D"/>
    <w:rsid w:val="3D5C2FF5"/>
    <w:rsid w:val="3D63107D"/>
    <w:rsid w:val="3D687929"/>
    <w:rsid w:val="3D6B1926"/>
    <w:rsid w:val="3D7930AB"/>
    <w:rsid w:val="3D866632"/>
    <w:rsid w:val="3D9F14AA"/>
    <w:rsid w:val="3DBC20CC"/>
    <w:rsid w:val="3DC00139"/>
    <w:rsid w:val="3DCD07E7"/>
    <w:rsid w:val="3DD77846"/>
    <w:rsid w:val="3DE93A0C"/>
    <w:rsid w:val="3DF24D3E"/>
    <w:rsid w:val="3E2339ED"/>
    <w:rsid w:val="3E8E4C0B"/>
    <w:rsid w:val="3E930C4B"/>
    <w:rsid w:val="3EAA780E"/>
    <w:rsid w:val="3EEC4ADA"/>
    <w:rsid w:val="3EED604C"/>
    <w:rsid w:val="3F232016"/>
    <w:rsid w:val="3F96431B"/>
    <w:rsid w:val="3FD92941"/>
    <w:rsid w:val="4012098A"/>
    <w:rsid w:val="401956FE"/>
    <w:rsid w:val="401C6034"/>
    <w:rsid w:val="40302BBE"/>
    <w:rsid w:val="404D4E53"/>
    <w:rsid w:val="406B6741"/>
    <w:rsid w:val="40B173FC"/>
    <w:rsid w:val="40E60AF5"/>
    <w:rsid w:val="41315BCB"/>
    <w:rsid w:val="413E2516"/>
    <w:rsid w:val="413E7206"/>
    <w:rsid w:val="419C1119"/>
    <w:rsid w:val="41A466D4"/>
    <w:rsid w:val="41BF18FF"/>
    <w:rsid w:val="41D05F2A"/>
    <w:rsid w:val="41EB22F0"/>
    <w:rsid w:val="41F16372"/>
    <w:rsid w:val="425443A6"/>
    <w:rsid w:val="428E6BF6"/>
    <w:rsid w:val="429A2D81"/>
    <w:rsid w:val="42A0584D"/>
    <w:rsid w:val="42AD5DD5"/>
    <w:rsid w:val="42C0542C"/>
    <w:rsid w:val="42CF332F"/>
    <w:rsid w:val="42D61816"/>
    <w:rsid w:val="42D74299"/>
    <w:rsid w:val="42DB1912"/>
    <w:rsid w:val="42FA4E56"/>
    <w:rsid w:val="430A67B2"/>
    <w:rsid w:val="43307FD5"/>
    <w:rsid w:val="43776238"/>
    <w:rsid w:val="43A37B4B"/>
    <w:rsid w:val="43C229E7"/>
    <w:rsid w:val="43D74A64"/>
    <w:rsid w:val="43F96496"/>
    <w:rsid w:val="44097B70"/>
    <w:rsid w:val="440A3494"/>
    <w:rsid w:val="44137D6C"/>
    <w:rsid w:val="444D7638"/>
    <w:rsid w:val="449A0591"/>
    <w:rsid w:val="44B7402B"/>
    <w:rsid w:val="44D63A4C"/>
    <w:rsid w:val="44D6686D"/>
    <w:rsid w:val="44D84EAA"/>
    <w:rsid w:val="44F56185"/>
    <w:rsid w:val="453A4766"/>
    <w:rsid w:val="45473ED0"/>
    <w:rsid w:val="456F4189"/>
    <w:rsid w:val="458D320D"/>
    <w:rsid w:val="45A53C18"/>
    <w:rsid w:val="45AB2CE7"/>
    <w:rsid w:val="45B302B2"/>
    <w:rsid w:val="45C4165F"/>
    <w:rsid w:val="45E90269"/>
    <w:rsid w:val="45ED5768"/>
    <w:rsid w:val="45F425E7"/>
    <w:rsid w:val="460033FC"/>
    <w:rsid w:val="460B49D8"/>
    <w:rsid w:val="46141297"/>
    <w:rsid w:val="46511C19"/>
    <w:rsid w:val="468D22E4"/>
    <w:rsid w:val="46DB213C"/>
    <w:rsid w:val="46DE502F"/>
    <w:rsid w:val="46EE31AA"/>
    <w:rsid w:val="46FB4742"/>
    <w:rsid w:val="471E6065"/>
    <w:rsid w:val="4731017A"/>
    <w:rsid w:val="473877D7"/>
    <w:rsid w:val="477B54F3"/>
    <w:rsid w:val="479E0047"/>
    <w:rsid w:val="47AD3599"/>
    <w:rsid w:val="47D22EC0"/>
    <w:rsid w:val="47E9037F"/>
    <w:rsid w:val="47F55EB8"/>
    <w:rsid w:val="47FA3EB9"/>
    <w:rsid w:val="481E4CB4"/>
    <w:rsid w:val="48334444"/>
    <w:rsid w:val="48371C93"/>
    <w:rsid w:val="48477408"/>
    <w:rsid w:val="48696162"/>
    <w:rsid w:val="48751C6C"/>
    <w:rsid w:val="48807F55"/>
    <w:rsid w:val="48B4245B"/>
    <w:rsid w:val="48B67E33"/>
    <w:rsid w:val="48BB4987"/>
    <w:rsid w:val="48C334C9"/>
    <w:rsid w:val="48E10593"/>
    <w:rsid w:val="491F12FE"/>
    <w:rsid w:val="49980F95"/>
    <w:rsid w:val="49CE7709"/>
    <w:rsid w:val="49EE30EB"/>
    <w:rsid w:val="49F7299F"/>
    <w:rsid w:val="4A037596"/>
    <w:rsid w:val="4A0A6F19"/>
    <w:rsid w:val="4A18671C"/>
    <w:rsid w:val="4A212482"/>
    <w:rsid w:val="4A45370A"/>
    <w:rsid w:val="4A475EC8"/>
    <w:rsid w:val="4A4E1191"/>
    <w:rsid w:val="4A604943"/>
    <w:rsid w:val="4A930919"/>
    <w:rsid w:val="4AC179AA"/>
    <w:rsid w:val="4AFC7CAA"/>
    <w:rsid w:val="4B087C07"/>
    <w:rsid w:val="4B1E5A87"/>
    <w:rsid w:val="4B20406F"/>
    <w:rsid w:val="4B3F21E1"/>
    <w:rsid w:val="4B782882"/>
    <w:rsid w:val="4BC32E8B"/>
    <w:rsid w:val="4BDE6F3E"/>
    <w:rsid w:val="4BEF3960"/>
    <w:rsid w:val="4C1E3410"/>
    <w:rsid w:val="4C3B73BA"/>
    <w:rsid w:val="4C4023DB"/>
    <w:rsid w:val="4C7C4EFA"/>
    <w:rsid w:val="4C837CD9"/>
    <w:rsid w:val="4C9D58E8"/>
    <w:rsid w:val="4CC41BF1"/>
    <w:rsid w:val="4CD45FF1"/>
    <w:rsid w:val="4D207734"/>
    <w:rsid w:val="4D326925"/>
    <w:rsid w:val="4D447DC8"/>
    <w:rsid w:val="4D5E286A"/>
    <w:rsid w:val="4D6E5993"/>
    <w:rsid w:val="4D770E29"/>
    <w:rsid w:val="4D9132A2"/>
    <w:rsid w:val="4D9A0143"/>
    <w:rsid w:val="4DA143D6"/>
    <w:rsid w:val="4DAF2767"/>
    <w:rsid w:val="4DBD2688"/>
    <w:rsid w:val="4DCE44B3"/>
    <w:rsid w:val="4E10353E"/>
    <w:rsid w:val="4E514831"/>
    <w:rsid w:val="4E845229"/>
    <w:rsid w:val="4E8A5B90"/>
    <w:rsid w:val="4EB145FF"/>
    <w:rsid w:val="4EE54AB1"/>
    <w:rsid w:val="4EF6642F"/>
    <w:rsid w:val="4EF974AF"/>
    <w:rsid w:val="4F251D5C"/>
    <w:rsid w:val="4F3873D7"/>
    <w:rsid w:val="4F3914F9"/>
    <w:rsid w:val="4F562C8B"/>
    <w:rsid w:val="4F5935EA"/>
    <w:rsid w:val="4FC012DD"/>
    <w:rsid w:val="4FCC3F86"/>
    <w:rsid w:val="4FD36DE1"/>
    <w:rsid w:val="4FD763BF"/>
    <w:rsid w:val="4FF02396"/>
    <w:rsid w:val="5028084F"/>
    <w:rsid w:val="50353FF7"/>
    <w:rsid w:val="50645C28"/>
    <w:rsid w:val="50AB4BA0"/>
    <w:rsid w:val="51004263"/>
    <w:rsid w:val="511445D0"/>
    <w:rsid w:val="51187790"/>
    <w:rsid w:val="51255EF6"/>
    <w:rsid w:val="517260A6"/>
    <w:rsid w:val="51870AAC"/>
    <w:rsid w:val="51923B25"/>
    <w:rsid w:val="51C46ACD"/>
    <w:rsid w:val="51CB3294"/>
    <w:rsid w:val="51DD2A22"/>
    <w:rsid w:val="51E932EE"/>
    <w:rsid w:val="51F15A57"/>
    <w:rsid w:val="520812A2"/>
    <w:rsid w:val="522E2CD6"/>
    <w:rsid w:val="52395F57"/>
    <w:rsid w:val="525208F5"/>
    <w:rsid w:val="526B7241"/>
    <w:rsid w:val="52714988"/>
    <w:rsid w:val="52842FF2"/>
    <w:rsid w:val="529A5CE2"/>
    <w:rsid w:val="52A47108"/>
    <w:rsid w:val="52B232FA"/>
    <w:rsid w:val="52C205DF"/>
    <w:rsid w:val="52DD285A"/>
    <w:rsid w:val="533E6A67"/>
    <w:rsid w:val="53423854"/>
    <w:rsid w:val="5361540C"/>
    <w:rsid w:val="536957E5"/>
    <w:rsid w:val="537F7EC1"/>
    <w:rsid w:val="53921B4B"/>
    <w:rsid w:val="549C6884"/>
    <w:rsid w:val="54AA5B34"/>
    <w:rsid w:val="54B07BD6"/>
    <w:rsid w:val="54B75DFE"/>
    <w:rsid w:val="54D87D90"/>
    <w:rsid w:val="55065A58"/>
    <w:rsid w:val="55373536"/>
    <w:rsid w:val="553C08D4"/>
    <w:rsid w:val="555143A3"/>
    <w:rsid w:val="555327E4"/>
    <w:rsid w:val="557B7EB4"/>
    <w:rsid w:val="558278B3"/>
    <w:rsid w:val="55A87F5B"/>
    <w:rsid w:val="561627BC"/>
    <w:rsid w:val="562E4C03"/>
    <w:rsid w:val="563B5EA3"/>
    <w:rsid w:val="56A77310"/>
    <w:rsid w:val="56BB02E2"/>
    <w:rsid w:val="57001016"/>
    <w:rsid w:val="57093FD0"/>
    <w:rsid w:val="571402EA"/>
    <w:rsid w:val="57184A82"/>
    <w:rsid w:val="574044F1"/>
    <w:rsid w:val="57647A76"/>
    <w:rsid w:val="57951B79"/>
    <w:rsid w:val="57A8069D"/>
    <w:rsid w:val="57D50EF4"/>
    <w:rsid w:val="57D8079E"/>
    <w:rsid w:val="57E31245"/>
    <w:rsid w:val="581B7EC4"/>
    <w:rsid w:val="581D1CED"/>
    <w:rsid w:val="58262F39"/>
    <w:rsid w:val="583B1233"/>
    <w:rsid w:val="583F4042"/>
    <w:rsid w:val="58492D99"/>
    <w:rsid w:val="586125A2"/>
    <w:rsid w:val="586C7EDA"/>
    <w:rsid w:val="591B0524"/>
    <w:rsid w:val="595E4DF0"/>
    <w:rsid w:val="596A0FB5"/>
    <w:rsid w:val="596E3BBE"/>
    <w:rsid w:val="599B4DEC"/>
    <w:rsid w:val="59EC2C81"/>
    <w:rsid w:val="5A100BCB"/>
    <w:rsid w:val="5A127B0B"/>
    <w:rsid w:val="5A6536A9"/>
    <w:rsid w:val="5AA9066C"/>
    <w:rsid w:val="5AAE2C06"/>
    <w:rsid w:val="5AB8064D"/>
    <w:rsid w:val="5ABC0B05"/>
    <w:rsid w:val="5ADC5EEA"/>
    <w:rsid w:val="5AE979AC"/>
    <w:rsid w:val="5B263B1F"/>
    <w:rsid w:val="5B5437AD"/>
    <w:rsid w:val="5B57504B"/>
    <w:rsid w:val="5B75516D"/>
    <w:rsid w:val="5B863B83"/>
    <w:rsid w:val="5B865931"/>
    <w:rsid w:val="5B9B434E"/>
    <w:rsid w:val="5BAA7D66"/>
    <w:rsid w:val="5BB07ED2"/>
    <w:rsid w:val="5C0765D5"/>
    <w:rsid w:val="5C23564A"/>
    <w:rsid w:val="5C325612"/>
    <w:rsid w:val="5C402A71"/>
    <w:rsid w:val="5C4B69FB"/>
    <w:rsid w:val="5C4F3483"/>
    <w:rsid w:val="5C544D15"/>
    <w:rsid w:val="5C6B36B7"/>
    <w:rsid w:val="5C7065B8"/>
    <w:rsid w:val="5C8856FD"/>
    <w:rsid w:val="5C9B5DFC"/>
    <w:rsid w:val="5C9D0F14"/>
    <w:rsid w:val="5CBB535B"/>
    <w:rsid w:val="5CD36070"/>
    <w:rsid w:val="5D442B75"/>
    <w:rsid w:val="5D445C4B"/>
    <w:rsid w:val="5DA80973"/>
    <w:rsid w:val="5DA86032"/>
    <w:rsid w:val="5DBB3F2C"/>
    <w:rsid w:val="5E26772E"/>
    <w:rsid w:val="5E2D3220"/>
    <w:rsid w:val="5E3A31F6"/>
    <w:rsid w:val="5E600B16"/>
    <w:rsid w:val="5E607CEA"/>
    <w:rsid w:val="5F2941B9"/>
    <w:rsid w:val="5F395586"/>
    <w:rsid w:val="5F3F0848"/>
    <w:rsid w:val="5F3F2E5A"/>
    <w:rsid w:val="5F71024A"/>
    <w:rsid w:val="5F8360F3"/>
    <w:rsid w:val="5FC26292"/>
    <w:rsid w:val="5FE44AC2"/>
    <w:rsid w:val="60A32C97"/>
    <w:rsid w:val="60B823D7"/>
    <w:rsid w:val="611D277C"/>
    <w:rsid w:val="61244D59"/>
    <w:rsid w:val="612B0B75"/>
    <w:rsid w:val="612D3000"/>
    <w:rsid w:val="6163799B"/>
    <w:rsid w:val="618B0DBE"/>
    <w:rsid w:val="61A94272"/>
    <w:rsid w:val="61C00D8D"/>
    <w:rsid w:val="61D95824"/>
    <w:rsid w:val="61E9197F"/>
    <w:rsid w:val="61EA4E6B"/>
    <w:rsid w:val="62187039"/>
    <w:rsid w:val="623844DB"/>
    <w:rsid w:val="623C35BE"/>
    <w:rsid w:val="62603516"/>
    <w:rsid w:val="62764951"/>
    <w:rsid w:val="62856BEA"/>
    <w:rsid w:val="629A14BA"/>
    <w:rsid w:val="629F1B17"/>
    <w:rsid w:val="62E13034"/>
    <w:rsid w:val="62E766E3"/>
    <w:rsid w:val="62EA2C49"/>
    <w:rsid w:val="632173C1"/>
    <w:rsid w:val="63286A32"/>
    <w:rsid w:val="63333414"/>
    <w:rsid w:val="63465BD5"/>
    <w:rsid w:val="63540CA5"/>
    <w:rsid w:val="6376056B"/>
    <w:rsid w:val="6386100E"/>
    <w:rsid w:val="63FF2BD6"/>
    <w:rsid w:val="64144421"/>
    <w:rsid w:val="64263027"/>
    <w:rsid w:val="6444611F"/>
    <w:rsid w:val="644A3369"/>
    <w:rsid w:val="64E821E9"/>
    <w:rsid w:val="64F4666B"/>
    <w:rsid w:val="64F53B99"/>
    <w:rsid w:val="654024ED"/>
    <w:rsid w:val="65847385"/>
    <w:rsid w:val="658506E8"/>
    <w:rsid w:val="6591787A"/>
    <w:rsid w:val="659603B5"/>
    <w:rsid w:val="65DD5792"/>
    <w:rsid w:val="65EF5D81"/>
    <w:rsid w:val="65F84EB3"/>
    <w:rsid w:val="6609575A"/>
    <w:rsid w:val="66154481"/>
    <w:rsid w:val="665232B2"/>
    <w:rsid w:val="667F2709"/>
    <w:rsid w:val="66C52095"/>
    <w:rsid w:val="66C7085F"/>
    <w:rsid w:val="66F45E44"/>
    <w:rsid w:val="66FA028A"/>
    <w:rsid w:val="677376B1"/>
    <w:rsid w:val="679D6720"/>
    <w:rsid w:val="67A755AC"/>
    <w:rsid w:val="67CE77C6"/>
    <w:rsid w:val="67E1494E"/>
    <w:rsid w:val="67FE4679"/>
    <w:rsid w:val="68512C67"/>
    <w:rsid w:val="687A14BF"/>
    <w:rsid w:val="68AE1F73"/>
    <w:rsid w:val="68B51372"/>
    <w:rsid w:val="68CE37E9"/>
    <w:rsid w:val="68EA123C"/>
    <w:rsid w:val="690659EB"/>
    <w:rsid w:val="69116E4F"/>
    <w:rsid w:val="69542EAB"/>
    <w:rsid w:val="69614BD2"/>
    <w:rsid w:val="696E21A1"/>
    <w:rsid w:val="6978026D"/>
    <w:rsid w:val="699C1654"/>
    <w:rsid w:val="69E23906"/>
    <w:rsid w:val="6A211646"/>
    <w:rsid w:val="6A494220"/>
    <w:rsid w:val="6A5429A7"/>
    <w:rsid w:val="6A6517C0"/>
    <w:rsid w:val="6A6652AB"/>
    <w:rsid w:val="6A6C5287"/>
    <w:rsid w:val="6A7C568C"/>
    <w:rsid w:val="6A940423"/>
    <w:rsid w:val="6AC10733"/>
    <w:rsid w:val="6AE12E4B"/>
    <w:rsid w:val="6AFF4E74"/>
    <w:rsid w:val="6B27020C"/>
    <w:rsid w:val="6B2D7DF9"/>
    <w:rsid w:val="6B7B5CB8"/>
    <w:rsid w:val="6BAB37B4"/>
    <w:rsid w:val="6BE97B12"/>
    <w:rsid w:val="6C216DFC"/>
    <w:rsid w:val="6C666479"/>
    <w:rsid w:val="6CB03100"/>
    <w:rsid w:val="6CB244CA"/>
    <w:rsid w:val="6CC12FE1"/>
    <w:rsid w:val="6CD705E9"/>
    <w:rsid w:val="6CE448C0"/>
    <w:rsid w:val="6CE461C1"/>
    <w:rsid w:val="6D007739"/>
    <w:rsid w:val="6D085C15"/>
    <w:rsid w:val="6D0E76A9"/>
    <w:rsid w:val="6D13738D"/>
    <w:rsid w:val="6D5F128C"/>
    <w:rsid w:val="6D665BD2"/>
    <w:rsid w:val="6D7A2751"/>
    <w:rsid w:val="6D8D5AFA"/>
    <w:rsid w:val="6D92154C"/>
    <w:rsid w:val="6D970E6F"/>
    <w:rsid w:val="6E0E7BB4"/>
    <w:rsid w:val="6E2A58CC"/>
    <w:rsid w:val="6E3E1036"/>
    <w:rsid w:val="6E4C70A0"/>
    <w:rsid w:val="6E555F99"/>
    <w:rsid w:val="6E564815"/>
    <w:rsid w:val="6E5A28BA"/>
    <w:rsid w:val="6E60319F"/>
    <w:rsid w:val="6E8D3DD1"/>
    <w:rsid w:val="6EA0431F"/>
    <w:rsid w:val="6EBD6174"/>
    <w:rsid w:val="6EDD21E4"/>
    <w:rsid w:val="6EEB4084"/>
    <w:rsid w:val="6EFA113E"/>
    <w:rsid w:val="6F393D9C"/>
    <w:rsid w:val="6F520870"/>
    <w:rsid w:val="6F6C3253"/>
    <w:rsid w:val="6F8A5891"/>
    <w:rsid w:val="6F902CEC"/>
    <w:rsid w:val="6F9055C6"/>
    <w:rsid w:val="6FB00074"/>
    <w:rsid w:val="6FDC5DB8"/>
    <w:rsid w:val="707A4674"/>
    <w:rsid w:val="70AF084F"/>
    <w:rsid w:val="71182443"/>
    <w:rsid w:val="712E0578"/>
    <w:rsid w:val="713E3F59"/>
    <w:rsid w:val="71453C9C"/>
    <w:rsid w:val="715C7408"/>
    <w:rsid w:val="7172349B"/>
    <w:rsid w:val="71950224"/>
    <w:rsid w:val="71997ED8"/>
    <w:rsid w:val="71A64138"/>
    <w:rsid w:val="71BA423B"/>
    <w:rsid w:val="7214345D"/>
    <w:rsid w:val="721662ED"/>
    <w:rsid w:val="72230D99"/>
    <w:rsid w:val="723F3DA0"/>
    <w:rsid w:val="72630FC4"/>
    <w:rsid w:val="727B566C"/>
    <w:rsid w:val="72C70748"/>
    <w:rsid w:val="72FB1DB7"/>
    <w:rsid w:val="72FC6D23"/>
    <w:rsid w:val="73142D5C"/>
    <w:rsid w:val="733510E6"/>
    <w:rsid w:val="733B64C3"/>
    <w:rsid w:val="73502ACA"/>
    <w:rsid w:val="735E6FC8"/>
    <w:rsid w:val="73D569A1"/>
    <w:rsid w:val="73E66B82"/>
    <w:rsid w:val="73ED4347"/>
    <w:rsid w:val="740B576B"/>
    <w:rsid w:val="74253BE5"/>
    <w:rsid w:val="7430244F"/>
    <w:rsid w:val="745B560A"/>
    <w:rsid w:val="7479207F"/>
    <w:rsid w:val="7482413D"/>
    <w:rsid w:val="7496138D"/>
    <w:rsid w:val="749E5EAB"/>
    <w:rsid w:val="74E01DB8"/>
    <w:rsid w:val="74E36062"/>
    <w:rsid w:val="75197B50"/>
    <w:rsid w:val="755E562A"/>
    <w:rsid w:val="75705230"/>
    <w:rsid w:val="75722D56"/>
    <w:rsid w:val="75762C33"/>
    <w:rsid w:val="75880E7E"/>
    <w:rsid w:val="75A373B3"/>
    <w:rsid w:val="75A94DFD"/>
    <w:rsid w:val="75CF05A7"/>
    <w:rsid w:val="75D93DCA"/>
    <w:rsid w:val="76520AD0"/>
    <w:rsid w:val="769C1BD4"/>
    <w:rsid w:val="76AD106A"/>
    <w:rsid w:val="76C643A6"/>
    <w:rsid w:val="76FB521C"/>
    <w:rsid w:val="772608C2"/>
    <w:rsid w:val="774308DB"/>
    <w:rsid w:val="77453866"/>
    <w:rsid w:val="77570521"/>
    <w:rsid w:val="77642132"/>
    <w:rsid w:val="777601BB"/>
    <w:rsid w:val="77761FAC"/>
    <w:rsid w:val="77885995"/>
    <w:rsid w:val="77B643AD"/>
    <w:rsid w:val="77C83101"/>
    <w:rsid w:val="781F021C"/>
    <w:rsid w:val="786C4BEC"/>
    <w:rsid w:val="78A523E1"/>
    <w:rsid w:val="78D363F5"/>
    <w:rsid w:val="78E55D05"/>
    <w:rsid w:val="78F427B2"/>
    <w:rsid w:val="793C3604"/>
    <w:rsid w:val="79613A28"/>
    <w:rsid w:val="797919EB"/>
    <w:rsid w:val="79975481"/>
    <w:rsid w:val="79C23338"/>
    <w:rsid w:val="79D626A1"/>
    <w:rsid w:val="79FD164B"/>
    <w:rsid w:val="7A097A01"/>
    <w:rsid w:val="7A0D7447"/>
    <w:rsid w:val="7A291E51"/>
    <w:rsid w:val="7A3E0A89"/>
    <w:rsid w:val="7A5371EA"/>
    <w:rsid w:val="7A65031B"/>
    <w:rsid w:val="7A997C38"/>
    <w:rsid w:val="7AAA11E4"/>
    <w:rsid w:val="7AC027B5"/>
    <w:rsid w:val="7B050040"/>
    <w:rsid w:val="7B0F2D22"/>
    <w:rsid w:val="7B28027D"/>
    <w:rsid w:val="7B30320B"/>
    <w:rsid w:val="7B305A04"/>
    <w:rsid w:val="7BBA5457"/>
    <w:rsid w:val="7BDE71EA"/>
    <w:rsid w:val="7C3F0AB1"/>
    <w:rsid w:val="7C554C59"/>
    <w:rsid w:val="7C5E6560"/>
    <w:rsid w:val="7C736279"/>
    <w:rsid w:val="7CCC6CE9"/>
    <w:rsid w:val="7CEC40DD"/>
    <w:rsid w:val="7CED174B"/>
    <w:rsid w:val="7CFD3A8D"/>
    <w:rsid w:val="7D112BE0"/>
    <w:rsid w:val="7D1A5715"/>
    <w:rsid w:val="7D24527D"/>
    <w:rsid w:val="7D404ECF"/>
    <w:rsid w:val="7D5438E4"/>
    <w:rsid w:val="7D89723D"/>
    <w:rsid w:val="7D8A131B"/>
    <w:rsid w:val="7D9D32BC"/>
    <w:rsid w:val="7DBF384A"/>
    <w:rsid w:val="7E105802"/>
    <w:rsid w:val="7E1D3FB8"/>
    <w:rsid w:val="7E2D1F10"/>
    <w:rsid w:val="7EA10D4C"/>
    <w:rsid w:val="7EA27E37"/>
    <w:rsid w:val="7EA7410A"/>
    <w:rsid w:val="7EAA3B6B"/>
    <w:rsid w:val="7EAF3E17"/>
    <w:rsid w:val="7EB500C9"/>
    <w:rsid w:val="7EDB3A44"/>
    <w:rsid w:val="7F0345DF"/>
    <w:rsid w:val="7F072044"/>
    <w:rsid w:val="7F1D01D6"/>
    <w:rsid w:val="7F2E55A6"/>
    <w:rsid w:val="7F584815"/>
    <w:rsid w:val="7F776253"/>
    <w:rsid w:val="7F8C5632"/>
    <w:rsid w:val="7FB05D45"/>
    <w:rsid w:val="7FC21AF5"/>
    <w:rsid w:val="7FDB7F8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nhideWhenUsed="0" w:uiPriority="99" w:semiHidden="0" w:name="heading 7"/>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43"/>
    <w:qFormat/>
    <w:uiPriority w:val="99"/>
    <w:pPr>
      <w:keepNext/>
      <w:outlineLvl w:val="0"/>
    </w:pPr>
    <w:rPr>
      <w:rFonts w:ascii="??_GB2312" w:hAnsi="Times New Roman"/>
      <w:sz w:val="28"/>
      <w:szCs w:val="28"/>
    </w:rPr>
  </w:style>
  <w:style w:type="paragraph" w:styleId="4">
    <w:name w:val="heading 2"/>
    <w:basedOn w:val="1"/>
    <w:next w:val="1"/>
    <w:link w:val="44"/>
    <w:qFormat/>
    <w:uiPriority w:val="99"/>
    <w:pPr>
      <w:keepNext/>
      <w:keepLines/>
      <w:spacing w:before="260" w:after="260" w:line="415" w:lineRule="auto"/>
      <w:jc w:val="center"/>
      <w:outlineLvl w:val="1"/>
    </w:pPr>
    <w:rPr>
      <w:rFonts w:ascii="Arial" w:hAnsi="Arial" w:eastAsia="幼圆"/>
      <w:b/>
      <w:bCs/>
      <w:sz w:val="44"/>
      <w:szCs w:val="44"/>
    </w:rPr>
  </w:style>
  <w:style w:type="paragraph" w:styleId="5">
    <w:name w:val="heading 3"/>
    <w:basedOn w:val="1"/>
    <w:next w:val="1"/>
    <w:link w:val="45"/>
    <w:qFormat/>
    <w:uiPriority w:val="99"/>
    <w:pPr>
      <w:keepNext/>
      <w:keepLines/>
      <w:spacing w:before="260" w:after="260" w:line="415" w:lineRule="auto"/>
      <w:outlineLvl w:val="2"/>
    </w:pPr>
    <w:rPr>
      <w:b/>
      <w:bCs/>
      <w:sz w:val="32"/>
      <w:szCs w:val="32"/>
    </w:rPr>
  </w:style>
  <w:style w:type="paragraph" w:styleId="6">
    <w:name w:val="heading 7"/>
    <w:basedOn w:val="1"/>
    <w:next w:val="1"/>
    <w:link w:val="46"/>
    <w:qFormat/>
    <w:uiPriority w:val="99"/>
    <w:pPr>
      <w:keepNext/>
      <w:keepLines/>
      <w:widowControl/>
      <w:spacing w:before="240" w:after="64" w:line="316" w:lineRule="auto"/>
      <w:ind w:left="1296" w:hanging="1296"/>
      <w:jc w:val="left"/>
      <w:outlineLvl w:val="6"/>
    </w:pPr>
    <w:rPr>
      <w:rFonts w:ascii="Times New Roman" w:hAnsi="Times New Roman"/>
      <w:b/>
      <w:bCs/>
      <w:kern w:val="0"/>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cs="宋体"/>
      <w:kern w:val="0"/>
      <w:sz w:val="24"/>
      <w:szCs w:val="24"/>
    </w:rPr>
  </w:style>
  <w:style w:type="paragraph" w:styleId="7">
    <w:name w:val="Normal Indent"/>
    <w:basedOn w:val="1"/>
    <w:qFormat/>
    <w:uiPriority w:val="99"/>
    <w:pPr>
      <w:ind w:firstLine="420" w:firstLineChars="200"/>
    </w:pPr>
  </w:style>
  <w:style w:type="paragraph" w:styleId="8">
    <w:name w:val="annotation text"/>
    <w:basedOn w:val="1"/>
    <w:link w:val="49"/>
    <w:qFormat/>
    <w:uiPriority w:val="0"/>
    <w:pPr>
      <w:jc w:val="left"/>
    </w:pPr>
  </w:style>
  <w:style w:type="paragraph" w:styleId="9">
    <w:name w:val="Body Text"/>
    <w:basedOn w:val="1"/>
    <w:next w:val="1"/>
    <w:link w:val="50"/>
    <w:qFormat/>
    <w:uiPriority w:val="99"/>
    <w:rPr>
      <w:rFonts w:ascii="??_GB2312" w:hAnsi="Arial"/>
      <w:sz w:val="28"/>
      <w:szCs w:val="28"/>
    </w:rPr>
  </w:style>
  <w:style w:type="paragraph" w:styleId="10">
    <w:name w:val="Body Text Indent"/>
    <w:basedOn w:val="1"/>
    <w:next w:val="11"/>
    <w:link w:val="63"/>
    <w:qFormat/>
    <w:uiPriority w:val="99"/>
    <w:pPr>
      <w:spacing w:after="120"/>
      <w:ind w:left="420" w:leftChars="200"/>
    </w:pPr>
  </w:style>
  <w:style w:type="paragraph" w:styleId="11">
    <w:name w:val="envelope return"/>
    <w:basedOn w:val="1"/>
    <w:qFormat/>
    <w:uiPriority w:val="99"/>
    <w:pPr>
      <w:snapToGrid w:val="0"/>
    </w:pPr>
    <w:rPr>
      <w:rFonts w:ascii="Arial" w:hAnsi="Arial"/>
    </w:rPr>
  </w:style>
  <w:style w:type="paragraph" w:styleId="12">
    <w:name w:val="Plain Text"/>
    <w:basedOn w:val="1"/>
    <w:link w:val="82"/>
    <w:semiHidden/>
    <w:unhideWhenUsed/>
    <w:qFormat/>
    <w:uiPriority w:val="99"/>
    <w:rPr>
      <w:rFonts w:ascii="宋体" w:hAnsi="Courier New" w:cs="Courier New"/>
    </w:rPr>
  </w:style>
  <w:style w:type="paragraph" w:styleId="13">
    <w:name w:val="Date"/>
    <w:basedOn w:val="1"/>
    <w:next w:val="1"/>
    <w:link w:val="80"/>
    <w:semiHidden/>
    <w:unhideWhenUsed/>
    <w:qFormat/>
    <w:uiPriority w:val="99"/>
    <w:pPr>
      <w:ind w:left="100" w:leftChars="2500"/>
    </w:pPr>
  </w:style>
  <w:style w:type="paragraph" w:styleId="14">
    <w:name w:val="Balloon Text"/>
    <w:basedOn w:val="1"/>
    <w:link w:val="66"/>
    <w:unhideWhenUsed/>
    <w:qFormat/>
    <w:uiPriority w:val="99"/>
    <w:rPr>
      <w:sz w:val="18"/>
      <w:szCs w:val="18"/>
    </w:rPr>
  </w:style>
  <w:style w:type="paragraph" w:styleId="15">
    <w:name w:val="footer"/>
    <w:basedOn w:val="1"/>
    <w:link w:val="51"/>
    <w:qFormat/>
    <w:uiPriority w:val="99"/>
    <w:pPr>
      <w:snapToGrid w:val="0"/>
      <w:jc w:val="left"/>
    </w:pPr>
    <w:rPr>
      <w:sz w:val="18"/>
      <w:szCs w:val="18"/>
    </w:rPr>
  </w:style>
  <w:style w:type="paragraph" w:styleId="16">
    <w:name w:val="header"/>
    <w:basedOn w:val="1"/>
    <w:link w:val="52"/>
    <w:qFormat/>
    <w:uiPriority w:val="99"/>
    <w:pPr>
      <w:pBdr>
        <w:bottom w:val="single" w:color="auto" w:sz="6" w:space="1"/>
      </w:pBdr>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85"/>
    <w:qFormat/>
    <w:locked/>
    <w:uiPriority w:val="0"/>
    <w:pPr>
      <w:spacing w:before="240" w:after="60"/>
      <w:jc w:val="center"/>
      <w:outlineLvl w:val="0"/>
    </w:pPr>
    <w:rPr>
      <w:rFonts w:asciiTheme="majorHAnsi" w:hAnsiTheme="majorHAnsi" w:cstheme="majorBidi"/>
      <w:b/>
      <w:bCs/>
      <w:sz w:val="32"/>
      <w:szCs w:val="32"/>
    </w:rPr>
  </w:style>
  <w:style w:type="paragraph" w:styleId="19">
    <w:name w:val="annotation subject"/>
    <w:basedOn w:val="8"/>
    <w:next w:val="8"/>
    <w:link w:val="65"/>
    <w:unhideWhenUsed/>
    <w:qFormat/>
    <w:uiPriority w:val="99"/>
    <w:rPr>
      <w:b/>
      <w:bCs/>
    </w:rPr>
  </w:style>
  <w:style w:type="paragraph" w:styleId="20">
    <w:name w:val="Body Text First Indent"/>
    <w:basedOn w:val="9"/>
    <w:qFormat/>
    <w:uiPriority w:val="0"/>
    <w:pPr>
      <w:spacing w:line="360" w:lineRule="auto"/>
      <w:ind w:firstLine="200" w:firstLineChars="200"/>
    </w:pPr>
    <w:rPr>
      <w:rFonts w:ascii="仿宋_GB2312" w:eastAsia="仿宋_GB2312"/>
      <w:sz w:val="30"/>
      <w:szCs w:val="30"/>
    </w:rPr>
  </w:style>
  <w:style w:type="paragraph" w:styleId="21">
    <w:name w:val="Body Text First Indent 2"/>
    <w:basedOn w:val="10"/>
    <w:next w:val="1"/>
    <w:link w:val="64"/>
    <w:qFormat/>
    <w:uiPriority w:val="0"/>
    <w:pPr>
      <w:ind w:firstLine="420" w:firstLineChars="200"/>
    </w:pPr>
  </w:style>
  <w:style w:type="table" w:styleId="23">
    <w:name w:val="Table Grid"/>
    <w:basedOn w:val="22"/>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locked/>
    <w:uiPriority w:val="22"/>
    <w:rPr>
      <w:b/>
      <w:bCs/>
    </w:rPr>
  </w:style>
  <w:style w:type="character" w:styleId="26">
    <w:name w:val="FollowedHyperlink"/>
    <w:qFormat/>
    <w:uiPriority w:val="99"/>
    <w:rPr>
      <w:rFonts w:cs="Times New Roman"/>
      <w:color w:val="800080"/>
      <w:u w:val="single"/>
    </w:rPr>
  </w:style>
  <w:style w:type="character" w:styleId="27">
    <w:name w:val="Emphasis"/>
    <w:basedOn w:val="24"/>
    <w:qFormat/>
    <w:locked/>
    <w:uiPriority w:val="0"/>
    <w:rPr>
      <w:b/>
    </w:rPr>
  </w:style>
  <w:style w:type="character" w:styleId="28">
    <w:name w:val="HTML Definition"/>
    <w:basedOn w:val="24"/>
    <w:unhideWhenUsed/>
    <w:qFormat/>
    <w:uiPriority w:val="99"/>
  </w:style>
  <w:style w:type="character" w:styleId="29">
    <w:name w:val="HTML Typewriter"/>
    <w:basedOn w:val="24"/>
    <w:unhideWhenUsed/>
    <w:qFormat/>
    <w:uiPriority w:val="99"/>
    <w:rPr>
      <w:rFonts w:hint="default" w:ascii="monospace" w:hAnsi="monospace" w:eastAsia="monospace" w:cs="monospace"/>
      <w:sz w:val="20"/>
    </w:rPr>
  </w:style>
  <w:style w:type="character" w:styleId="30">
    <w:name w:val="HTML Acronym"/>
    <w:basedOn w:val="24"/>
    <w:unhideWhenUsed/>
    <w:qFormat/>
    <w:uiPriority w:val="99"/>
  </w:style>
  <w:style w:type="character" w:styleId="31">
    <w:name w:val="HTML Variable"/>
    <w:basedOn w:val="24"/>
    <w:unhideWhenUsed/>
    <w:qFormat/>
    <w:uiPriority w:val="99"/>
  </w:style>
  <w:style w:type="character" w:styleId="32">
    <w:name w:val="Hyperlink"/>
    <w:qFormat/>
    <w:uiPriority w:val="99"/>
    <w:rPr>
      <w:rFonts w:cs="Times New Roman"/>
      <w:color w:val="0000FF"/>
      <w:u w:val="single"/>
    </w:rPr>
  </w:style>
  <w:style w:type="character" w:styleId="33">
    <w:name w:val="HTML Code"/>
    <w:basedOn w:val="24"/>
    <w:unhideWhenUsed/>
    <w:qFormat/>
    <w:uiPriority w:val="99"/>
    <w:rPr>
      <w:rFonts w:ascii="monospace" w:hAnsi="monospace" w:eastAsia="monospace" w:cs="monospace"/>
      <w:sz w:val="20"/>
    </w:rPr>
  </w:style>
  <w:style w:type="character" w:styleId="34">
    <w:name w:val="annotation reference"/>
    <w:unhideWhenUsed/>
    <w:qFormat/>
    <w:uiPriority w:val="99"/>
    <w:rPr>
      <w:sz w:val="21"/>
      <w:szCs w:val="21"/>
    </w:rPr>
  </w:style>
  <w:style w:type="character" w:styleId="35">
    <w:name w:val="HTML Cite"/>
    <w:basedOn w:val="24"/>
    <w:unhideWhenUsed/>
    <w:qFormat/>
    <w:uiPriority w:val="99"/>
  </w:style>
  <w:style w:type="character" w:styleId="36">
    <w:name w:val="HTML Keyboard"/>
    <w:basedOn w:val="24"/>
    <w:unhideWhenUsed/>
    <w:qFormat/>
    <w:uiPriority w:val="99"/>
    <w:rPr>
      <w:rFonts w:hint="default" w:ascii="monospace" w:hAnsi="monospace" w:eastAsia="monospace" w:cs="monospace"/>
      <w:sz w:val="20"/>
    </w:rPr>
  </w:style>
  <w:style w:type="character" w:styleId="37">
    <w:name w:val="HTML Sample"/>
    <w:basedOn w:val="24"/>
    <w:unhideWhenUsed/>
    <w:qFormat/>
    <w:uiPriority w:val="99"/>
    <w:rPr>
      <w:rFonts w:hint="default" w:ascii="monospace" w:hAnsi="monospace" w:eastAsia="monospace" w:cs="monospace"/>
    </w:rPr>
  </w:style>
  <w:style w:type="paragraph" w:customStyle="1" w:styleId="38">
    <w:name w:val="正文首行缩进 21"/>
    <w:basedOn w:val="10"/>
    <w:unhideWhenUsed/>
    <w:qFormat/>
    <w:uiPriority w:val="99"/>
    <w:pPr>
      <w:ind w:firstLine="200" w:firstLineChars="200"/>
    </w:pPr>
  </w:style>
  <w:style w:type="paragraph" w:customStyle="1" w:styleId="39">
    <w:name w:val="DAS正文"/>
    <w:basedOn w:val="1"/>
    <w:qFormat/>
    <w:uiPriority w:val="0"/>
    <w:pPr>
      <w:spacing w:line="360" w:lineRule="auto"/>
      <w:ind w:right="181" w:firstLine="480"/>
    </w:pPr>
    <w:rPr>
      <w:rFonts w:ascii="Verdana" w:hAnsi="Verdana"/>
      <w:szCs w:val="24"/>
    </w:rPr>
  </w:style>
  <w:style w:type="paragraph" w:customStyle="1" w:styleId="40">
    <w:name w:val="BodyText"/>
    <w:basedOn w:val="1"/>
    <w:qFormat/>
    <w:uiPriority w:val="0"/>
    <w:rPr>
      <w:rFonts w:ascii="??_GB2312" w:hAnsi="Arial"/>
      <w:kern w:val="0"/>
      <w:sz w:val="28"/>
      <w:szCs w:val="28"/>
    </w:rPr>
  </w:style>
  <w:style w:type="paragraph" w:customStyle="1" w:styleId="41">
    <w:name w:val="段"/>
    <w:next w:val="1"/>
    <w:qFormat/>
    <w:uiPriority w:val="0"/>
    <w:pPr>
      <w:widowControl w:val="0"/>
      <w:ind w:firstLine="200"/>
      <w:jc w:val="both"/>
    </w:pPr>
    <w:rPr>
      <w:rFonts w:ascii="宋体" w:hAnsi="宋体" w:eastAsia="宋体" w:cs="宋体"/>
      <w:color w:val="000000"/>
      <w:kern w:val="0"/>
      <w:sz w:val="21"/>
      <w:szCs w:val="21"/>
      <w:lang w:val="en-US" w:eastAsia="zh-CN" w:bidi="ar-SA"/>
    </w:rPr>
  </w:style>
  <w:style w:type="paragraph" w:customStyle="1" w:styleId="4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3">
    <w:name w:val="标题 1 Char"/>
    <w:link w:val="3"/>
    <w:qFormat/>
    <w:locked/>
    <w:uiPriority w:val="99"/>
    <w:rPr>
      <w:rFonts w:ascii="??_GB2312" w:hAnsi="Times New Roman" w:eastAsia="宋体" w:cs="Times New Roman"/>
      <w:sz w:val="28"/>
      <w:szCs w:val="28"/>
    </w:rPr>
  </w:style>
  <w:style w:type="character" w:customStyle="1" w:styleId="44">
    <w:name w:val="标题 2 Char"/>
    <w:link w:val="4"/>
    <w:qFormat/>
    <w:locked/>
    <w:uiPriority w:val="99"/>
    <w:rPr>
      <w:rFonts w:ascii="Arial" w:hAnsi="Arial" w:eastAsia="幼圆" w:cs="Times New Roman"/>
      <w:b/>
      <w:bCs/>
      <w:sz w:val="44"/>
      <w:szCs w:val="44"/>
    </w:rPr>
  </w:style>
  <w:style w:type="character" w:customStyle="1" w:styleId="45">
    <w:name w:val="标题 3 Char"/>
    <w:link w:val="5"/>
    <w:qFormat/>
    <w:locked/>
    <w:uiPriority w:val="99"/>
    <w:rPr>
      <w:rFonts w:ascii="Calibri" w:hAnsi="Calibri" w:eastAsia="宋体" w:cs="Times New Roman"/>
      <w:b/>
      <w:bCs/>
      <w:sz w:val="32"/>
      <w:szCs w:val="32"/>
    </w:rPr>
  </w:style>
  <w:style w:type="character" w:customStyle="1" w:styleId="46">
    <w:name w:val="标题 7 Char"/>
    <w:link w:val="6"/>
    <w:qFormat/>
    <w:locked/>
    <w:uiPriority w:val="99"/>
    <w:rPr>
      <w:rFonts w:ascii="Times New Roman" w:hAnsi="Times New Roman" w:eastAsia="宋体" w:cs="Times New Roman"/>
      <w:b/>
      <w:bCs/>
      <w:kern w:val="0"/>
      <w:sz w:val="24"/>
      <w:szCs w:val="24"/>
    </w:rPr>
  </w:style>
  <w:style w:type="character" w:customStyle="1" w:styleId="47">
    <w:name w:val="Body Text Indent Char"/>
    <w:semiHidden/>
    <w:qFormat/>
    <w:locked/>
    <w:uiPriority w:val="99"/>
    <w:rPr>
      <w:rFonts w:ascii="Calibri" w:hAnsi="Calibri" w:cs="Times New Roman"/>
      <w:sz w:val="21"/>
      <w:szCs w:val="21"/>
    </w:rPr>
  </w:style>
  <w:style w:type="character" w:customStyle="1" w:styleId="48">
    <w:name w:val="Body Text First Indent 2 Char"/>
    <w:basedOn w:val="47"/>
    <w:semiHidden/>
    <w:qFormat/>
    <w:locked/>
    <w:uiPriority w:val="99"/>
    <w:rPr>
      <w:rFonts w:ascii="Calibri" w:hAnsi="Calibri" w:cs="Times New Roman"/>
      <w:sz w:val="21"/>
      <w:szCs w:val="21"/>
    </w:rPr>
  </w:style>
  <w:style w:type="character" w:customStyle="1" w:styleId="49">
    <w:name w:val="批注文字 Char"/>
    <w:link w:val="8"/>
    <w:qFormat/>
    <w:locked/>
    <w:uiPriority w:val="0"/>
    <w:rPr>
      <w:rFonts w:ascii="Calibri" w:hAnsi="Calibri" w:cs="Times New Roman"/>
      <w:sz w:val="21"/>
      <w:szCs w:val="21"/>
    </w:rPr>
  </w:style>
  <w:style w:type="character" w:customStyle="1" w:styleId="50">
    <w:name w:val="正文文本 Char"/>
    <w:link w:val="9"/>
    <w:qFormat/>
    <w:locked/>
    <w:uiPriority w:val="99"/>
    <w:rPr>
      <w:rFonts w:ascii="??_GB2312" w:hAnsi="Arial" w:eastAsia="宋体" w:cs="Times New Roman"/>
      <w:sz w:val="28"/>
      <w:szCs w:val="28"/>
    </w:rPr>
  </w:style>
  <w:style w:type="character" w:customStyle="1" w:styleId="51">
    <w:name w:val="页脚 Char"/>
    <w:link w:val="15"/>
    <w:qFormat/>
    <w:locked/>
    <w:uiPriority w:val="99"/>
    <w:rPr>
      <w:rFonts w:ascii="Calibri" w:hAnsi="Calibri" w:eastAsia="宋体" w:cs="Times New Roman"/>
      <w:sz w:val="18"/>
      <w:szCs w:val="18"/>
    </w:rPr>
  </w:style>
  <w:style w:type="character" w:customStyle="1" w:styleId="52">
    <w:name w:val="页眉 Char"/>
    <w:link w:val="16"/>
    <w:qFormat/>
    <w:locked/>
    <w:uiPriority w:val="99"/>
    <w:rPr>
      <w:rFonts w:ascii="Calibri" w:hAnsi="Calibri" w:eastAsia="宋体" w:cs="Times New Roman"/>
      <w:sz w:val="18"/>
      <w:szCs w:val="18"/>
    </w:rPr>
  </w:style>
  <w:style w:type="paragraph" w:customStyle="1" w:styleId="53">
    <w:name w:val="纯文本1"/>
    <w:basedOn w:val="1"/>
    <w:qFormat/>
    <w:uiPriority w:val="99"/>
    <w:rPr>
      <w:rFonts w:ascii="宋体" w:hAnsi="Courier New"/>
      <w:sz w:val="28"/>
      <w:szCs w:val="28"/>
    </w:rPr>
  </w:style>
  <w:style w:type="paragraph" w:customStyle="1" w:styleId="54">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标题1"/>
    <w:basedOn w:val="1"/>
    <w:next w:val="1"/>
    <w:qFormat/>
    <w:uiPriority w:val="99"/>
    <w:pPr>
      <w:spacing w:line="700" w:lineRule="atLeast"/>
      <w:jc w:val="center"/>
    </w:pPr>
    <w:rPr>
      <w:rFonts w:ascii="Times New Roman" w:hAnsi="Times New Roman"/>
      <w:sz w:val="44"/>
      <w:szCs w:val="44"/>
    </w:rPr>
  </w:style>
  <w:style w:type="paragraph" w:customStyle="1" w:styleId="56">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57">
    <w:name w:val="正文缩进2格"/>
    <w:basedOn w:val="1"/>
    <w:qFormat/>
    <w:uiPriority w:val="99"/>
    <w:pPr>
      <w:spacing w:line="600" w:lineRule="exact"/>
      <w:ind w:firstLine="639" w:firstLineChars="206"/>
    </w:pPr>
    <w:rPr>
      <w:rFonts w:ascii="??_GB2312" w:hAnsi="宋体"/>
      <w:sz w:val="31"/>
      <w:szCs w:val="31"/>
    </w:rPr>
  </w:style>
  <w:style w:type="paragraph" w:customStyle="1" w:styleId="58">
    <w:name w:val="样式 标题 2 + 黑色 行距: 1.5 倍行距"/>
    <w:basedOn w:val="4"/>
    <w:qFormat/>
    <w:uiPriority w:val="99"/>
    <w:pPr>
      <w:spacing w:line="360" w:lineRule="auto"/>
      <w:ind w:firstLine="2397" w:firstLineChars="746"/>
      <w:jc w:val="left"/>
    </w:pPr>
    <w:rPr>
      <w:rFonts w:ascii="宋体" w:hAnsi="宋体" w:eastAsia="宋体" w:cs="??_GB2312"/>
      <w:color w:val="000000"/>
    </w:rPr>
  </w:style>
  <w:style w:type="paragraph" w:customStyle="1" w:styleId="59">
    <w:name w:val="列出段落1"/>
    <w:basedOn w:val="1"/>
    <w:qFormat/>
    <w:uiPriority w:val="99"/>
    <w:pPr>
      <w:ind w:firstLine="420" w:firstLineChars="200"/>
    </w:pPr>
  </w:style>
  <w:style w:type="character" w:customStyle="1" w:styleId="60">
    <w:name w:val="10"/>
    <w:qFormat/>
    <w:uiPriority w:val="99"/>
    <w:rPr>
      <w:rFonts w:ascii="Times New Roman" w:hAnsi="Times New Roman" w:cs="Times New Roman"/>
    </w:rPr>
  </w:style>
  <w:style w:type="character" w:customStyle="1" w:styleId="61">
    <w:name w:val="15"/>
    <w:qFormat/>
    <w:uiPriority w:val="99"/>
    <w:rPr>
      <w:rFonts w:ascii="Times New Roman" w:hAnsi="Times New Roman" w:cs="Times New Roman"/>
      <w:color w:val="0563C1"/>
      <w:u w:val="single"/>
    </w:rPr>
  </w:style>
  <w:style w:type="paragraph" w:customStyle="1" w:styleId="62">
    <w:name w:val="普通文字"/>
    <w:basedOn w:val="1"/>
    <w:next w:val="1"/>
    <w:qFormat/>
    <w:uiPriority w:val="99"/>
    <w:rPr>
      <w:rFonts w:ascii="宋体" w:hAnsi="等线" w:eastAsia="等线" w:cs="宋体"/>
      <w:kern w:val="0"/>
      <w:sz w:val="24"/>
      <w:u w:color="000000"/>
    </w:rPr>
  </w:style>
  <w:style w:type="character" w:customStyle="1" w:styleId="63">
    <w:name w:val="正文文本缩进 Char"/>
    <w:link w:val="10"/>
    <w:qFormat/>
    <w:locked/>
    <w:uiPriority w:val="0"/>
    <w:rPr>
      <w:rFonts w:ascii="Calibri" w:hAnsi="Calibri" w:eastAsia="宋体" w:cs="Times New Roman"/>
      <w:sz w:val="21"/>
      <w:szCs w:val="21"/>
    </w:rPr>
  </w:style>
  <w:style w:type="character" w:customStyle="1" w:styleId="64">
    <w:name w:val="正文首行缩进 2 Char"/>
    <w:basedOn w:val="63"/>
    <w:link w:val="21"/>
    <w:qFormat/>
    <w:locked/>
    <w:uiPriority w:val="0"/>
    <w:rPr>
      <w:rFonts w:ascii="Calibri" w:hAnsi="Calibri" w:eastAsia="宋体" w:cs="Times New Roman"/>
      <w:sz w:val="21"/>
      <w:szCs w:val="21"/>
    </w:rPr>
  </w:style>
  <w:style w:type="character" w:customStyle="1" w:styleId="65">
    <w:name w:val="批注主题 Char"/>
    <w:link w:val="19"/>
    <w:semiHidden/>
    <w:qFormat/>
    <w:uiPriority w:val="99"/>
    <w:rPr>
      <w:rFonts w:ascii="Calibri" w:hAnsi="Calibri" w:cs="Times New Roman"/>
      <w:b/>
      <w:bCs/>
      <w:kern w:val="2"/>
      <w:sz w:val="21"/>
      <w:szCs w:val="21"/>
    </w:rPr>
  </w:style>
  <w:style w:type="character" w:customStyle="1" w:styleId="66">
    <w:name w:val="批注框文本 Char"/>
    <w:link w:val="14"/>
    <w:semiHidden/>
    <w:qFormat/>
    <w:uiPriority w:val="99"/>
    <w:rPr>
      <w:rFonts w:ascii="Calibri" w:hAnsi="Calibri"/>
      <w:kern w:val="2"/>
      <w:sz w:val="18"/>
      <w:szCs w:val="18"/>
    </w:rPr>
  </w:style>
  <w:style w:type="paragraph" w:customStyle="1" w:styleId="67">
    <w:name w:val="列出段落2"/>
    <w:basedOn w:val="1"/>
    <w:qFormat/>
    <w:uiPriority w:val="34"/>
    <w:pPr>
      <w:ind w:firstLine="420" w:firstLineChars="200"/>
    </w:pPr>
    <w:rPr>
      <w:szCs w:val="22"/>
    </w:rPr>
  </w:style>
  <w:style w:type="character" w:customStyle="1" w:styleId="68">
    <w:name w:val="批注文字 Char2"/>
    <w:qFormat/>
    <w:uiPriority w:val="0"/>
    <w:rPr>
      <w:kern w:val="2"/>
      <w:sz w:val="21"/>
      <w:szCs w:val="21"/>
    </w:rPr>
  </w:style>
  <w:style w:type="character" w:customStyle="1" w:styleId="69">
    <w:name w:val="正文首行缩进 2 Char1"/>
    <w:qFormat/>
    <w:uiPriority w:val="0"/>
    <w:rPr>
      <w:rFonts w:ascii="宋体" w:hAnsi="宋体"/>
      <w:kern w:val="2"/>
      <w:sz w:val="21"/>
    </w:rPr>
  </w:style>
  <w:style w:type="paragraph" w:customStyle="1" w:styleId="70">
    <w:name w:val="列出段落3"/>
    <w:basedOn w:val="1"/>
    <w:unhideWhenUsed/>
    <w:qFormat/>
    <w:uiPriority w:val="99"/>
    <w:pPr>
      <w:ind w:firstLine="420" w:firstLineChars="200"/>
    </w:pPr>
  </w:style>
  <w:style w:type="paragraph" w:customStyle="1" w:styleId="71">
    <w:name w:val="表格内容"/>
    <w:qFormat/>
    <w:uiPriority w:val="0"/>
    <w:rPr>
      <w:rFonts w:ascii="Times New Roman" w:hAnsi="Times New Roman" w:eastAsia="宋体" w:cs="Times New Roman"/>
      <w:kern w:val="2"/>
      <w:sz w:val="21"/>
      <w:szCs w:val="21"/>
      <w:lang w:val="en-US" w:eastAsia="zh-CN" w:bidi="ar-SA"/>
    </w:rPr>
  </w:style>
  <w:style w:type="character" w:customStyle="1" w:styleId="72">
    <w:name w:val="btn-task-gray"/>
    <w:basedOn w:val="24"/>
    <w:qFormat/>
    <w:uiPriority w:val="0"/>
    <w:rPr>
      <w:color w:val="FFFFFF"/>
      <w:u w:val="none"/>
      <w:shd w:val="clear" w:color="auto" w:fill="CCCCCC"/>
    </w:rPr>
  </w:style>
  <w:style w:type="character" w:customStyle="1" w:styleId="73">
    <w:name w:val="btn-task-gray1"/>
    <w:basedOn w:val="24"/>
    <w:qFormat/>
    <w:uiPriority w:val="0"/>
  </w:style>
  <w:style w:type="character" w:customStyle="1" w:styleId="74">
    <w:name w:val="hover39"/>
    <w:basedOn w:val="24"/>
    <w:qFormat/>
    <w:uiPriority w:val="0"/>
    <w:rPr>
      <w:color w:val="3EAF0E"/>
    </w:rPr>
  </w:style>
  <w:style w:type="character" w:customStyle="1" w:styleId="75">
    <w:name w:val="s16"/>
    <w:basedOn w:val="24"/>
    <w:qFormat/>
    <w:uiPriority w:val="0"/>
    <w:rPr>
      <w:color w:val="DDDDDD"/>
      <w:sz w:val="18"/>
      <w:szCs w:val="18"/>
    </w:rPr>
  </w:style>
  <w:style w:type="character" w:customStyle="1" w:styleId="76">
    <w:name w:val="mr-prof"/>
    <w:basedOn w:val="24"/>
    <w:qFormat/>
    <w:uiPriority w:val="0"/>
  </w:style>
  <w:style w:type="paragraph" w:styleId="77">
    <w:name w:val="List Paragraph"/>
    <w:basedOn w:val="1"/>
    <w:unhideWhenUsed/>
    <w:qFormat/>
    <w:uiPriority w:val="99"/>
    <w:pPr>
      <w:ind w:firstLine="420" w:firstLineChars="200"/>
    </w:pPr>
  </w:style>
  <w:style w:type="character" w:customStyle="1" w:styleId="78">
    <w:name w:val="正文文本缩进 3 Char"/>
    <w:semiHidden/>
    <w:qFormat/>
    <w:uiPriority w:val="0"/>
    <w:rPr>
      <w:rFonts w:ascii="仿宋_GB2312" w:eastAsia="仿宋_GB2312"/>
      <w:kern w:val="2"/>
      <w:sz w:val="30"/>
      <w:szCs w:val="24"/>
      <w:lang w:val="en-US" w:eastAsia="zh-CN" w:bidi="ar-SA"/>
    </w:rPr>
  </w:style>
  <w:style w:type="paragraph" w:customStyle="1" w:styleId="79">
    <w:name w:val="修订1"/>
    <w:hidden/>
    <w:unhideWhenUsed/>
    <w:qFormat/>
    <w:uiPriority w:val="99"/>
    <w:rPr>
      <w:rFonts w:ascii="Calibri" w:hAnsi="Calibri" w:eastAsia="宋体" w:cs="Times New Roman"/>
      <w:kern w:val="2"/>
      <w:sz w:val="21"/>
      <w:szCs w:val="21"/>
      <w:lang w:val="en-US" w:eastAsia="zh-CN" w:bidi="ar-SA"/>
    </w:rPr>
  </w:style>
  <w:style w:type="character" w:customStyle="1" w:styleId="80">
    <w:name w:val="日期 Char"/>
    <w:basedOn w:val="24"/>
    <w:link w:val="13"/>
    <w:semiHidden/>
    <w:qFormat/>
    <w:uiPriority w:val="99"/>
    <w:rPr>
      <w:rFonts w:ascii="Calibri" w:hAnsi="Calibri" w:eastAsia="宋体" w:cs="Times New Roman"/>
      <w:kern w:val="2"/>
      <w:sz w:val="21"/>
      <w:szCs w:val="21"/>
    </w:rPr>
  </w:style>
  <w:style w:type="character" w:customStyle="1" w:styleId="81">
    <w:name w:val="mini-outputtext1"/>
    <w:basedOn w:val="24"/>
    <w:qFormat/>
    <w:uiPriority w:val="0"/>
  </w:style>
  <w:style w:type="character" w:customStyle="1" w:styleId="82">
    <w:name w:val="纯文本 Char"/>
    <w:basedOn w:val="24"/>
    <w:link w:val="12"/>
    <w:semiHidden/>
    <w:qFormat/>
    <w:uiPriority w:val="99"/>
    <w:rPr>
      <w:rFonts w:ascii="宋体" w:hAnsi="Courier New" w:cs="Courier New"/>
      <w:kern w:val="2"/>
      <w:sz w:val="21"/>
      <w:szCs w:val="21"/>
    </w:rPr>
  </w:style>
  <w:style w:type="character" w:customStyle="1" w:styleId="83">
    <w:name w:val="hover1"/>
    <w:basedOn w:val="24"/>
    <w:qFormat/>
    <w:uiPriority w:val="0"/>
    <w:rPr>
      <w:color w:val="5FB878"/>
    </w:rPr>
  </w:style>
  <w:style w:type="paragraph" w:customStyle="1" w:styleId="84">
    <w:name w:val="!正文"/>
    <w:basedOn w:val="7"/>
    <w:qFormat/>
    <w:uiPriority w:val="0"/>
    <w:pPr>
      <w:spacing w:line="360" w:lineRule="auto"/>
      <w:ind w:firstLine="480"/>
    </w:pPr>
    <w:rPr>
      <w:b/>
      <w:sz w:val="24"/>
      <w:szCs w:val="24"/>
    </w:rPr>
  </w:style>
  <w:style w:type="character" w:customStyle="1" w:styleId="85">
    <w:name w:val="标题 Char"/>
    <w:basedOn w:val="24"/>
    <w:link w:val="18"/>
    <w:qFormat/>
    <w:uiPriority w:val="0"/>
    <w:rPr>
      <w:rFonts w:asciiTheme="majorHAnsi" w:hAnsiTheme="majorHAnsi" w:cstheme="majorBidi"/>
      <w:b/>
      <w:bCs/>
      <w:kern w:val="2"/>
      <w:sz w:val="32"/>
      <w:szCs w:val="32"/>
    </w:rPr>
  </w:style>
  <w:style w:type="paragraph" w:customStyle="1" w:styleId="86">
    <w:name w:val="标题 11"/>
    <w:basedOn w:val="87"/>
    <w:next w:val="87"/>
    <w:qFormat/>
    <w:uiPriority w:val="0"/>
    <w:pPr>
      <w:keepNext/>
      <w:outlineLvl w:val="0"/>
    </w:pPr>
    <w:rPr>
      <w:rFonts w:ascii="楷体_GB2312" w:hAnsi="楷体_GB2312" w:eastAsia="楷体_GB2312"/>
      <w:kern w:val="0"/>
      <w:sz w:val="28"/>
      <w:szCs w:val="20"/>
    </w:rPr>
  </w:style>
  <w:style w:type="paragraph" w:customStyle="1" w:styleId="87">
    <w:name w:val="正文11"/>
    <w:next w:val="88"/>
    <w:qFormat/>
    <w:uiPriority w:val="0"/>
    <w:pPr>
      <w:widowControl w:val="0"/>
      <w:suppressAutoHyphens w:val="0"/>
      <w:bidi w:val="0"/>
      <w:jc w:val="both"/>
    </w:pPr>
    <w:rPr>
      <w:rFonts w:ascii="Calibri" w:hAnsi="Calibri" w:eastAsia="宋体" w:cs="Times New Roman"/>
      <w:color w:val="auto"/>
      <w:kern w:val="2"/>
      <w:sz w:val="21"/>
      <w:szCs w:val="21"/>
      <w:lang w:val="en-US" w:eastAsia="zh-CN" w:bidi="ar-SA"/>
    </w:rPr>
  </w:style>
  <w:style w:type="paragraph" w:customStyle="1" w:styleId="88">
    <w:name w:val="正文文本1"/>
    <w:basedOn w:val="87"/>
    <w:next w:val="87"/>
    <w:unhideWhenUsed/>
    <w:qFormat/>
    <w:uiPriority w:val="99"/>
    <w:rPr>
      <w:rFonts w:ascii="??_GB2312" w:hAnsi="??_GB2312"/>
      <w:sz w:val="28"/>
      <w:szCs w:val="28"/>
    </w:rPr>
  </w:style>
  <w:style w:type="paragraph" w:customStyle="1" w:styleId="89">
    <w:name w:val="正文1"/>
    <w:basedOn w:val="87"/>
    <w:qFormat/>
    <w:uiPriority w:val="0"/>
    <w:pPr>
      <w:spacing w:line="360" w:lineRule="auto"/>
      <w:ind w:firstLine="361"/>
    </w:pPr>
    <w:rPr>
      <w:rFonts w:ascii="宋体" w:hAnsi="宋体"/>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17B5E-31C1-4D25-99C3-CFAF8F92D576}">
  <ds:schemaRefs/>
</ds:datastoreItem>
</file>

<file path=docProps/app.xml><?xml version="1.0" encoding="utf-8"?>
<Properties xmlns="http://schemas.openxmlformats.org/officeDocument/2006/extended-properties" xmlns:vt="http://schemas.openxmlformats.org/officeDocument/2006/docPropsVTypes">
  <Template>Normal</Template>
  <Company>GT</Company>
  <Pages>38</Pages>
  <Words>16568</Words>
  <Characters>17090</Characters>
  <Lines>174</Lines>
  <Paragraphs>49</Paragraphs>
  <TotalTime>24</TotalTime>
  <ScaleCrop>false</ScaleCrop>
  <LinksUpToDate>false</LinksUpToDate>
  <CharactersWithSpaces>17782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2020-09-03T01:06:00Z</dcterms:created>
  <dc:creator>Administrator</dc:creator>
  <cp:lastModifiedBy>lisa</cp:lastModifiedBy>
  <cp:lastPrinted>2026-04-21T05:42:00Z</cp:lastPrinted>
  <dcterms:modified xsi:type="dcterms:W3CDTF">2026-04-30T08:28:04Z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0A722F03200248E08B6FFA33CE8B4806</vt:lpwstr>
  </property>
  <property fmtid="{D5CDD505-2E9C-101B-9397-08002B2CF9AE}" pid="4" name="KSOTemplateDocerSaveRecord">
    <vt:lpwstr>eyJoZGlkIjoiNTBiYjNjZTRmNzNkODUwNmI5ZTU1NmM5NDljMDcwYzUiLCJ1c2VySWQiOiI0NjQ0ODg5MTMifQ==</vt:lpwstr>
  </property>
</Properties>
</file>