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7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方正黑体_GBK" w:eastAsia="方正黑体_GBK" w:cs="方正仿宋_GBK" w:hint="eastAsia"/>
          <w:sz w:val="32"/>
          <w:szCs w:val="32"/>
        </w:rPr>
      </w:pPr>
      <w:r>
        <w:rPr>
          <w:rFonts w:ascii="方正黑体_GBK" w:eastAsia="方正黑体_GBK" w:cs="方正仿宋_GBK" w:hint="eastAsia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spacing w:beforeLines="50" w:before="156" w:beforeAutospacing="0" w:afterLines="100" w:after="312" w:afterAutospacing="0" w:line="560" w:lineRule="exact"/>
        <w:jc w:val="center"/>
        <w:rPr>
          <w:rFonts w:ascii="方正小标宋简体" w:eastAsia="方正小标宋简体" w:cs="方正小标宋简体"/>
          <w:b w:val="0"/>
          <w:bCs w:val="0"/>
          <w:color w:val="333333"/>
          <w:shd w:val="clear" w:color="auto" w:fill="FFFFFF"/>
        </w:rPr>
      </w:pPr>
      <w:r>
        <w:rPr>
          <w:rFonts w:ascii="方正小标宋简体" w:eastAsia="方正小标宋简体" w:cs="方正小标宋简体" w:hint="eastAsia"/>
          <w:b w:val="0"/>
          <w:bCs w:val="0"/>
          <w:color w:val="333333"/>
          <w:shd w:val="clear" w:color="auto" w:fill="FFFFFF"/>
        </w:rPr>
        <w:t>南通市第三批开放共享城市绿地清单</w:t>
      </w:r>
    </w:p>
    <w:tbl>
      <w:tblPr>
        <w:jc w:val="left"/>
        <w:tblInd w:w="91" w:type="dxa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216"/>
        <w:gridCol w:w="2416"/>
        <w:gridCol w:w="2862"/>
        <w:gridCol w:w="2991"/>
        <w:gridCol w:w="1155"/>
        <w:gridCol w:w="945"/>
        <w:gridCol w:w="983"/>
        <w:gridCol w:w="1133"/>
      </w:tblGrid>
      <w:tr>
        <w:trPr>
          <w:trHeight w:val="680"/>
          <w:tblHeader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地区/单位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绿地名称</w:t>
            </w: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绿地位置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开放区域具体位置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开放共享区域类别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开放共享面积</w:t>
            </w:r>
          </w:p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（平方米）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2"/>
                <w:szCs w:val="22"/>
              </w:rPr>
              <w:t>备注</w:t>
            </w:r>
          </w:p>
        </w:tc>
      </w:tr>
      <w:tr>
        <w:trPr>
          <w:trHeight w:val="743"/>
          <w:tblHeader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0"/>
              </w:rPr>
              <w:t>总面积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 w:cs="方正黑体_GBK"/>
                <w:color w:val="000000"/>
                <w:sz w:val="20"/>
              </w:rPr>
            </w:pPr>
            <w:r>
              <w:rPr>
                <w:rFonts w:ascii="方正黑体_GBK" w:eastAsia="方正黑体_GBK" w:cs="方正黑体_GBK" w:hint="eastAsia"/>
                <w:color w:val="000000"/>
                <w:sz w:val="20"/>
              </w:rPr>
              <w:t>其中草坪面积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112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市本级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滨江桥头公园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滨江大桥以东、钟秀路以北、江景国际西侧路以西、通吕运河南侧支路以南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江景国际西侧铺装及廊架西侧大草坪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广场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12500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60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府东路西侧绿地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海港引河以东、江岳路以北、府东路以西、城建集团办公楼以南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府东路西侧草坪及林下空间、城建集团办公楼北侧沿河铺装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广场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25000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13300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71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洪江路游园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洪江路与通富路交叉口西北角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绿地沿河周边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12500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77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崇川区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通吕运河南岸东段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通吕运河南岸（通扬运河-濠西路）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健身游乐设施及广场周边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3600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2700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74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通吕运河南岸中段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通吕运河南岸（外环西路-通扬运河）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星宇乐园周边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14000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50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通州区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民族公园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扬子江路与银河东路交界处西侧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公园东北角、亲水平台对面草坪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51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中心横河景观带公园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朝霞路南侧（新世纪大道至金霞路）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停车场入口处东边草坪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4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龙盛大道转角公园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希望路以东、龙盛大道以北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希望路东、公园西北角草坪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800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海门区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青溪园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江海路以西、闻海路以南、海兴路以东、南京路以北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江海路闻海路口西南侧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6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江海公园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南京路南、张謇大道东、长江路西、东布洲路北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江海公园东北侧樱花坡处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400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62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开发区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小海公园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源兴路海中路路口以南、东方大道以西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公园中部景观廊架和健身器材周边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林下空间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750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6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苏锡通园区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海伦公园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海伦路北侧、苏锡通园区政务服务中心东侧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海伦公园中心草坪区域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39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创新区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紫琅林谷南部草坪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世纪大道北侧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紫琅林谷南部草坪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43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紫琅公园白沙滩北部草坪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朝阳路南侧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白沙滩北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林下空间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4000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禁止放低空漂浮物</w:t>
            </w:r>
          </w:p>
        </w:tc>
      </w:tr>
      <w:tr>
        <w:trPr>
          <w:trHeight w:val="40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紫琅新天地草坪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崇州大道以东、朝阳路以北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紫琅新天地公区草坪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1500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禁止放低空漂浮物</w:t>
            </w:r>
          </w:p>
        </w:tc>
      </w:tr>
      <w:tr>
        <w:trPr>
          <w:trHeight w:val="701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五山片区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军山绿野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军山路以西、军山和山水路以南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绿野仙踪树屋营地周边等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林下空间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352000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88000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80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17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剑山东绿地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工农路以西、永红横河以北、剑山以东、静海商贸街以南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拓展基地周边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林下空间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205000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51250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55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18</w:t>
            </w: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滨江公园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花月路以西、长江以东</w:t>
            </w:r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风帆广场周边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广场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90400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22600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</w:rPr>
            </w:pPr>
          </w:p>
        </w:tc>
      </w:tr>
      <w:tr>
        <w:trPr>
          <w:trHeight w:val="82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海安市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上湖生态公园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滨湖路与学贤街交叉口西南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探莲区域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林下空间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1200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821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如皋市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龙游河三期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创智大道南侧、园林路西侧、八里港北侧、海阳路东侧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汪明路南侧、园林路西侧、龙游河东侧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755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如东县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滨河公园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如东县湘江路（泰山路-钟山路）北侧绿地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南康河两侧（钟山路-泰山路）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林下空间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3000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58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虹桥咀公园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如东县通洋路东侧、如泰运河南岸绿地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正大桥东西侧桥下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林下空间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5000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5000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58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青园咀公园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如东县运河路南侧、如泰运河北岸绿地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跨河桥南侧、海花新城小区西北侧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  <w:br/>
              <w:t>林下空间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58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启东市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头兴港滨河公园（北区）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长兴西路西侧、港东路西侧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长龙西路西侧草坪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1000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  <w:tr>
        <w:trPr>
          <w:trHeight w:val="580"/>
        </w:trPr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/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头兴港滨河公园（南区）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港西路与科汇路交界处东侧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演绎广场内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草地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sz w:val="20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sz w:val="20"/>
              </w:rPr>
              <w:t>2000</w:t>
            </w:r>
          </w:p>
        </w:tc>
        <w:tc>
          <w:tcPr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0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仿宋_GB2312" w:cs="Times New Roman" w:hAnsi="Times New Roman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宋体" w:eastAsia="宋体" w:cs="宋体"/>
      <w:b/>
      <w:bCs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Normal (Web)"/>
    <w:basedOn w:val="0"/>
    <w:pPr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eastAsia="宋体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</TotalTime>
  <Application>Yozo_Office27021597764231179</Application>
  <Pages>4</Pages>
  <Words>1115</Words>
  <Characters>1292</Characters>
  <Lines>261</Lines>
  <Paragraphs>202</Paragraphs>
  <CharactersWithSpaces>1300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2</cp:revision>
  <dcterms:created xsi:type="dcterms:W3CDTF">2025-03-13T03:00:00Z</dcterms:created>
  <dcterms:modified xsi:type="dcterms:W3CDTF">2025-03-24T07:49:46Z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2052-11.8.2.11019</vt:lpwstr>
  </property>
  <property fmtid="{D5CDD505-2E9C-101B-9397-08002B2CF9AE}" pid="3" name="ICV">
    <vt:lpwstr>1A7BCC1460B7423FBD4E998CE5F37527</vt:lpwstr>
  </property>
</Properties>
</file>