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7EAA0FD6">
      <w:pPr>
        <w:widowControl/>
        <w:snapToGrid w:val="0"/>
        <w:spacing w:line="360" w:lineRule="auto"/>
        <w:jc w:val="center"/>
        <w:rPr>
          <w:rFonts w:hint="eastAsia" w:ascii="宋体" w:eastAsia="宋体" w:cs="宋体"/>
          <w:b/>
          <w:bCs/>
          <w:color w:val="auto"/>
          <w:kern w:val="0"/>
          <w:sz w:val="44"/>
          <w:szCs w:val="44"/>
          <w:highlight w:val="none"/>
          <w:lang w:val="en-US" w:eastAsia="zh-CN"/>
        </w:rPr>
      </w:pPr>
      <w:r>
        <w:rPr>
          <w:rFonts w:hint="eastAsia" w:ascii="宋体" w:eastAsia="宋体" w:cs="宋体"/>
          <w:b/>
          <w:bCs/>
          <w:color w:val="auto"/>
          <w:kern w:val="0"/>
          <w:sz w:val="44"/>
          <w:szCs w:val="44"/>
          <w:highlight w:val="none"/>
        </w:rPr>
        <w:t>南通市市政设施管理</w:t>
      </w:r>
      <w:r>
        <w:rPr>
          <w:rFonts w:hint="eastAsia" w:ascii="宋体" w:eastAsia="宋体" w:cs="宋体"/>
          <w:b/>
          <w:bCs/>
          <w:color w:val="auto"/>
          <w:kern w:val="0"/>
          <w:sz w:val="44"/>
          <w:szCs w:val="44"/>
          <w:highlight w:val="none"/>
          <w:lang w:val="en-US" w:eastAsia="zh-CN"/>
        </w:rPr>
        <w:t>处</w:t>
      </w:r>
    </w:p>
    <w:p w14:paraId="2E03BE21">
      <w:pPr>
        <w:widowControl/>
        <w:snapToGrid w:val="0"/>
        <w:spacing w:line="360" w:lineRule="auto"/>
        <w:jc w:val="center"/>
        <w:rPr>
          <w:rFonts w:hint="default" w:ascii="宋体" w:eastAsia="宋体"/>
          <w:b/>
          <w:bCs/>
          <w:color w:val="auto"/>
          <w:sz w:val="44"/>
          <w:szCs w:val="44"/>
          <w:highlight w:val="none"/>
          <w:lang w:val="en-US"/>
        </w:rPr>
      </w:pPr>
      <w:r>
        <w:rPr>
          <w:rFonts w:hint="eastAsia" w:ascii="宋体" w:cs="宋体"/>
          <w:b/>
          <w:bCs/>
          <w:color w:val="auto"/>
          <w:kern w:val="0"/>
          <w:sz w:val="44"/>
          <w:szCs w:val="44"/>
          <w:highlight w:val="none"/>
          <w:lang w:val="en-US" w:eastAsia="zh-CN"/>
        </w:rPr>
        <w:t>沥青混凝土应急采购项目（重新采购）</w:t>
      </w:r>
    </w:p>
    <w:p w14:paraId="3C5ACC43">
      <w:pPr>
        <w:pStyle w:val="3"/>
        <w:spacing w:line="360" w:lineRule="auto"/>
        <w:rPr>
          <w:color w:val="auto"/>
          <w:highlight w:val="none"/>
        </w:rPr>
      </w:pPr>
    </w:p>
    <w:p w14:paraId="03948510">
      <w:pPr>
        <w:pStyle w:val="4"/>
        <w:rPr>
          <w:color w:val="auto"/>
          <w:highlight w:val="none"/>
        </w:rPr>
      </w:pPr>
    </w:p>
    <w:p w14:paraId="2DEC1A8C">
      <w:pPr>
        <w:pStyle w:val="5"/>
        <w:rPr>
          <w:color w:val="auto"/>
          <w:highlight w:val="none"/>
        </w:rPr>
      </w:pPr>
    </w:p>
    <w:p w14:paraId="24AC0107">
      <w:pPr>
        <w:rPr>
          <w:color w:val="auto"/>
          <w:highlight w:val="none"/>
        </w:rPr>
      </w:pPr>
    </w:p>
    <w:p w14:paraId="1B89473E">
      <w:pPr>
        <w:pStyle w:val="5"/>
        <w:rPr>
          <w:color w:val="auto"/>
          <w:highlight w:val="none"/>
        </w:rPr>
      </w:pPr>
    </w:p>
    <w:p w14:paraId="0E7D3DAA">
      <w:pPr>
        <w:rPr>
          <w:color w:val="auto"/>
          <w:highlight w:val="none"/>
        </w:rPr>
      </w:pPr>
    </w:p>
    <w:p w14:paraId="68D26EBB">
      <w:pPr>
        <w:pStyle w:val="2"/>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none"/>
          <w:lang w:val="en-US" w:eastAsia="zh-CN"/>
        </w:rPr>
        <w:t>ZJJ20</w:t>
      </w:r>
      <w:r>
        <w:rPr>
          <w:rFonts w:hint="eastAsia" w:ascii="宋体"/>
          <w:color w:val="auto"/>
          <w:sz w:val="30"/>
          <w:szCs w:val="30"/>
          <w:highlight w:val="none"/>
          <w:lang w:val="en-US" w:eastAsia="zh-CN"/>
        </w:rPr>
        <w:t>25009</w:t>
      </w:r>
    </w:p>
    <w:p w14:paraId="4F2B2079">
      <w:pPr>
        <w:pStyle w:val="2"/>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3</w:t>
      </w:r>
      <w:r>
        <w:rPr>
          <w:rFonts w:hint="eastAsia" w:ascii="宋体" w:eastAsia="宋体"/>
          <w:color w:val="auto"/>
          <w:sz w:val="30"/>
          <w:szCs w:val="30"/>
          <w:highlight w:val="none"/>
        </w:rPr>
        <w:t>月</w:t>
      </w:r>
      <w:r>
        <w:rPr>
          <w:rFonts w:hint="eastAsia" w:ascii="宋体"/>
          <w:color w:val="auto"/>
          <w:sz w:val="30"/>
          <w:szCs w:val="30"/>
          <w:highlight w:val="none"/>
          <w:u w:val="single"/>
          <w:lang w:val="en-US" w:eastAsia="zh-CN"/>
        </w:rPr>
        <w:t>24</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 xml:space="preserve">第一部分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宋体" w:eastAsia="宋体"/>
          <w:color w:val="auto"/>
          <w:sz w:val="24"/>
          <w:highlight w:val="none"/>
        </w:rPr>
      </w:pPr>
      <w:r>
        <w:rPr>
          <w:rFonts w:hint="eastAsia" w:ascii="宋体" w:eastAsia="宋体"/>
          <w:color w:val="auto"/>
          <w:sz w:val="24"/>
          <w:highlight w:val="none"/>
          <w:u w:val="single"/>
          <w:lang w:val="en-US" w:eastAsia="zh-CN"/>
        </w:rPr>
        <w:t>南通市市政设施管理处</w:t>
      </w:r>
      <w:r>
        <w:rPr>
          <w:rFonts w:hint="eastAsia" w:ascii="宋体"/>
          <w:color w:val="auto"/>
          <w:sz w:val="24"/>
          <w:highlight w:val="none"/>
          <w:u w:val="single"/>
          <w:lang w:val="en-US" w:eastAsia="zh-CN"/>
        </w:rPr>
        <w:t>沥青混凝土应急采购项目（重新采购）</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2025年3月28日9</w:t>
      </w:r>
      <w:r>
        <w:rPr>
          <w:rFonts w:hint="eastAsia" w:ascii="宋体"/>
          <w:b/>
          <w:bCs/>
          <w:color w:val="auto"/>
          <w:sz w:val="24"/>
          <w:highlight w:val="none"/>
          <w:u w:val="single"/>
          <w:lang w:val="en-US" w:eastAsia="zh-CN"/>
        </w:rPr>
        <w:t>时</w:t>
      </w:r>
      <w:r>
        <w:rPr>
          <w:rFonts w:hint="eastAsia" w:ascii="宋体"/>
          <w:b/>
          <w:bCs/>
          <w:color w:val="auto"/>
          <w:sz w:val="24"/>
          <w:highlight w:val="none"/>
          <w:u w:val="single"/>
          <w:lang w:eastAsia="zh-CN"/>
        </w:rPr>
        <w:t>30分</w:t>
      </w:r>
      <w:r>
        <w:rPr>
          <w:rFonts w:ascii="宋体" w:eastAsia="宋体"/>
          <w:color w:val="auto"/>
          <w:sz w:val="24"/>
          <w:highlight w:val="none"/>
        </w:rPr>
        <w:t>（北京时间）前提交响应文件。</w:t>
      </w: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1、项目名称：南通市市政设施管理处</w:t>
      </w:r>
      <w:r>
        <w:rPr>
          <w:rFonts w:hint="eastAsia" w:ascii="宋体" w:cs="Times New Roman"/>
          <w:color w:val="auto"/>
          <w:sz w:val="24"/>
          <w:highlight w:val="none"/>
          <w:lang w:val="en-US" w:eastAsia="zh-CN"/>
        </w:rPr>
        <w:t>沥青混凝土应急采购项目（重新采购）</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ascii="宋体" w:cs="Times New Roman"/>
          <w:color w:val="auto"/>
          <w:sz w:val="24"/>
          <w:highlight w:val="none"/>
          <w:lang w:val="en-US" w:eastAsia="zh-CN"/>
        </w:rPr>
        <w:t>48</w:t>
      </w:r>
      <w:r>
        <w:rPr>
          <w:rFonts w:hint="eastAsia" w:ascii="宋体" w:eastAsia="宋体" w:cs="Times New Roman"/>
          <w:color w:val="auto"/>
          <w:sz w:val="24"/>
          <w:highlight w:val="none"/>
          <w:lang w:val="en-US" w:eastAsia="zh-CN"/>
        </w:rPr>
        <w:t>万元</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w:t>
      </w:r>
      <w:r>
        <w:rPr>
          <w:rFonts w:hint="eastAsia" w:ascii="宋体" w:eastAsia="宋体" w:cs="宋体"/>
          <w:color w:val="auto"/>
          <w:sz w:val="24"/>
          <w:highlight w:val="none"/>
        </w:rPr>
        <w:t>结算费用达到48万元或采购人年度沥青混凝土项目招标完成，则合同终止。</w:t>
      </w:r>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3A8FBB4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6、</w:t>
      </w:r>
      <w:r>
        <w:rPr>
          <w:rFonts w:hint="eastAsia" w:ascii="宋体" w:eastAsia="宋体" w:cs="宋体"/>
          <w:color w:val="auto"/>
          <w:kern w:val="2"/>
          <w:sz w:val="24"/>
          <w:szCs w:val="24"/>
          <w:highlight w:val="none"/>
          <w:lang w:eastAsia="zh-CN"/>
        </w:rPr>
        <w:t>本项目的特定资格要求:投标人具有由行政主管部门颁发的有效期内的安全生产许可证书。</w:t>
      </w:r>
    </w:p>
    <w:p w14:paraId="5C0808A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cs="宋体"/>
          <w:color w:val="auto"/>
          <w:sz w:val="24"/>
          <w:szCs w:val="24"/>
          <w:highlight w:val="none"/>
          <w:lang w:val="en-US"/>
        </w:rPr>
      </w:pPr>
      <w:bookmarkStart w:id="1" w:name="_Toc35393632"/>
      <w:bookmarkStart w:id="2" w:name="_Toc28359015"/>
      <w:bookmarkStart w:id="3" w:name="_Toc35393801"/>
      <w:bookmarkStart w:id="4" w:name="_Toc28359092"/>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开标之日</w:t>
      </w:r>
    </w:p>
    <w:p w14:paraId="75BA658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2025年3月28日9时30分（北京时间）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2025年3月28日9时30分（北京时间）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自本公告发布之日起3</w:t>
      </w:r>
      <w:r>
        <w:rPr>
          <w:rFonts w:hint="eastAsia" w:ascii="宋体"/>
          <w:color w:val="auto"/>
          <w:sz w:val="24"/>
          <w:highlight w:val="none"/>
          <w:lang w:val="en-US" w:eastAsia="zh-CN"/>
        </w:rPr>
        <w:t>日</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eastAsia="宋体"/>
          <w:color w:val="auto"/>
          <w:kern w:val="0"/>
          <w:sz w:val="24"/>
          <w:highlight w:val="none"/>
          <w:lang w:val="en-US" w:eastAsia="zh-CN"/>
        </w:rPr>
        <w:t>朱</w:t>
      </w:r>
      <w:r>
        <w:rPr>
          <w:rFonts w:hint="eastAsia" w:eastAsia="宋体"/>
          <w:color w:val="auto"/>
          <w:kern w:val="0"/>
          <w:sz w:val="24"/>
          <w:highlight w:val="none"/>
          <w:lang w:eastAsia="zh-CN"/>
        </w:rPr>
        <w:t>女士</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13</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0596D998">
      <w:pPr>
        <w:rPr>
          <w:rFonts w:hint="eastAsia" w:ascii="宋体" w:eastAsia="宋体"/>
          <w:color w:val="auto"/>
          <w:sz w:val="36"/>
          <w:szCs w:val="36"/>
          <w:highlight w:val="none"/>
          <w:lang w:val="zh-CN"/>
        </w:rPr>
      </w:pPr>
      <w:r>
        <w:rPr>
          <w:rFonts w:hint="eastAsia" w:ascii="宋体" w:eastAsia="宋体"/>
          <w:color w:val="auto"/>
          <w:sz w:val="36"/>
          <w:szCs w:val="36"/>
          <w:highlight w:val="none"/>
          <w:lang w:val="zh-CN"/>
        </w:rPr>
        <w:br w:type="page"/>
      </w:r>
    </w:p>
    <w:p w14:paraId="57E2C2B1">
      <w:pPr>
        <w:pStyle w:val="3"/>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2252408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4、提供投标供应商的</w:t>
      </w:r>
      <w:r>
        <w:rPr>
          <w:rFonts w:hint="eastAsia" w:ascii="宋体" w:eastAsia="宋体" w:cs="宋体"/>
          <w:color w:val="auto"/>
          <w:kern w:val="2"/>
          <w:sz w:val="24"/>
          <w:szCs w:val="24"/>
          <w:highlight w:val="none"/>
          <w:lang w:val="en-US" w:eastAsia="zh-CN"/>
        </w:rPr>
        <w:t>由行政主管部门颁发的有效期内的安全生产许可证书</w:t>
      </w:r>
      <w:r>
        <w:rPr>
          <w:rFonts w:hint="eastAsia" w:ascii="宋体" w:cs="宋体"/>
          <w:color w:val="auto"/>
          <w:kern w:val="2"/>
          <w:sz w:val="24"/>
          <w:szCs w:val="24"/>
          <w:highlight w:val="none"/>
          <w:lang w:val="en-US" w:eastAsia="zh-CN"/>
        </w:rPr>
        <w:t>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0"/>
          <w:highlight w:val="none"/>
          <w:lang w:val="en-US" w:eastAsia="zh-CN"/>
        </w:rPr>
        <w:t>5</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4853DB37">
      <w:pPr>
        <w:adjustRightInd w:val="0"/>
        <w:snapToGrid w:val="0"/>
        <w:spacing w:line="360" w:lineRule="auto"/>
        <w:ind w:firstLine="480" w:firstLineChars="200"/>
        <w:rPr>
          <w:rFonts w:hint="eastAsia" w:ascii="宋体" w:eastAsia="宋体" w:cs="宋体"/>
          <w:color w:val="auto"/>
          <w:sz w:val="24"/>
          <w:szCs w:val="22"/>
          <w:highlight w:val="none"/>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下浮率</w:t>
      </w:r>
      <w:r>
        <w:rPr>
          <w:rFonts w:hint="eastAsia" w:ascii="宋体" w:cs="宋体"/>
          <w:b w:val="0"/>
          <w:bCs w:val="0"/>
          <w:color w:val="auto"/>
          <w:sz w:val="24"/>
          <w:highlight w:val="none"/>
        </w:rPr>
        <w:t>进行报价</w:t>
      </w:r>
      <w:r>
        <w:rPr>
          <w:rFonts w:hint="eastAsia" w:cs="宋体"/>
          <w:b w:val="0"/>
          <w:bCs w:val="0"/>
          <w:color w:val="auto"/>
          <w:kern w:val="2"/>
          <w:sz w:val="24"/>
          <w:szCs w:val="24"/>
          <w:highlight w:val="none"/>
          <w:lang w:val="en-US" w:eastAsia="zh-CN"/>
        </w:rPr>
        <w:t>，</w:t>
      </w:r>
      <w:r>
        <w:rPr>
          <w:rFonts w:hint="eastAsia" w:ascii="宋体" w:eastAsia="宋体" w:cs="宋体"/>
          <w:color w:val="auto"/>
          <w:sz w:val="24"/>
          <w:szCs w:val="22"/>
          <w:highlight w:val="none"/>
        </w:rPr>
        <w:t>报价包括</w:t>
      </w:r>
      <w:r>
        <w:rPr>
          <w:rFonts w:hint="eastAsia" w:ascii="宋体" w:cs="宋体"/>
          <w:color w:val="auto"/>
          <w:sz w:val="24"/>
          <w:szCs w:val="22"/>
          <w:highlight w:val="none"/>
          <w:lang w:val="en-US" w:eastAsia="zh-CN"/>
        </w:rPr>
        <w:t>采购</w:t>
      </w:r>
      <w:r>
        <w:rPr>
          <w:rFonts w:hint="eastAsia" w:ascii="宋体" w:eastAsia="宋体" w:cs="宋体"/>
          <w:color w:val="auto"/>
          <w:sz w:val="24"/>
          <w:szCs w:val="22"/>
          <w:highlight w:val="none"/>
        </w:rPr>
        <w:t>文件规定的货物费、沥青路面铣刨（根据采购人需求提供服务）及沥青铣刨料回收、铣刨路面清扫费（根据采购人需求提供服务）、粘层喷洒费（根据采购人需求提供服务）、摊铺费、碾压费、</w:t>
      </w:r>
      <w:r>
        <w:rPr>
          <w:rFonts w:hint="eastAsia" w:ascii="宋体" w:cs="宋体"/>
          <w:color w:val="auto"/>
          <w:sz w:val="24"/>
          <w:szCs w:val="22"/>
          <w:highlight w:val="none"/>
          <w:lang w:eastAsia="zh-CN"/>
        </w:rPr>
        <w:t>本采购项目涉及的安全</w:t>
      </w:r>
      <w:r>
        <w:rPr>
          <w:rFonts w:hint="eastAsia" w:ascii="宋体" w:eastAsia="宋体" w:cs="宋体"/>
          <w:color w:val="auto"/>
          <w:sz w:val="24"/>
          <w:szCs w:val="22"/>
          <w:highlight w:val="none"/>
        </w:rPr>
        <w:t>文明施工措施费、管理费、利润、规费、13%增值税税费、售后服务、运费等为完成本招标项目所需的一切相关费用。</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预算金额</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80" w:firstLineChars="800"/>
        <w:jc w:val="both"/>
        <w:outlineLvl w:val="0"/>
        <w:rPr>
          <w:rFonts w:eastAsia="宋体"/>
          <w:b/>
          <w:color w:val="auto"/>
          <w:sz w:val="36"/>
          <w:szCs w:val="36"/>
          <w:highlight w:val="none"/>
        </w:rPr>
      </w:pPr>
      <w:r>
        <w:rPr>
          <w:rFonts w:hint="eastAsia" w:ascii="宋体"/>
          <w:bCs/>
          <w:color w:val="auto"/>
          <w:sz w:val="36"/>
          <w:szCs w:val="36"/>
          <w:highlight w:val="none"/>
        </w:rPr>
        <w:t>第三部分</w:t>
      </w:r>
      <w:r>
        <w:rPr>
          <w:rFonts w:hint="eastAsia" w:ascii="宋体"/>
          <w:bCs/>
          <w:color w:val="auto"/>
          <w:sz w:val="36"/>
          <w:szCs w:val="36"/>
          <w:highlight w:val="none"/>
          <w:lang w:val="en-US" w:eastAsia="zh-CN"/>
        </w:rPr>
        <w:t xml:space="preserve"> </w:t>
      </w:r>
      <w:r>
        <w:rPr>
          <w:rFonts w:eastAsia="宋体"/>
          <w:b/>
          <w:color w:val="auto"/>
          <w:sz w:val="36"/>
          <w:szCs w:val="36"/>
          <w:highlight w:val="none"/>
        </w:rPr>
        <w:t>项目需求</w:t>
      </w:r>
    </w:p>
    <w:p w14:paraId="4197B63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项目属性:</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类项目</w:t>
      </w:r>
    </w:p>
    <w:p w14:paraId="0631C273">
      <w:pPr>
        <w:adjustRightInd w:val="0"/>
        <w:snapToGrid w:val="0"/>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一、采购标的清单</w:t>
      </w:r>
    </w:p>
    <w:tbl>
      <w:tblPr>
        <w:tblStyle w:val="2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58"/>
        <w:gridCol w:w="3635"/>
      </w:tblGrid>
      <w:tr w14:paraId="4AB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53781621">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分包</w:t>
            </w:r>
          </w:p>
        </w:tc>
        <w:tc>
          <w:tcPr>
            <w:tcW w:w="3058" w:type="dxa"/>
            <w:noWrap w:val="0"/>
            <w:vAlign w:val="center"/>
          </w:tcPr>
          <w:p w14:paraId="0E43A98D">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采购标的</w:t>
            </w:r>
          </w:p>
        </w:tc>
        <w:tc>
          <w:tcPr>
            <w:tcW w:w="3635" w:type="dxa"/>
            <w:noWrap w:val="0"/>
            <w:vAlign w:val="center"/>
          </w:tcPr>
          <w:p w14:paraId="448496D2">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对应中小企业划分标准所属行业</w:t>
            </w:r>
          </w:p>
        </w:tc>
      </w:tr>
      <w:tr w14:paraId="1DD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117FFF08">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1</w:t>
            </w:r>
          </w:p>
        </w:tc>
        <w:tc>
          <w:tcPr>
            <w:tcW w:w="3058" w:type="dxa"/>
            <w:noWrap w:val="0"/>
            <w:vAlign w:val="center"/>
          </w:tcPr>
          <w:p w14:paraId="5DC16BE7">
            <w:pPr>
              <w:tabs>
                <w:tab w:val="left" w:pos="2022"/>
              </w:tabs>
              <w:spacing w:line="0" w:lineRule="atLeast"/>
              <w:jc w:val="center"/>
              <w:rPr>
                <w:rFonts w:hint="default" w:ascii="宋体" w:hAnsi="宋体" w:eastAsia="宋体" w:cs="宋体"/>
                <w:color w:val="auto"/>
                <w:sz w:val="24"/>
                <w:szCs w:val="24"/>
                <w:highlight w:val="none"/>
                <w:vertAlign w:val="baseline"/>
                <w:lang w:val="en-US"/>
              </w:rPr>
            </w:pPr>
            <w:r>
              <w:rPr>
                <w:rFonts w:hint="eastAsia" w:ascii="宋体" w:hAnsi="宋体" w:eastAsia="宋体" w:cs="宋体"/>
                <w:b w:val="0"/>
                <w:color w:val="auto"/>
                <w:kern w:val="0"/>
                <w:sz w:val="24"/>
                <w:szCs w:val="24"/>
                <w:highlight w:val="none"/>
                <w:lang w:val="en-US" w:eastAsia="zh-CN"/>
              </w:rPr>
              <w:t>沥青混凝土应急采购项目</w:t>
            </w:r>
          </w:p>
        </w:tc>
        <w:tc>
          <w:tcPr>
            <w:tcW w:w="3635" w:type="dxa"/>
            <w:noWrap w:val="0"/>
            <w:vAlign w:val="center"/>
          </w:tcPr>
          <w:p w14:paraId="0827097B">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lang w:val="en-US" w:eastAsia="zh-CN"/>
              </w:rPr>
              <w:t>工</w:t>
            </w:r>
            <w:r>
              <w:rPr>
                <w:rFonts w:hint="eastAsia" w:ascii="宋体" w:hAnsi="宋体" w:eastAsia="宋体" w:cs="宋体"/>
                <w:b w:val="0"/>
                <w:color w:val="auto"/>
                <w:kern w:val="0"/>
                <w:sz w:val="24"/>
                <w:szCs w:val="24"/>
                <w:highlight w:val="none"/>
              </w:rPr>
              <w:t>业</w:t>
            </w:r>
          </w:p>
        </w:tc>
      </w:tr>
    </w:tbl>
    <w:p w14:paraId="6B3E07DC">
      <w:pPr>
        <w:snapToGrid w:val="0"/>
        <w:spacing w:before="120" w:after="12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二、技术要求</w:t>
      </w:r>
    </w:p>
    <w:p w14:paraId="1FC866A1">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采购标的需实现的功能或者目标,以及为落实政府采购政策需满足的要求</w:t>
      </w:r>
    </w:p>
    <w:p w14:paraId="505C2385">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 xml:space="preserve"> 1、</w:t>
      </w:r>
      <w:r>
        <w:rPr>
          <w:rFonts w:hint="eastAsia" w:ascii="宋体" w:eastAsia="宋体" w:cs="宋体"/>
          <w:color w:val="auto"/>
          <w:kern w:val="2"/>
          <w:sz w:val="24"/>
          <w:szCs w:val="24"/>
          <w:highlight w:val="none"/>
          <w:lang w:val="en-US" w:eastAsia="zh-CN"/>
        </w:rPr>
        <w:t>本项目提供的货物及服务主要用于</w:t>
      </w:r>
      <w:r>
        <w:rPr>
          <w:rFonts w:hint="eastAsia" w:cs="宋体"/>
          <w:color w:val="auto"/>
          <w:kern w:val="2"/>
          <w:sz w:val="24"/>
          <w:szCs w:val="24"/>
          <w:highlight w:val="none"/>
          <w:lang w:val="en-US" w:eastAsia="zh-CN"/>
        </w:rPr>
        <w:t>采购人近期承担的南通市市区排水防涝设施提升改造工程（国债项目）及道路应急维修养护项目</w:t>
      </w:r>
      <w:r>
        <w:rPr>
          <w:rFonts w:hint="eastAsia" w:ascii="宋体" w:eastAsia="宋体" w:cs="宋体"/>
          <w:color w:val="auto"/>
          <w:sz w:val="24"/>
          <w:szCs w:val="24"/>
          <w:highlight w:val="none"/>
          <w:lang w:val="en-US" w:eastAsia="zh-CN"/>
        </w:rPr>
        <w:t>。</w:t>
      </w:r>
    </w:p>
    <w:p w14:paraId="4643C3F2">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2、投标供应商须按照采购人要求对原有沥青路面进行铣刨并将路面清扫完毕后将相关货物送到现场进行施工直至沥青路面碾压成型。</w:t>
      </w:r>
    </w:p>
    <w:p w14:paraId="6F58B7D5">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本项目实施涉及内容主要包括（1）沥青路面铣刨（根据采购人需求提供服务）及沥青铣刨沥青料回收；（2）路面清扫；（3）乳化沥青的供货及施工（根据采购人需求提供服务）；（4）沥青混凝土的供货及施工。</w:t>
      </w:r>
    </w:p>
    <w:p w14:paraId="07F9FCAC">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4、涉及采购人道路小面积零星维修项目（单一维修地点累计供货量低于50吨以下或维修面积400㎡以下），成交供应商仅需提供相关货物。</w:t>
      </w:r>
    </w:p>
    <w:p w14:paraId="4AAACC99">
      <w:pPr>
        <w:widowControl/>
        <w:spacing w:line="48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zh-CN"/>
        </w:rPr>
        <w:t>）采购标的需执行的国家相关标准、行业标准、地方标准或者其他标准、规范</w:t>
      </w:r>
    </w:p>
    <w:p w14:paraId="5CAC27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成交供应商所提供的温拌沥青混凝土必须符合GB/T 30596-2014相关要求，彩色沥青混凝土必须符合GB/T 32984-2016，施工必须符合JTG F40-2004相关要求。</w:t>
      </w:r>
      <w:r>
        <w:rPr>
          <w:rFonts w:hint="eastAsia" w:ascii="宋体" w:eastAsia="宋体" w:cs="宋体"/>
          <w:color w:val="auto"/>
          <w:sz w:val="24"/>
          <w:szCs w:val="24"/>
          <w:highlight w:val="none"/>
          <w:lang w:val="en-US" w:eastAsia="zh-CN"/>
        </w:rPr>
        <w:t>如有最新的执行标准、规范则满足最新的标准、规范要求，设计（或工程）对质量另有要求的，必须同时满足。</w:t>
      </w:r>
    </w:p>
    <w:p w14:paraId="115E435A">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采购标的需满足的质量、安全、技术规格、物理特性等要求</w:t>
      </w:r>
    </w:p>
    <w:p w14:paraId="181589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 xml:space="preserve"> 1、货物种类清单</w:t>
      </w:r>
    </w:p>
    <w:tbl>
      <w:tblPr>
        <w:tblStyle w:val="2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641"/>
        <w:gridCol w:w="3844"/>
        <w:gridCol w:w="1344"/>
      </w:tblGrid>
      <w:tr w14:paraId="738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6BE620EB">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2641" w:type="dxa"/>
            <w:tcBorders>
              <w:top w:val="single" w:color="auto" w:sz="4" w:space="0"/>
              <w:left w:val="nil"/>
              <w:bottom w:val="single" w:color="auto" w:sz="4" w:space="0"/>
              <w:right w:val="single" w:color="auto" w:sz="4" w:space="0"/>
            </w:tcBorders>
            <w:noWrap w:val="0"/>
            <w:vAlign w:val="center"/>
          </w:tcPr>
          <w:p w14:paraId="30C86D31">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材料名称</w:t>
            </w:r>
          </w:p>
        </w:tc>
        <w:tc>
          <w:tcPr>
            <w:tcW w:w="3844" w:type="dxa"/>
            <w:tcBorders>
              <w:top w:val="single" w:color="auto" w:sz="4" w:space="0"/>
              <w:left w:val="nil"/>
              <w:bottom w:val="single" w:color="auto" w:sz="4" w:space="0"/>
              <w:right w:val="single" w:color="auto" w:sz="4" w:space="0"/>
            </w:tcBorders>
            <w:noWrap w:val="0"/>
            <w:vAlign w:val="center"/>
          </w:tcPr>
          <w:p w14:paraId="25BEA90C">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规格参数</w:t>
            </w:r>
          </w:p>
        </w:tc>
        <w:tc>
          <w:tcPr>
            <w:tcW w:w="1344" w:type="dxa"/>
            <w:tcBorders>
              <w:top w:val="single" w:color="auto" w:sz="4" w:space="0"/>
              <w:left w:val="nil"/>
              <w:bottom w:val="single" w:color="auto" w:sz="4" w:space="0"/>
              <w:right w:val="single" w:color="auto" w:sz="4" w:space="0"/>
            </w:tcBorders>
            <w:noWrap w:val="0"/>
            <w:vAlign w:val="center"/>
          </w:tcPr>
          <w:p w14:paraId="20A923E0">
            <w:pPr>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预估数量</w:t>
            </w:r>
          </w:p>
        </w:tc>
      </w:tr>
      <w:tr w14:paraId="255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27CAF12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641" w:type="dxa"/>
            <w:tcBorders>
              <w:top w:val="single" w:color="auto" w:sz="4" w:space="0"/>
              <w:left w:val="nil"/>
              <w:bottom w:val="single" w:color="auto" w:sz="4" w:space="0"/>
              <w:right w:val="single" w:color="auto" w:sz="4" w:space="0"/>
            </w:tcBorders>
            <w:noWrap w:val="0"/>
            <w:vAlign w:val="center"/>
          </w:tcPr>
          <w:p w14:paraId="41EABB2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细粒式沥青砼</w:t>
            </w:r>
          </w:p>
        </w:tc>
        <w:tc>
          <w:tcPr>
            <w:tcW w:w="3844" w:type="dxa"/>
            <w:tcBorders>
              <w:top w:val="single" w:color="auto" w:sz="4" w:space="0"/>
              <w:left w:val="nil"/>
              <w:bottom w:val="single" w:color="auto" w:sz="4" w:space="0"/>
              <w:right w:val="single" w:color="auto" w:sz="4" w:space="0"/>
            </w:tcBorders>
            <w:noWrap w:val="0"/>
            <w:vAlign w:val="center"/>
          </w:tcPr>
          <w:p w14:paraId="7E05B5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AC-13</w:t>
            </w:r>
          </w:p>
        </w:tc>
        <w:tc>
          <w:tcPr>
            <w:tcW w:w="1344" w:type="dxa"/>
            <w:tcBorders>
              <w:top w:val="single" w:color="auto" w:sz="4" w:space="0"/>
              <w:left w:val="nil"/>
              <w:bottom w:val="single" w:color="auto" w:sz="4" w:space="0"/>
              <w:right w:val="single" w:color="auto" w:sz="4" w:space="0"/>
            </w:tcBorders>
            <w:noWrap w:val="0"/>
            <w:vAlign w:val="center"/>
          </w:tcPr>
          <w:p w14:paraId="11612F7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240t</w:t>
            </w:r>
          </w:p>
        </w:tc>
      </w:tr>
      <w:tr w14:paraId="280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5D34493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641" w:type="dxa"/>
            <w:tcBorders>
              <w:top w:val="single" w:color="auto" w:sz="4" w:space="0"/>
              <w:left w:val="nil"/>
              <w:bottom w:val="single" w:color="auto" w:sz="4" w:space="0"/>
              <w:right w:val="single" w:color="auto" w:sz="4" w:space="0"/>
            </w:tcBorders>
            <w:noWrap w:val="0"/>
            <w:vAlign w:val="center"/>
          </w:tcPr>
          <w:p w14:paraId="2D0D3B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3844" w:type="dxa"/>
            <w:tcBorders>
              <w:top w:val="single" w:color="auto" w:sz="4" w:space="0"/>
              <w:left w:val="nil"/>
              <w:bottom w:val="single" w:color="auto" w:sz="4" w:space="0"/>
              <w:right w:val="single" w:color="auto" w:sz="4" w:space="0"/>
            </w:tcBorders>
            <w:noWrap w:val="0"/>
            <w:vAlign w:val="center"/>
          </w:tcPr>
          <w:p w14:paraId="1888F82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AC-16</w:t>
            </w:r>
          </w:p>
        </w:tc>
        <w:tc>
          <w:tcPr>
            <w:tcW w:w="1344" w:type="dxa"/>
            <w:tcBorders>
              <w:top w:val="single" w:color="auto" w:sz="4" w:space="0"/>
              <w:left w:val="nil"/>
              <w:bottom w:val="single" w:color="auto" w:sz="4" w:space="0"/>
              <w:right w:val="single" w:color="auto" w:sz="4" w:space="0"/>
            </w:tcBorders>
            <w:noWrap w:val="0"/>
            <w:vAlign w:val="center"/>
          </w:tcPr>
          <w:p w14:paraId="4B993D0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120t</w:t>
            </w:r>
          </w:p>
        </w:tc>
      </w:tr>
      <w:tr w14:paraId="0282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4557C9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641" w:type="dxa"/>
            <w:tcBorders>
              <w:top w:val="single" w:color="auto" w:sz="4" w:space="0"/>
              <w:left w:val="nil"/>
              <w:bottom w:val="single" w:color="auto" w:sz="4" w:space="0"/>
              <w:right w:val="single" w:color="auto" w:sz="4" w:space="0"/>
            </w:tcBorders>
            <w:noWrap w:val="0"/>
            <w:vAlign w:val="center"/>
          </w:tcPr>
          <w:p w14:paraId="4608D3E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3844" w:type="dxa"/>
            <w:tcBorders>
              <w:top w:val="single" w:color="auto" w:sz="4" w:space="0"/>
              <w:left w:val="nil"/>
              <w:bottom w:val="single" w:color="auto" w:sz="4" w:space="0"/>
              <w:right w:val="single" w:color="auto" w:sz="4" w:space="0"/>
            </w:tcBorders>
            <w:noWrap w:val="0"/>
            <w:vAlign w:val="center"/>
          </w:tcPr>
          <w:p w14:paraId="6F5B663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AC-20</w:t>
            </w:r>
          </w:p>
        </w:tc>
        <w:tc>
          <w:tcPr>
            <w:tcW w:w="1344" w:type="dxa"/>
            <w:tcBorders>
              <w:top w:val="single" w:color="auto" w:sz="4" w:space="0"/>
              <w:left w:val="nil"/>
              <w:bottom w:val="single" w:color="auto" w:sz="4" w:space="0"/>
              <w:right w:val="single" w:color="auto" w:sz="4" w:space="0"/>
            </w:tcBorders>
            <w:noWrap w:val="0"/>
            <w:vAlign w:val="center"/>
          </w:tcPr>
          <w:p w14:paraId="2B6E32E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100t</w:t>
            </w:r>
          </w:p>
        </w:tc>
      </w:tr>
      <w:tr w14:paraId="197C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E29F84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641" w:type="dxa"/>
            <w:tcBorders>
              <w:top w:val="single" w:color="auto" w:sz="4" w:space="0"/>
              <w:left w:val="nil"/>
              <w:bottom w:val="single" w:color="auto" w:sz="4" w:space="0"/>
              <w:right w:val="single" w:color="auto" w:sz="4" w:space="0"/>
            </w:tcBorders>
            <w:noWrap w:val="0"/>
            <w:vAlign w:val="center"/>
          </w:tcPr>
          <w:p w14:paraId="54EF39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沥青混凝土</w:t>
            </w:r>
          </w:p>
        </w:tc>
        <w:tc>
          <w:tcPr>
            <w:tcW w:w="3844" w:type="dxa"/>
            <w:tcBorders>
              <w:top w:val="single" w:color="auto" w:sz="4" w:space="0"/>
              <w:left w:val="nil"/>
              <w:bottom w:val="single" w:color="auto" w:sz="4" w:space="0"/>
              <w:right w:val="single" w:color="auto" w:sz="4" w:space="0"/>
            </w:tcBorders>
            <w:noWrap w:val="0"/>
            <w:vAlign w:val="center"/>
          </w:tcPr>
          <w:p w14:paraId="62831D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SMA-13（木质纤维）</w:t>
            </w:r>
          </w:p>
        </w:tc>
        <w:tc>
          <w:tcPr>
            <w:tcW w:w="1344" w:type="dxa"/>
            <w:tcBorders>
              <w:top w:val="single" w:color="auto" w:sz="4" w:space="0"/>
              <w:left w:val="nil"/>
              <w:bottom w:val="single" w:color="auto" w:sz="4" w:space="0"/>
              <w:right w:val="single" w:color="auto" w:sz="4" w:space="0"/>
            </w:tcBorders>
            <w:noWrap w:val="0"/>
            <w:vAlign w:val="center"/>
          </w:tcPr>
          <w:p w14:paraId="731DC44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210t</w:t>
            </w:r>
          </w:p>
        </w:tc>
      </w:tr>
      <w:tr w14:paraId="435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7EE2D0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641" w:type="dxa"/>
            <w:tcBorders>
              <w:top w:val="single" w:color="auto" w:sz="4" w:space="0"/>
              <w:left w:val="nil"/>
              <w:bottom w:val="single" w:color="auto" w:sz="4" w:space="0"/>
              <w:right w:val="single" w:color="auto" w:sz="4" w:space="0"/>
            </w:tcBorders>
            <w:noWrap w:val="0"/>
            <w:vAlign w:val="center"/>
          </w:tcPr>
          <w:p w14:paraId="342F8C0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3844" w:type="dxa"/>
            <w:tcBorders>
              <w:top w:val="single" w:color="auto" w:sz="4" w:space="0"/>
              <w:left w:val="nil"/>
              <w:bottom w:val="single" w:color="auto" w:sz="4" w:space="0"/>
              <w:right w:val="single" w:color="auto" w:sz="4" w:space="0"/>
            </w:tcBorders>
            <w:noWrap w:val="0"/>
            <w:vAlign w:val="center"/>
          </w:tcPr>
          <w:p w14:paraId="74646F4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乳化沥青供货及施工</w:t>
            </w:r>
          </w:p>
        </w:tc>
        <w:tc>
          <w:tcPr>
            <w:tcW w:w="1344" w:type="dxa"/>
            <w:tcBorders>
              <w:top w:val="single" w:color="auto" w:sz="4" w:space="0"/>
              <w:left w:val="nil"/>
              <w:bottom w:val="single" w:color="auto" w:sz="4" w:space="0"/>
              <w:right w:val="single" w:color="auto" w:sz="4" w:space="0"/>
            </w:tcBorders>
            <w:noWrap w:val="0"/>
            <w:vAlign w:val="center"/>
          </w:tcPr>
          <w:p w14:paraId="4D7722D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2000㎡</w:t>
            </w:r>
          </w:p>
        </w:tc>
      </w:tr>
    </w:tbl>
    <w:p w14:paraId="0BA2AA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2、</w:t>
      </w:r>
      <w:r>
        <w:rPr>
          <w:rFonts w:hint="eastAsia" w:ascii="宋体" w:eastAsia="宋体" w:cs="宋体"/>
          <w:color w:val="auto"/>
          <w:kern w:val="2"/>
          <w:sz w:val="24"/>
          <w:szCs w:val="24"/>
          <w:highlight w:val="none"/>
          <w:lang w:val="en-US" w:eastAsia="zh-CN" w:bidi="ar-SA"/>
        </w:rPr>
        <w:t>提供的沥青混凝土砂料严禁使用海砂或者海洗砂</w:t>
      </w:r>
      <w:r>
        <w:rPr>
          <w:rFonts w:hint="eastAsia" w:ascii="宋体" w:cs="宋体"/>
          <w:color w:val="auto"/>
          <w:kern w:val="2"/>
          <w:sz w:val="24"/>
          <w:szCs w:val="24"/>
          <w:highlight w:val="none"/>
          <w:lang w:val="en-US" w:eastAsia="zh-CN" w:bidi="ar-SA"/>
        </w:rPr>
        <w:t>。</w:t>
      </w:r>
    </w:p>
    <w:p w14:paraId="00FAAC0C">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采购标的需满足的服务标准、期限、效率等要求</w:t>
      </w:r>
    </w:p>
    <w:p w14:paraId="3FCA3ED9">
      <w:pPr>
        <w:pStyle w:val="23"/>
        <w:spacing w:beforeAutospacing="0" w:afterAutospacing="0" w:line="360" w:lineRule="auto"/>
        <w:ind w:firstLine="480" w:firstLineChars="200"/>
        <w:rPr>
          <w:color w:val="auto"/>
          <w:highlight w:val="none"/>
        </w:rPr>
      </w:pPr>
      <w:r>
        <w:rPr>
          <w:rFonts w:hint="eastAsia"/>
          <w:color w:val="auto"/>
          <w:highlight w:val="none"/>
        </w:rPr>
        <w:t>1、根据采购标的需执行的国家相关标准、行业标准、地方标准或者其他标准、规范以及采购人的要求，完成相应的工作。</w:t>
      </w:r>
    </w:p>
    <w:p w14:paraId="33235693">
      <w:pPr>
        <w:pStyle w:val="23"/>
        <w:spacing w:beforeAutospacing="0" w:afterAutospacing="0" w:line="360" w:lineRule="auto"/>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、合同期内根据招标人要求及时提供优质服务并自行办理车辆通行证。</w:t>
      </w:r>
    </w:p>
    <w:p w14:paraId="68DE3133">
      <w:pPr>
        <w:pStyle w:val="23"/>
        <w:spacing w:beforeAutospacing="0" w:afterAutospacing="0" w:line="360" w:lineRule="auto"/>
        <w:ind w:firstLine="480" w:firstLineChars="200"/>
        <w:rPr>
          <w:rFonts w:hint="eastAsia"/>
          <w:color w:val="auto"/>
          <w:highlight w:val="none"/>
        </w:rPr>
      </w:pPr>
      <w:r>
        <w:rPr>
          <w:rFonts w:hint="eastAsia"/>
          <w:color w:val="auto"/>
          <w:highlight w:val="none"/>
          <w:lang w:val="en-US" w:eastAsia="zh-CN"/>
        </w:rPr>
        <w:t>3</w:t>
      </w:r>
      <w:r>
        <w:rPr>
          <w:rFonts w:hint="eastAsia"/>
          <w:color w:val="auto"/>
          <w:highlight w:val="none"/>
        </w:rPr>
        <w:t>、能满足零星供货的特殊需求；</w:t>
      </w:r>
    </w:p>
    <w:p w14:paraId="3661E0F7">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color w:val="auto"/>
          <w:highlight w:val="none"/>
          <w:lang w:val="en-US" w:eastAsia="zh-CN"/>
        </w:rPr>
        <w:t>4</w:t>
      </w:r>
      <w:r>
        <w:rPr>
          <w:rFonts w:hint="eastAsia"/>
          <w:color w:val="auto"/>
          <w:highlight w:val="none"/>
        </w:rPr>
        <w:t>、能确保合同期内在接到</w:t>
      </w:r>
      <w:r>
        <w:rPr>
          <w:rFonts w:hint="eastAsia"/>
          <w:color w:val="auto"/>
          <w:highlight w:val="none"/>
          <w:lang w:val="en-US" w:eastAsia="zh-CN"/>
        </w:rPr>
        <w:t>采购方</w:t>
      </w:r>
      <w:r>
        <w:rPr>
          <w:rFonts w:hint="eastAsia"/>
          <w:color w:val="auto"/>
          <w:highlight w:val="none"/>
        </w:rPr>
        <w:t>供货通知</w:t>
      </w:r>
      <w:r>
        <w:rPr>
          <w:rFonts w:hint="eastAsia"/>
          <w:color w:val="auto"/>
          <w:highlight w:val="none"/>
          <w:lang w:val="en-US" w:eastAsia="zh-CN"/>
        </w:rPr>
        <w:t>后，在规定的时间</w:t>
      </w:r>
      <w:r>
        <w:rPr>
          <w:rFonts w:hint="eastAsia"/>
          <w:color w:val="auto"/>
          <w:highlight w:val="none"/>
        </w:rPr>
        <w:t>内送货到工地</w:t>
      </w:r>
      <w:r>
        <w:rPr>
          <w:rFonts w:hint="eastAsia"/>
          <w:color w:val="auto"/>
          <w:highlight w:val="none"/>
          <w:lang w:val="en-US" w:eastAsia="zh-CN"/>
        </w:rPr>
        <w:t>且完成施工</w:t>
      </w:r>
      <w:r>
        <w:rPr>
          <w:rFonts w:hint="eastAsia"/>
          <w:color w:val="auto"/>
          <w:highlight w:val="none"/>
          <w:lang w:eastAsia="zh-CN"/>
        </w:rPr>
        <w:t>。</w:t>
      </w:r>
      <w:r>
        <w:rPr>
          <w:rFonts w:hint="eastAsia" w:ascii="宋体" w:hAnsi="宋体" w:eastAsia="宋体" w:cs="宋体"/>
          <w:color w:val="auto"/>
          <w:kern w:val="2"/>
          <w:sz w:val="24"/>
          <w:szCs w:val="24"/>
          <w:highlight w:val="none"/>
          <w:lang w:val="en-US" w:eastAsia="zh-CN" w:bidi="ar-SA"/>
        </w:rPr>
        <w:t xml:space="preserve"> </w:t>
      </w:r>
    </w:p>
    <w:p w14:paraId="0548582B">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采购标的验收标准</w:t>
      </w:r>
    </w:p>
    <w:p w14:paraId="3ADDB581">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ascii="宋体" w:hAnsi="Times New Roman" w:eastAsia="宋体" w:cs="宋体"/>
          <w:color w:val="auto"/>
          <w:highlight w:val="none"/>
        </w:rPr>
        <w:t>按照GB/T 30596-2014、GB/T 32984-2016、JTG F40-2004等相关要求进行验收。</w:t>
      </w:r>
    </w:p>
    <w:p w14:paraId="0424E4D6">
      <w:pPr>
        <w:numPr>
          <w:ilvl w:val="0"/>
          <w:numId w:val="1"/>
        </w:numPr>
        <w:tabs>
          <w:tab w:val="left" w:pos="0"/>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履约考核要求</w:t>
      </w:r>
    </w:p>
    <w:p w14:paraId="2DDBA36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5134064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w:t>
      </w:r>
      <w:r>
        <w:rPr>
          <w:rFonts w:hint="eastAsia" w:ascii="宋体" w:hAnsi="宋体" w:eastAsia="宋体" w:cs="宋体"/>
          <w:color w:val="auto"/>
          <w:sz w:val="24"/>
          <w:szCs w:val="24"/>
          <w:highlight w:val="none"/>
        </w:rPr>
        <w:t>服务态度、货物质量、工程管理、服务效率、资料管理等</w:t>
      </w:r>
      <w:r>
        <w:rPr>
          <w:rFonts w:hint="eastAsia" w:ascii="宋体" w:hAnsi="宋体" w:eastAsia="宋体" w:cs="宋体"/>
          <w:color w:val="auto"/>
          <w:sz w:val="24"/>
          <w:szCs w:val="24"/>
          <w:highlight w:val="none"/>
        </w:rPr>
        <w:t>方面进行考核。在合同履约期限内，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可定期组织开展履约考核工作，</w:t>
      </w:r>
      <w:r>
        <w:rPr>
          <w:rFonts w:hint="eastAsia" w:ascii="宋体" w:hAnsi="宋体" w:eastAsia="宋体" w:cs="宋体"/>
          <w:color w:val="auto"/>
          <w:sz w:val="24"/>
          <w:szCs w:val="24"/>
          <w:highlight w:val="none"/>
        </w:rPr>
        <w:t>考核频次不低于每月一次（供货期间）</w:t>
      </w:r>
      <w:r>
        <w:rPr>
          <w:rFonts w:hint="eastAsia" w:ascii="宋体" w:hAnsi="宋体" w:eastAsia="宋体" w:cs="宋体"/>
          <w:color w:val="auto"/>
          <w:sz w:val="24"/>
          <w:szCs w:val="24"/>
          <w:highlight w:val="none"/>
        </w:rPr>
        <w:t>。具体内容如下：</w:t>
      </w:r>
    </w:p>
    <w:p w14:paraId="52C649BF">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南通市市政市政设施管理处货物类项目履约考核评分表</w:t>
      </w:r>
    </w:p>
    <w:p w14:paraId="15A0E89D">
      <w:pPr>
        <w:spacing w:line="5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57F3B556">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36B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F6B30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1C458B4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2A0B988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1F7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4141477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42124A6F">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eastAsia="宋体" w:cs="宋体"/>
                <w:color w:val="auto"/>
                <w:kern w:val="0"/>
                <w:sz w:val="20"/>
                <w:szCs w:val="20"/>
                <w:highlight w:val="none"/>
                <w:lang w:val="en-US" w:eastAsia="zh-CN"/>
              </w:rPr>
              <w:t>采购人在合同约定范围内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4A34476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E14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7CB428E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1855AA8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027A53C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1E0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91AC63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6D4DBA3">
            <w:pPr>
              <w:keepNext w:val="0"/>
              <w:keepLines w:val="0"/>
              <w:pageBreakBefore w:val="0"/>
              <w:widowControl w:val="0"/>
              <w:numPr>
                <w:ilvl w:val="0"/>
                <w:numId w:val="2"/>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货物存在表面离析、松散等质量问题的，每次扣10分。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3EB118B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969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028CA797">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06F08DF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3、货物规格与要求不一致的，每次扣10分。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726DEBA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89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1B2A899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55B04CB1">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1F73762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DF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76724B29">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工程管理</w:t>
            </w:r>
          </w:p>
        </w:tc>
        <w:tc>
          <w:tcPr>
            <w:tcW w:w="6968" w:type="dxa"/>
            <w:tcBorders>
              <w:top w:val="single" w:color="auto" w:sz="4" w:space="0"/>
              <w:left w:val="nil"/>
              <w:bottom w:val="single" w:color="auto" w:sz="4" w:space="0"/>
              <w:right w:val="single" w:color="auto" w:sz="4" w:space="0"/>
            </w:tcBorders>
            <w:noWrap w:val="0"/>
            <w:vAlign w:val="center"/>
          </w:tcPr>
          <w:p w14:paraId="7B5EBA0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1、工程存在安全隐患的，每次扣10分。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4A8F7D8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374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FC1164">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27A7D3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2、不符合安全文明施工要求的，每次扣10分。</w:t>
            </w:r>
          </w:p>
        </w:tc>
        <w:tc>
          <w:tcPr>
            <w:tcW w:w="958" w:type="dxa"/>
            <w:tcBorders>
              <w:top w:val="single" w:color="auto" w:sz="4" w:space="0"/>
              <w:left w:val="nil"/>
              <w:bottom w:val="single" w:color="auto" w:sz="4" w:space="0"/>
              <w:right w:val="single" w:color="auto" w:sz="4" w:space="0"/>
            </w:tcBorders>
            <w:noWrap w:val="0"/>
            <w:vAlign w:val="center"/>
          </w:tcPr>
          <w:p w14:paraId="1B0CCEB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D8E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AFC681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789FC20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53D7C19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E41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470CD75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4791640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1、未在规定的合理时间内完成供货（施工）的，每次扣10分。每延误一天，扣5分/天。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DDE5FD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2D03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25B029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0A7C6197">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1、货物送货时缺少必要的文件，如合格证、检验报告等，每次扣2分。经采购人提醒后未在要求时间内递交的，每延误一天，扣5分/天。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20EE5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F6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4CA733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3A217DA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2、送货单、验收单记录不完整或未按要求填写的，每次扣2分。经采购人提醒后任未整改到位的，每次扣5分。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6EEE8DB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52D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7B83C4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2335B895">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在上级检查过程中，因供应商自身原因产生不良后果的，扣40分。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0ADB054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EB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1A3DE4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1D57641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650F0E08">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6E0199C7">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391FC582">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CDB3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A027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007144D9">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5A7FE0B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71A3CD0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347D1D53">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227F417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p w14:paraId="0673025F">
      <w:pPr>
        <w:widowControl/>
        <w:numPr>
          <w:ilvl w:val="0"/>
          <w:numId w:val="3"/>
        </w:numPr>
        <w:spacing w:before="100" w:after="100" w:line="460" w:lineRule="exact"/>
        <w:ind w:firstLine="482" w:firstLineChars="200"/>
        <w:jc w:val="left"/>
        <w:rPr>
          <w:rFonts w:hint="eastAsia" w:ascii="宋体" w:hAnsi="宋体" w:cs="宋体"/>
          <w:b/>
          <w:bCs/>
          <w:color w:val="auto"/>
          <w:kern w:val="0"/>
          <w:sz w:val="24"/>
          <w:szCs w:val="22"/>
          <w:highlight w:val="none"/>
          <w:lang w:val="en-US" w:eastAsia="zh-CN"/>
        </w:rPr>
      </w:pPr>
      <w:r>
        <w:rPr>
          <w:rFonts w:hint="eastAsia" w:ascii="宋体" w:hAnsi="宋体" w:cs="宋体"/>
          <w:b/>
          <w:bCs/>
          <w:color w:val="auto"/>
          <w:kern w:val="0"/>
          <w:sz w:val="24"/>
          <w:szCs w:val="22"/>
          <w:highlight w:val="none"/>
          <w:lang w:val="en-US" w:eastAsia="zh-CN"/>
        </w:rPr>
        <w:t>商务要求</w:t>
      </w:r>
    </w:p>
    <w:p w14:paraId="0FCD5ED2">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5B5770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1、采购标的数量：</w:t>
      </w:r>
      <w:r>
        <w:rPr>
          <w:rFonts w:hint="eastAsia" w:ascii="宋体" w:hAnsi="宋体" w:eastAsia="宋体" w:cs="宋体"/>
          <w:color w:val="auto"/>
          <w:highlight w:val="none"/>
        </w:rPr>
        <w:t>以实际需求数量为准。</w:t>
      </w:r>
    </w:p>
    <w:p w14:paraId="3598BF2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w:t>
      </w:r>
      <w:r>
        <w:rPr>
          <w:rFonts w:hint="eastAsia" w:eastAsia="宋体"/>
          <w:color w:val="auto"/>
          <w:highlight w:val="none"/>
          <w:lang w:eastAsia="zh-CN"/>
        </w:rPr>
        <w:t>结算费用达到48万元或采购人年度沥青混凝土项目招标完成，则合同终止。</w:t>
      </w:r>
    </w:p>
    <w:p w14:paraId="53193D53">
      <w:pPr>
        <w:pStyle w:val="23"/>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color w:val="auto"/>
          <w:highlight w:val="none"/>
        </w:rPr>
        <w:t>采购人</w:t>
      </w:r>
      <w:r>
        <w:rPr>
          <w:rFonts w:hint="eastAsia"/>
          <w:color w:val="auto"/>
          <w:highlight w:val="none"/>
          <w:lang w:val="en-US" w:eastAsia="zh-CN"/>
        </w:rPr>
        <w:t>指定地点</w:t>
      </w:r>
      <w:r>
        <w:rPr>
          <w:rFonts w:hint="eastAsia"/>
          <w:color w:val="auto"/>
          <w:highlight w:val="none"/>
        </w:rPr>
        <w:t>。</w:t>
      </w:r>
    </w:p>
    <w:p w14:paraId="75E29590">
      <w:pPr>
        <w:adjustRightInd w:val="0"/>
        <w:spacing w:line="480" w:lineRule="auto"/>
        <w:ind w:firstLine="482" w:firstLineChars="200"/>
        <w:rPr>
          <w:rFonts w:hint="eastAsia" w:ascii="宋体" w:hAnsi="宋体" w:cs="方正仿宋_GB2312"/>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5D9CF295">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1、</w:t>
      </w:r>
      <w:r>
        <w:rPr>
          <w:rFonts w:hint="eastAsia" w:ascii="宋体" w:hAnsi="宋体" w:cs="方正仿宋_GB2312"/>
          <w:color w:val="auto"/>
          <w:sz w:val="24"/>
          <w:szCs w:val="24"/>
          <w:highlight w:val="none"/>
        </w:rPr>
        <w:t>投标人应对所投项目的全部内容进行报价，只投其中部分内容者，视为无效标。本项目报价采用</w:t>
      </w:r>
      <w:bookmarkStart w:id="8" w:name="_Hlk168391010"/>
      <w:r>
        <w:rPr>
          <w:rFonts w:hint="eastAsia" w:ascii="宋体" w:hAnsi="宋体" w:cs="方正仿宋_GB2312"/>
          <w:color w:val="auto"/>
          <w:sz w:val="24"/>
          <w:szCs w:val="24"/>
          <w:highlight w:val="none"/>
          <w:lang w:val="en-US" w:eastAsia="zh-CN"/>
        </w:rPr>
        <w:t>下浮率报价，</w:t>
      </w:r>
      <w:r>
        <w:rPr>
          <w:rFonts w:hint="eastAsia" w:ascii="宋体" w:hAnsi="宋体" w:cs="方正仿宋_GB2312"/>
          <w:color w:val="auto"/>
          <w:sz w:val="24"/>
          <w:szCs w:val="24"/>
          <w:highlight w:val="none"/>
        </w:rPr>
        <w:t>报价综合</w:t>
      </w:r>
      <w:r>
        <w:rPr>
          <w:rFonts w:hint="eastAsia" w:ascii="宋体" w:hAnsi="宋体" w:cs="方正仿宋_GB2312"/>
          <w:color w:val="auto"/>
          <w:sz w:val="24"/>
          <w:szCs w:val="24"/>
          <w:highlight w:val="none"/>
          <w:lang w:eastAsia="zh-CN"/>
        </w:rPr>
        <w:t>优惠</w:t>
      </w:r>
      <w:r>
        <w:rPr>
          <w:rFonts w:hint="eastAsia" w:ascii="宋体" w:hAnsi="宋体" w:cs="方正仿宋_GB2312"/>
          <w:color w:val="auto"/>
          <w:sz w:val="24"/>
          <w:szCs w:val="24"/>
          <w:highlight w:val="none"/>
        </w:rPr>
        <w:t>率最多保留小数点后一位（示例：14.3%）。</w:t>
      </w:r>
      <w:bookmarkEnd w:id="8"/>
    </w:p>
    <w:p w14:paraId="3E6CEEFF">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rPr>
        <w:t>报价包含招标文件规定的货物费、沥青路面铣刨（根据采购人需求提供服务）及沥青铣刨料回收、铣刨路面清扫费（根据采购人需求提供服务）、粘层喷洒费（根据采购人需求提供服务）、摊铺费、碾压费、</w:t>
      </w:r>
      <w:r>
        <w:rPr>
          <w:rFonts w:hint="eastAsia" w:ascii="宋体" w:hAnsi="宋体" w:cs="方正仿宋_GB2312"/>
          <w:color w:val="auto"/>
          <w:sz w:val="24"/>
          <w:szCs w:val="24"/>
          <w:highlight w:val="none"/>
          <w:lang w:eastAsia="zh-CN"/>
        </w:rPr>
        <w:t>本采购项目涉及的安全</w:t>
      </w:r>
      <w:r>
        <w:rPr>
          <w:rFonts w:hint="eastAsia" w:ascii="宋体" w:hAnsi="宋体" w:cs="方正仿宋_GB2312"/>
          <w:color w:val="auto"/>
          <w:sz w:val="24"/>
          <w:szCs w:val="24"/>
          <w:highlight w:val="none"/>
        </w:rPr>
        <w:t>文明施工措施费、管理费、利润、规费、13%增值税税费、售后服务、运费等为完成本招标项目所需的一切相关费用。货物及施工的质量标准按最新国家标准、行业标准和本文件要求规定。</w:t>
      </w:r>
    </w:p>
    <w:p w14:paraId="1012711F">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本项目</w:t>
      </w:r>
      <w:r>
        <w:rPr>
          <w:rFonts w:hint="eastAsia" w:ascii="宋体" w:hAnsi="宋体" w:cs="方正仿宋_GB2312"/>
          <w:color w:val="auto"/>
          <w:sz w:val="24"/>
          <w:szCs w:val="24"/>
          <w:highlight w:val="none"/>
        </w:rPr>
        <w:t>铣刨的沥青回收料由中标供应商自行处理，请各潜在投标商综合考虑后报价。</w:t>
      </w:r>
    </w:p>
    <w:p w14:paraId="0CADB7E3">
      <w:pPr>
        <w:adjustRightInd w:val="0"/>
        <w:spacing w:line="480" w:lineRule="exact"/>
        <w:ind w:firstLine="480" w:firstLineChars="200"/>
        <w:rPr>
          <w:rFonts w:ascii="宋体" w:hAnsi="宋体" w:cs="方正仿宋_GB2312"/>
          <w:color w:val="auto"/>
          <w:sz w:val="24"/>
          <w:szCs w:val="24"/>
          <w:highlight w:val="none"/>
        </w:rPr>
      </w:pPr>
      <w:r>
        <w:rPr>
          <w:rFonts w:hint="eastAsia" w:ascii="宋体"/>
          <w:color w:val="auto"/>
          <w:sz w:val="24"/>
          <w:highlight w:val="none"/>
        </w:rPr>
        <w:t>采购清单</w:t>
      </w:r>
      <w:r>
        <w:rPr>
          <w:rFonts w:hint="eastAsia" w:ascii="宋体"/>
          <w:color w:val="auto"/>
          <w:sz w:val="24"/>
          <w:highlight w:val="none"/>
          <w:lang w:val="en-US" w:eastAsia="zh-CN"/>
        </w:rPr>
        <w:t>及最高限价</w:t>
      </w:r>
      <w:r>
        <w:rPr>
          <w:rFonts w:hint="eastAsia" w:ascii="宋体" w:hAnsi="宋体" w:cs="方正仿宋_GB2312"/>
          <w:color w:val="auto"/>
          <w:sz w:val="24"/>
          <w:szCs w:val="24"/>
          <w:highlight w:val="none"/>
        </w:rPr>
        <w:t>具体如下：</w:t>
      </w:r>
    </w:p>
    <w:tbl>
      <w:tblPr>
        <w:tblStyle w:val="2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25"/>
        <w:gridCol w:w="2309"/>
        <w:gridCol w:w="734"/>
        <w:gridCol w:w="1965"/>
        <w:gridCol w:w="1698"/>
      </w:tblGrid>
      <w:tr w14:paraId="2A41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A6AF30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725" w:type="dxa"/>
            <w:tcBorders>
              <w:top w:val="single" w:color="auto" w:sz="4" w:space="0"/>
              <w:left w:val="nil"/>
              <w:bottom w:val="single" w:color="auto" w:sz="4" w:space="0"/>
              <w:right w:val="single" w:color="auto" w:sz="4" w:space="0"/>
            </w:tcBorders>
            <w:noWrap w:val="0"/>
            <w:vAlign w:val="center"/>
          </w:tcPr>
          <w:p w14:paraId="58FC528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材料名称</w:t>
            </w:r>
          </w:p>
        </w:tc>
        <w:tc>
          <w:tcPr>
            <w:tcW w:w="2309" w:type="dxa"/>
            <w:tcBorders>
              <w:top w:val="single" w:color="auto" w:sz="4" w:space="0"/>
              <w:left w:val="nil"/>
              <w:bottom w:val="single" w:color="auto" w:sz="4" w:space="0"/>
              <w:right w:val="single" w:color="auto" w:sz="4" w:space="0"/>
            </w:tcBorders>
            <w:noWrap w:val="0"/>
            <w:vAlign w:val="center"/>
          </w:tcPr>
          <w:p w14:paraId="46BB0F8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规格参数</w:t>
            </w:r>
          </w:p>
        </w:tc>
        <w:tc>
          <w:tcPr>
            <w:tcW w:w="734" w:type="dxa"/>
            <w:tcBorders>
              <w:top w:val="single" w:color="auto" w:sz="4" w:space="0"/>
              <w:left w:val="nil"/>
              <w:bottom w:val="single" w:color="auto" w:sz="4" w:space="0"/>
              <w:right w:val="single" w:color="auto" w:sz="4" w:space="0"/>
            </w:tcBorders>
            <w:noWrap w:val="0"/>
            <w:vAlign w:val="center"/>
          </w:tcPr>
          <w:p w14:paraId="00EA66D4">
            <w:pPr>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计量单位</w:t>
            </w:r>
          </w:p>
        </w:tc>
        <w:tc>
          <w:tcPr>
            <w:tcW w:w="1965" w:type="dxa"/>
            <w:tcBorders>
              <w:top w:val="single" w:color="auto" w:sz="4" w:space="0"/>
              <w:left w:val="nil"/>
              <w:bottom w:val="single" w:color="auto" w:sz="4" w:space="0"/>
              <w:right w:val="single" w:color="auto" w:sz="4" w:space="0"/>
            </w:tcBorders>
            <w:noWrap w:val="0"/>
            <w:vAlign w:val="center"/>
          </w:tcPr>
          <w:p w14:paraId="7293B41E">
            <w:pPr>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含13%税最高限价（元）</w:t>
            </w:r>
          </w:p>
        </w:tc>
        <w:tc>
          <w:tcPr>
            <w:tcW w:w="1698" w:type="dxa"/>
            <w:tcBorders>
              <w:top w:val="single" w:color="auto" w:sz="4" w:space="0"/>
              <w:left w:val="nil"/>
              <w:bottom w:val="single" w:color="auto" w:sz="4" w:space="0"/>
              <w:right w:val="single" w:color="auto" w:sz="4" w:space="0"/>
            </w:tcBorders>
            <w:noWrap w:val="0"/>
            <w:vAlign w:val="center"/>
          </w:tcPr>
          <w:p w14:paraId="6911C443">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宋体" w:hAnsi="宋体"/>
                <w:b/>
                <w:bCs/>
                <w:color w:val="auto"/>
                <w:sz w:val="24"/>
                <w:szCs w:val="24"/>
                <w:highlight w:val="none"/>
                <w:lang w:val="en-US" w:eastAsia="zh-CN"/>
              </w:rPr>
              <w:t>投标</w:t>
            </w:r>
            <w:r>
              <w:rPr>
                <w:rFonts w:hint="eastAsia" w:ascii="宋体" w:hAnsi="宋体"/>
                <w:b/>
                <w:color w:val="auto"/>
                <w:sz w:val="24"/>
                <w:szCs w:val="24"/>
                <w:highlight w:val="none"/>
              </w:rPr>
              <w:t>综合</w:t>
            </w:r>
            <w:r>
              <w:rPr>
                <w:rFonts w:hint="eastAsia" w:ascii="宋体" w:hAnsi="宋体"/>
                <w:b/>
                <w:bCs/>
                <w:color w:val="auto"/>
                <w:sz w:val="24"/>
                <w:szCs w:val="24"/>
                <w:highlight w:val="none"/>
                <w:lang w:val="en-US" w:eastAsia="zh-CN"/>
              </w:rPr>
              <w:t>优惠率（%）</w:t>
            </w:r>
          </w:p>
        </w:tc>
      </w:tr>
      <w:tr w14:paraId="6FC4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6408824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725" w:type="dxa"/>
            <w:tcBorders>
              <w:top w:val="single" w:color="auto" w:sz="4" w:space="0"/>
              <w:left w:val="nil"/>
              <w:bottom w:val="single" w:color="auto" w:sz="4" w:space="0"/>
              <w:right w:val="single" w:color="auto" w:sz="4" w:space="0"/>
            </w:tcBorders>
            <w:noWrap w:val="0"/>
            <w:vAlign w:val="center"/>
          </w:tcPr>
          <w:p w14:paraId="098D639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细粒式沥青砼</w:t>
            </w:r>
          </w:p>
        </w:tc>
        <w:tc>
          <w:tcPr>
            <w:tcW w:w="2309" w:type="dxa"/>
            <w:tcBorders>
              <w:top w:val="single" w:color="auto" w:sz="4" w:space="0"/>
              <w:left w:val="nil"/>
              <w:bottom w:val="single" w:color="auto" w:sz="4" w:space="0"/>
              <w:right w:val="single" w:color="auto" w:sz="4" w:space="0"/>
            </w:tcBorders>
            <w:noWrap w:val="0"/>
            <w:vAlign w:val="center"/>
          </w:tcPr>
          <w:p w14:paraId="2B1B1E7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AC-13</w:t>
            </w:r>
          </w:p>
        </w:tc>
        <w:tc>
          <w:tcPr>
            <w:tcW w:w="734" w:type="dxa"/>
            <w:tcBorders>
              <w:top w:val="single" w:color="auto" w:sz="4" w:space="0"/>
              <w:left w:val="nil"/>
              <w:bottom w:val="single" w:color="auto" w:sz="4" w:space="0"/>
              <w:right w:val="single" w:color="auto" w:sz="4" w:space="0"/>
            </w:tcBorders>
            <w:noWrap w:val="0"/>
            <w:vAlign w:val="center"/>
          </w:tcPr>
          <w:p w14:paraId="6442988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restart"/>
            <w:tcBorders>
              <w:top w:val="single" w:color="auto" w:sz="4" w:space="0"/>
              <w:left w:val="nil"/>
              <w:right w:val="single" w:color="auto" w:sz="4" w:space="0"/>
            </w:tcBorders>
            <w:noWrap w:val="0"/>
            <w:vAlign w:val="center"/>
          </w:tcPr>
          <w:p w14:paraId="7BCAF18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《南通市建设工程造价信息》当期指导价进行优惠，至少优惠10%</w:t>
            </w:r>
          </w:p>
        </w:tc>
        <w:tc>
          <w:tcPr>
            <w:tcW w:w="1698" w:type="dxa"/>
            <w:vMerge w:val="restart"/>
            <w:tcBorders>
              <w:top w:val="single" w:color="auto" w:sz="4" w:space="0"/>
              <w:left w:val="nil"/>
              <w:right w:val="single" w:color="auto" w:sz="4" w:space="0"/>
            </w:tcBorders>
            <w:noWrap w:val="0"/>
            <w:vAlign w:val="center"/>
          </w:tcPr>
          <w:p w14:paraId="41FB061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报价综合优惠率最多保留小数点后一位（示例：14.3%）</w:t>
            </w:r>
          </w:p>
        </w:tc>
      </w:tr>
      <w:tr w14:paraId="3D84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35E95BA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725" w:type="dxa"/>
            <w:tcBorders>
              <w:top w:val="single" w:color="auto" w:sz="4" w:space="0"/>
              <w:left w:val="nil"/>
              <w:bottom w:val="single" w:color="auto" w:sz="4" w:space="0"/>
              <w:right w:val="single" w:color="auto" w:sz="4" w:space="0"/>
            </w:tcBorders>
            <w:noWrap w:val="0"/>
            <w:vAlign w:val="center"/>
          </w:tcPr>
          <w:p w14:paraId="576B9B3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2309" w:type="dxa"/>
            <w:tcBorders>
              <w:top w:val="single" w:color="auto" w:sz="4" w:space="0"/>
              <w:left w:val="nil"/>
              <w:bottom w:val="single" w:color="auto" w:sz="4" w:space="0"/>
              <w:right w:val="single" w:color="auto" w:sz="4" w:space="0"/>
            </w:tcBorders>
            <w:noWrap w:val="0"/>
            <w:vAlign w:val="center"/>
          </w:tcPr>
          <w:p w14:paraId="1206BE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AC-16</w:t>
            </w:r>
          </w:p>
        </w:tc>
        <w:tc>
          <w:tcPr>
            <w:tcW w:w="734" w:type="dxa"/>
            <w:tcBorders>
              <w:top w:val="single" w:color="auto" w:sz="4" w:space="0"/>
              <w:left w:val="nil"/>
              <w:bottom w:val="single" w:color="auto" w:sz="4" w:space="0"/>
              <w:right w:val="single" w:color="auto" w:sz="4" w:space="0"/>
            </w:tcBorders>
            <w:noWrap w:val="0"/>
            <w:vAlign w:val="center"/>
          </w:tcPr>
          <w:p w14:paraId="14E3DA94">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302C83A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66819CE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9E5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1AAB796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725" w:type="dxa"/>
            <w:tcBorders>
              <w:top w:val="single" w:color="auto" w:sz="4" w:space="0"/>
              <w:left w:val="nil"/>
              <w:bottom w:val="single" w:color="auto" w:sz="4" w:space="0"/>
              <w:right w:val="single" w:color="auto" w:sz="4" w:space="0"/>
            </w:tcBorders>
            <w:noWrap w:val="0"/>
            <w:vAlign w:val="center"/>
          </w:tcPr>
          <w:p w14:paraId="2F82C6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2309" w:type="dxa"/>
            <w:tcBorders>
              <w:top w:val="single" w:color="auto" w:sz="4" w:space="0"/>
              <w:left w:val="nil"/>
              <w:bottom w:val="single" w:color="auto" w:sz="4" w:space="0"/>
              <w:right w:val="single" w:color="auto" w:sz="4" w:space="0"/>
            </w:tcBorders>
            <w:noWrap w:val="0"/>
            <w:vAlign w:val="center"/>
          </w:tcPr>
          <w:p w14:paraId="4687160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AC-20</w:t>
            </w:r>
          </w:p>
        </w:tc>
        <w:tc>
          <w:tcPr>
            <w:tcW w:w="734" w:type="dxa"/>
            <w:tcBorders>
              <w:top w:val="single" w:color="auto" w:sz="4" w:space="0"/>
              <w:left w:val="nil"/>
              <w:bottom w:val="single" w:color="auto" w:sz="4" w:space="0"/>
              <w:right w:val="single" w:color="auto" w:sz="4" w:space="0"/>
            </w:tcBorders>
            <w:noWrap w:val="0"/>
            <w:vAlign w:val="center"/>
          </w:tcPr>
          <w:p w14:paraId="17508354">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6E2FAAB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0C7D47A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30B7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E88436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725" w:type="dxa"/>
            <w:tcBorders>
              <w:top w:val="single" w:color="auto" w:sz="4" w:space="0"/>
              <w:left w:val="nil"/>
              <w:bottom w:val="single" w:color="auto" w:sz="4" w:space="0"/>
              <w:right w:val="single" w:color="auto" w:sz="4" w:space="0"/>
            </w:tcBorders>
            <w:noWrap w:val="0"/>
            <w:vAlign w:val="center"/>
          </w:tcPr>
          <w:p w14:paraId="2D3E10A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沥青混凝土</w:t>
            </w:r>
          </w:p>
        </w:tc>
        <w:tc>
          <w:tcPr>
            <w:tcW w:w="2309" w:type="dxa"/>
            <w:tcBorders>
              <w:top w:val="single" w:color="auto" w:sz="4" w:space="0"/>
              <w:left w:val="nil"/>
              <w:bottom w:val="single" w:color="auto" w:sz="4" w:space="0"/>
              <w:right w:val="single" w:color="auto" w:sz="4" w:space="0"/>
            </w:tcBorders>
            <w:noWrap w:val="0"/>
            <w:vAlign w:val="center"/>
          </w:tcPr>
          <w:p w14:paraId="6E934B5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SMA-13（木质纤维）</w:t>
            </w:r>
          </w:p>
        </w:tc>
        <w:tc>
          <w:tcPr>
            <w:tcW w:w="734" w:type="dxa"/>
            <w:tcBorders>
              <w:top w:val="single" w:color="auto" w:sz="4" w:space="0"/>
              <w:left w:val="nil"/>
              <w:bottom w:val="single" w:color="auto" w:sz="4" w:space="0"/>
              <w:right w:val="single" w:color="auto" w:sz="4" w:space="0"/>
            </w:tcBorders>
            <w:noWrap w:val="0"/>
            <w:vAlign w:val="center"/>
          </w:tcPr>
          <w:p w14:paraId="20F6A8B2">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0D864D5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2C54CC3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473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6D118A99">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725" w:type="dxa"/>
            <w:tcBorders>
              <w:top w:val="single" w:color="auto" w:sz="4" w:space="0"/>
              <w:left w:val="nil"/>
              <w:bottom w:val="single" w:color="auto" w:sz="4" w:space="0"/>
              <w:right w:val="single" w:color="auto" w:sz="4" w:space="0"/>
            </w:tcBorders>
            <w:noWrap w:val="0"/>
            <w:vAlign w:val="center"/>
          </w:tcPr>
          <w:p w14:paraId="187D6A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2309" w:type="dxa"/>
            <w:tcBorders>
              <w:top w:val="single" w:color="auto" w:sz="4" w:space="0"/>
              <w:left w:val="nil"/>
              <w:bottom w:val="single" w:color="auto" w:sz="4" w:space="0"/>
              <w:right w:val="single" w:color="auto" w:sz="4" w:space="0"/>
            </w:tcBorders>
            <w:noWrap w:val="0"/>
            <w:vAlign w:val="center"/>
          </w:tcPr>
          <w:p w14:paraId="1544864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仅供货</w:t>
            </w:r>
          </w:p>
        </w:tc>
        <w:tc>
          <w:tcPr>
            <w:tcW w:w="734" w:type="dxa"/>
            <w:tcBorders>
              <w:top w:val="single" w:color="auto" w:sz="4" w:space="0"/>
              <w:left w:val="nil"/>
              <w:bottom w:val="single" w:color="auto" w:sz="4" w:space="0"/>
              <w:right w:val="single" w:color="auto" w:sz="4" w:space="0"/>
            </w:tcBorders>
            <w:noWrap w:val="0"/>
            <w:vAlign w:val="center"/>
          </w:tcPr>
          <w:p w14:paraId="214F927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bottom w:val="single" w:color="auto" w:sz="4" w:space="0"/>
              <w:right w:val="single" w:color="auto" w:sz="4" w:space="0"/>
            </w:tcBorders>
            <w:noWrap w:val="0"/>
            <w:vAlign w:val="center"/>
          </w:tcPr>
          <w:p w14:paraId="1B74B1C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1A0E662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13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5963EC8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725" w:type="dxa"/>
            <w:tcBorders>
              <w:top w:val="single" w:color="auto" w:sz="4" w:space="0"/>
              <w:left w:val="nil"/>
              <w:bottom w:val="single" w:color="auto" w:sz="4" w:space="0"/>
              <w:right w:val="single" w:color="auto" w:sz="4" w:space="0"/>
            </w:tcBorders>
            <w:noWrap w:val="0"/>
            <w:vAlign w:val="center"/>
          </w:tcPr>
          <w:p w14:paraId="6EC9F07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2309" w:type="dxa"/>
            <w:tcBorders>
              <w:top w:val="single" w:color="auto" w:sz="4" w:space="0"/>
              <w:left w:val="nil"/>
              <w:bottom w:val="single" w:color="auto" w:sz="4" w:space="0"/>
              <w:right w:val="single" w:color="auto" w:sz="4" w:space="0"/>
            </w:tcBorders>
            <w:noWrap w:val="0"/>
            <w:vAlign w:val="center"/>
          </w:tcPr>
          <w:p w14:paraId="149ED947">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含喷洒</w:t>
            </w:r>
            <w:r>
              <w:rPr>
                <w:rFonts w:hint="eastAsia" w:asciiTheme="minorEastAsia" w:hAnsiTheme="minorEastAsia" w:eastAsiaTheme="minorEastAsia" w:cstheme="minorEastAsia"/>
                <w:color w:val="auto"/>
                <w:sz w:val="24"/>
                <w:szCs w:val="24"/>
                <w:highlight w:val="none"/>
                <w:lang w:eastAsia="zh-CN"/>
              </w:rPr>
              <w:t>）</w:t>
            </w:r>
          </w:p>
        </w:tc>
        <w:tc>
          <w:tcPr>
            <w:tcW w:w="734" w:type="dxa"/>
            <w:tcBorders>
              <w:top w:val="single" w:color="auto" w:sz="4" w:space="0"/>
              <w:left w:val="nil"/>
              <w:bottom w:val="single" w:color="auto" w:sz="4" w:space="0"/>
              <w:right w:val="single" w:color="auto" w:sz="4" w:space="0"/>
            </w:tcBorders>
            <w:noWrap w:val="0"/>
            <w:vAlign w:val="center"/>
          </w:tcPr>
          <w:p w14:paraId="1A4A68E5">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965" w:type="dxa"/>
            <w:tcBorders>
              <w:top w:val="single" w:color="auto" w:sz="4" w:space="0"/>
              <w:left w:val="nil"/>
              <w:bottom w:val="single" w:color="auto" w:sz="4" w:space="0"/>
              <w:right w:val="single" w:color="auto" w:sz="4" w:space="0"/>
            </w:tcBorders>
            <w:noWrap w:val="0"/>
            <w:vAlign w:val="center"/>
          </w:tcPr>
          <w:p w14:paraId="5CA4D03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3.07</w:t>
            </w:r>
          </w:p>
        </w:tc>
        <w:tc>
          <w:tcPr>
            <w:tcW w:w="1698" w:type="dxa"/>
            <w:vMerge w:val="continue"/>
            <w:tcBorders>
              <w:left w:val="nil"/>
              <w:bottom w:val="single" w:color="auto" w:sz="4" w:space="0"/>
              <w:right w:val="single" w:color="auto" w:sz="4" w:space="0"/>
            </w:tcBorders>
            <w:noWrap w:val="0"/>
            <w:vAlign w:val="center"/>
          </w:tcPr>
          <w:p w14:paraId="0F554DB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bl>
    <w:p w14:paraId="4E8A8C9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eastAsia="宋体" w:cs="宋体"/>
          <w:b/>
          <w:bCs/>
          <w:color w:val="auto"/>
          <w:kern w:val="2"/>
          <w:sz w:val="22"/>
          <w:szCs w:val="22"/>
          <w:highlight w:val="none"/>
          <w:lang w:val="en-US" w:eastAsia="zh-CN"/>
        </w:rPr>
        <w:t>注：</w:t>
      </w:r>
      <w:r>
        <w:rPr>
          <w:rFonts w:hint="eastAsia" w:ascii="宋体" w:cs="宋体"/>
          <w:b/>
          <w:bCs/>
          <w:color w:val="auto"/>
          <w:kern w:val="2"/>
          <w:sz w:val="22"/>
          <w:szCs w:val="22"/>
          <w:highlight w:val="none"/>
          <w:lang w:val="en-US" w:eastAsia="zh-CN"/>
        </w:rPr>
        <w:t>（1）</w:t>
      </w:r>
      <w:r>
        <w:rPr>
          <w:rFonts w:hint="eastAsia" w:ascii="宋体" w:eastAsia="宋体" w:cs="宋体"/>
          <w:b/>
          <w:bCs/>
          <w:color w:val="auto"/>
          <w:kern w:val="2"/>
          <w:sz w:val="22"/>
          <w:szCs w:val="22"/>
          <w:highlight w:val="none"/>
          <w:lang w:val="en-US" w:eastAsia="zh-CN"/>
        </w:rPr>
        <w:t>以上数量是预估量，以实际发生数量为准，结算以实际发生数量为准，结算单价不予调整。合同结算价</w:t>
      </w:r>
      <w:bookmarkStart w:id="12" w:name="_GoBack"/>
      <w:bookmarkEnd w:id="12"/>
      <w:r>
        <w:rPr>
          <w:rFonts w:hint="eastAsia" w:ascii="宋体" w:eastAsia="宋体" w:cs="宋体"/>
          <w:b/>
          <w:bCs/>
          <w:color w:val="auto"/>
          <w:kern w:val="2"/>
          <w:sz w:val="22"/>
          <w:szCs w:val="22"/>
          <w:highlight w:val="none"/>
          <w:lang w:val="en-US" w:eastAsia="zh-CN"/>
        </w:rPr>
        <w:t>不得超过本项目预算价</w:t>
      </w:r>
      <w:r>
        <w:rPr>
          <w:rFonts w:hint="eastAsia" w:ascii="宋体" w:cs="宋体"/>
          <w:b/>
          <w:bCs/>
          <w:color w:val="auto"/>
          <w:kern w:val="2"/>
          <w:sz w:val="22"/>
          <w:szCs w:val="22"/>
          <w:highlight w:val="none"/>
          <w:lang w:val="en-US" w:eastAsia="zh-CN"/>
        </w:rPr>
        <w:t>；</w:t>
      </w:r>
    </w:p>
    <w:p w14:paraId="48AB998E">
      <w:pPr>
        <w:keepNext w:val="0"/>
        <w:keepLines w:val="0"/>
        <w:pageBreakBefore w:val="0"/>
        <w:widowControl w:val="0"/>
        <w:numPr>
          <w:ilvl w:val="0"/>
          <w:numId w:val="4"/>
        </w:numPr>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cs="宋体"/>
          <w:b/>
          <w:bCs/>
          <w:color w:val="auto"/>
          <w:kern w:val="2"/>
          <w:sz w:val="22"/>
          <w:szCs w:val="22"/>
          <w:highlight w:val="none"/>
          <w:lang w:val="en-US" w:eastAsia="zh-CN"/>
        </w:rPr>
        <w:t>结算时以（1-报价综合优惠率）×各材料《南通市建设工程造价信息》当期含13%税指导价所得单价（保留小数点后两位）、（1-报价综合优惠率）×乳化沥青供货（含喷洒）最高限价所得单价（保留小数点后两位）作为结算单价。</w:t>
      </w:r>
    </w:p>
    <w:p w14:paraId="46A8A810">
      <w:pPr>
        <w:keepNext w:val="0"/>
        <w:keepLines w:val="0"/>
        <w:pageBreakBefore w:val="0"/>
        <w:widowControl w:val="0"/>
        <w:numPr>
          <w:ilvl w:val="0"/>
          <w:numId w:val="4"/>
        </w:numPr>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cs="宋体"/>
          <w:b/>
          <w:bCs/>
          <w:color w:val="auto"/>
          <w:kern w:val="2"/>
          <w:sz w:val="22"/>
          <w:szCs w:val="22"/>
          <w:highlight w:val="none"/>
          <w:lang w:val="en-US" w:eastAsia="zh-CN"/>
        </w:rPr>
        <w:t>如供货当期《南通建设工程造价信息》未发布本合同涉及货物指导价，甲方按照上一期发布的指导价作为计价基础，以此类推。</w:t>
      </w:r>
    </w:p>
    <w:p w14:paraId="58899B45">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2、施工现场应按国家相关规定做好安全措施，文明施工。施工现场做到无安全事故，如发生安全事故中标人承担全部责任及一切费用。</w:t>
      </w:r>
    </w:p>
    <w:p w14:paraId="65A9CDE6">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3、中标人未按合同的规定提供伴随服务、售后服务的，给采购人造成损失的，中标人应承担赔偿责任。</w:t>
      </w:r>
    </w:p>
    <w:p w14:paraId="4A212E4C">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4、在采购人通知供货及施工期限内，交货及施工完毕并通过验收，否则作违约处理。若逾期，每逾期一天，扣罚履约保证金30%，直至扣完为止，逾期超过7日，采购人有权解除本合同。</w:t>
      </w:r>
    </w:p>
    <w:p w14:paraId="65E04B19">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 xml:space="preserve">5、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 </w:t>
      </w:r>
    </w:p>
    <w:p w14:paraId="14FDC074">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6、因中标人原因造成环境污染，中标人承担全部责任及一切费用，且由中标人按有关部门要求负责及时清理，每逾期一天按相应单项项目结算总价的1％处罚，逾期超过7日，采购人有权解除本合同。</w:t>
      </w:r>
    </w:p>
    <w:p w14:paraId="2B1FB64E">
      <w:pPr>
        <w:numPr>
          <w:ilvl w:val="0"/>
          <w:numId w:val="5"/>
        </w:numPr>
        <w:tabs>
          <w:tab w:val="left" w:pos="0"/>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采购标的其他技术、服务等要求</w:t>
      </w:r>
    </w:p>
    <w:p w14:paraId="7FCDEBD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1、本项目提供的货物及服务主要用于由</w:t>
      </w:r>
      <w:r>
        <w:rPr>
          <w:rFonts w:hint="eastAsia" w:ascii="宋体" w:cs="宋体"/>
          <w:color w:val="auto"/>
          <w:kern w:val="2"/>
          <w:sz w:val="24"/>
          <w:szCs w:val="24"/>
          <w:highlight w:val="none"/>
          <w:lang w:val="en-US" w:eastAsia="zh-CN"/>
        </w:rPr>
        <w:t>采购人近期承担的南通市市区排水防涝设施提升改造工程（国债项目）及道路应急维修养护项目</w:t>
      </w:r>
      <w:r>
        <w:rPr>
          <w:rFonts w:hint="eastAsia" w:ascii="宋体" w:eastAsia="宋体" w:cs="宋体"/>
          <w:color w:val="auto"/>
          <w:kern w:val="2"/>
          <w:sz w:val="24"/>
          <w:szCs w:val="24"/>
          <w:highlight w:val="none"/>
          <w:lang w:val="en-US" w:eastAsia="zh-CN"/>
        </w:rPr>
        <w:t>，中标供应商须能满足零星供货的特殊需求，服从工地安排并提供优质服务，保证维修、应急抢修等工程零散数量货物的保质、保量及时供货及施工。投标供应商在中标后充分响应招标文件“项目需求”中各项要求，保质、保量、按时向招标人提供优质服务；</w:t>
      </w:r>
    </w:p>
    <w:p w14:paraId="579CDEA4">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投标供应商应充分考虑货物生产（运输）、原材料价格、市内施工等因素，在合同期内如因上述原因不能履行投标承诺，招标人按违约处理并立即终止合同。如因不可抗拒力导致无法履约的，投标供应商应以书面形式向招标人作出说明并征得招标人认可，否则作违约处理；</w:t>
      </w:r>
    </w:p>
    <w:p w14:paraId="6977F520">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3、投标供应商在合同期内无条件配合招标人在数量、质量、服务等方面的各项检查、抽查工作，并承担由此配合产生的费用。如在检查过程中发现不符合的情况，投标供应商须接受相应处罚，并承担因此造成采购人相应工程项目中的所有损失；</w:t>
      </w:r>
    </w:p>
    <w:p w14:paraId="7D1B1F5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4、投标供应商在项目实施期间需提供沥青混凝土原材料相关检测报告、配合比检测报告及成品检测报告，摊铺完成后按有关规范要求提供标准试验段等相关数据；</w:t>
      </w:r>
    </w:p>
    <w:p w14:paraId="5EF16073">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5、质保期：一年，自工程完工验收合格之日起算。成交供应商在质保期内无偿负责由自身原因导致的线裂、网裂、龟裂、拥包或波浪、车辙、沉陷、翻浆、剥落、啃边、路框差、唧浆、泛油、横坡不适、平整度差等《城镇道路养护规范》中所标明的病害的消除；</w:t>
      </w:r>
    </w:p>
    <w:p w14:paraId="2097C60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6、中标供应商自行办理禁区、禁时通行证，费用包含在报价中；</w:t>
      </w:r>
    </w:p>
    <w:p w14:paraId="27F82DE1">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7、中标人要对施工员工进行安全培训教育，进行施工前的安全技术交底，并进行三级教育、岗前培训。施工人员应统一着装、穿戴整洁、持证挂牌上岗；</w:t>
      </w:r>
    </w:p>
    <w:p w14:paraId="7ED19EB7">
      <w:pPr>
        <w:widowControl/>
        <w:spacing w:before="100" w:after="100" w:line="360" w:lineRule="auto"/>
        <w:ind w:firstLine="482" w:firstLineChars="200"/>
        <w:jc w:val="left"/>
        <w:rPr>
          <w:rFonts w:ascii="宋体" w:hAnsi="宋体" w:cs="宋体"/>
          <w:b/>
          <w:bCs/>
          <w:color w:val="auto"/>
          <w:kern w:val="0"/>
          <w:sz w:val="24"/>
          <w:szCs w:val="22"/>
          <w:highlight w:val="none"/>
        </w:rPr>
      </w:pP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lang w:val="en-US" w:eastAsia="zh-CN"/>
        </w:rPr>
        <w:t>四</w:t>
      </w: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rPr>
        <w:t>付款方式</w:t>
      </w:r>
    </w:p>
    <w:p w14:paraId="497542CD">
      <w:pPr>
        <w:spacing w:line="46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1、结算时以（1-报价综合优惠率）×各材料《南通市建设工程造价信息》当期含13%税指导价所得单价（保留小数点后两位）、（1-报价综合优惠率）×乳化沥青供货（含喷洒）最高限价所得单价（保留小数点后两位）作为结算单价。结算以实际发生数量为准，结算单价不予调整。合同结算价不得超过本项目预算价</w:t>
      </w:r>
      <w:r>
        <w:rPr>
          <w:rFonts w:hint="eastAsia" w:ascii="宋体" w:hAnsi="宋体" w:cs="宋体"/>
          <w:color w:val="auto"/>
          <w:sz w:val="24"/>
          <w:szCs w:val="22"/>
          <w:highlight w:val="none"/>
          <w:lang w:eastAsia="zh-CN"/>
        </w:rPr>
        <w:t>。</w:t>
      </w:r>
    </w:p>
    <w:p w14:paraId="281252A5">
      <w:pPr>
        <w:spacing w:line="46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2、每月16—25日供需双方结算一次货款</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采购人</w:t>
      </w:r>
      <w:r>
        <w:rPr>
          <w:rFonts w:hint="eastAsia" w:ascii="宋体" w:hAnsi="宋体" w:cs="宋体"/>
          <w:color w:val="auto"/>
          <w:sz w:val="24"/>
          <w:szCs w:val="22"/>
          <w:highlight w:val="none"/>
        </w:rPr>
        <w:t>支付当月实际发生应付货款的50%，供货当年春节前付至应付货款的80%，余款原则上2027年12月31日前付清。</w:t>
      </w:r>
    </w:p>
    <w:p w14:paraId="3AC5F995">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3、中标人在接到采购人开票通知后开具合法有效增值税发票</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，实际收款单位应与合同签订单位一致。</w:t>
      </w:r>
    </w:p>
    <w:p w14:paraId="3468C64A">
      <w:pPr>
        <w:widowControl/>
        <w:spacing w:before="100" w:after="100"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（五）履约保证金</w:t>
      </w:r>
    </w:p>
    <w:p w14:paraId="66D84CDD">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1、本项目成交后的履约保证金为项目成交价的5%，中标单位的履约保证金须在成交通知书发出之日起至合同签订前汇入采购单位账户（应当以数字人民币、支票、汇票或者金融机构、担保机构出具的保函等非现金形式提交），中标单位凭成交通知书与采购单位签订合同。超期或未有协商，则视为自动放弃成交资格。</w:t>
      </w:r>
    </w:p>
    <w:p w14:paraId="1AE1125E">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2、服务期满后，中标人全部履约合同义务，经采购人验收合格无质量、进度等问题的，中标人提交相应的申请材料，经采购人确认后15个工作日内一次性退还履约保证金（扣除相关违约费用的剩余部分，不计息）；</w:t>
      </w:r>
    </w:p>
    <w:p w14:paraId="0DE1F424">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 xml:space="preserve">3、发生以下情况的，履约保证金不予退还或部分退还： </w:t>
      </w:r>
    </w:p>
    <w:p w14:paraId="36C3412B">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a.签订合同后，中标单位不履行合同义务的，采购单位有权全额扣除履约保证金，全额不予退还，同时采购单位亦有权终止合同，中标供应商还须承担相应的法律赔偿责任。</w:t>
      </w:r>
    </w:p>
    <w:p w14:paraId="1F053C7C">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b.中标单位在履约过程中发生违约行为，给采购单位造成损失的，采购单位有权在中标单位缴纳的履约保证金中予以扣款，以弥补采购单位经济损失，不足的部分中标单位另外补齐。</w:t>
      </w:r>
    </w:p>
    <w:p w14:paraId="1792DB9D">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color w:val="auto"/>
          <w:highlight w:val="none"/>
        </w:rPr>
        <w:fldChar w:fldCharType="begin"/>
      </w:r>
      <w:r>
        <w:rPr>
          <w:color w:val="auto"/>
          <w:highlight w:val="none"/>
        </w:rPr>
        <w:instrText xml:space="preserve"> HYPERLINK "http://www.ccgp-jiangsu.gov.cn/jisngsu/zlxz/)。" </w:instrText>
      </w:r>
      <w:r>
        <w:rPr>
          <w:color w:val="auto"/>
          <w:highlight w:val="none"/>
        </w:rPr>
        <w:fldChar w:fldCharType="separate"/>
      </w:r>
      <w:r>
        <w:rPr>
          <w:rFonts w:hint="eastAsia" w:ascii="宋体" w:hAnsi="宋体" w:eastAsia="宋体" w:cs="仿宋"/>
          <w:bCs/>
          <w:color w:val="auto"/>
          <w:kern w:val="0"/>
          <w:sz w:val="24"/>
          <w:szCs w:val="24"/>
          <w:highlight w:val="none"/>
          <w:u w:val="single"/>
        </w:rPr>
        <w:t>www.ccgp-jiangsu.gov.cn/jisngsu/zlxz/)。</w:t>
      </w:r>
      <w:r>
        <w:rPr>
          <w:rFonts w:hint="eastAsia" w:ascii="宋体" w:hAnsi="宋体" w:eastAsia="宋体" w:cs="仿宋"/>
          <w:bCs/>
          <w:color w:val="auto"/>
          <w:kern w:val="0"/>
          <w:sz w:val="24"/>
          <w:szCs w:val="24"/>
          <w:highlight w:val="none"/>
          <w:u w:val="single"/>
        </w:rPr>
        <w:fldChar w:fldCharType="end"/>
      </w:r>
    </w:p>
    <w:p w14:paraId="41F69128">
      <w:pPr>
        <w:snapToGrid w:val="0"/>
        <w:spacing w:line="420" w:lineRule="exact"/>
        <w:ind w:firstLine="480" w:firstLineChars="200"/>
        <w:rPr>
          <w:color w:val="auto"/>
          <w:highlight w:val="none"/>
        </w:rPr>
      </w:pPr>
      <w:r>
        <w:rPr>
          <w:rFonts w:hint="eastAsia" w:ascii="宋体" w:hAnsi="宋体" w:eastAsia="宋体" w:cs="仿宋"/>
          <w:bCs/>
          <w:color w:val="auto"/>
          <w:kern w:val="0"/>
          <w:sz w:val="24"/>
          <w:szCs w:val="24"/>
          <w:highlight w:val="none"/>
        </w:rPr>
        <w:t>5、甲方无正当理由逾期退还履约保证金的，则自逾期之日起向乙方支付违约金，违约金以逾期未还履约保证金为基数，按全国银行间同业拆借中心公布的一年期贷款市场报价利率计算。</w:t>
      </w:r>
    </w:p>
    <w:p w14:paraId="393A79C0">
      <w:pPr>
        <w:pStyle w:val="3"/>
        <w:jc w:val="both"/>
        <w:rPr>
          <w:color w:val="auto"/>
          <w:highlight w:val="none"/>
        </w:rPr>
      </w:pPr>
    </w:p>
    <w:p w14:paraId="2CF44C51">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eastAsia="宋体" w:cs="宋体"/>
          <w:color w:val="auto"/>
          <w:kern w:val="2"/>
          <w:sz w:val="24"/>
          <w:szCs w:val="24"/>
          <w:highlight w:val="none"/>
          <w:lang w:val="en-US" w:eastAsia="zh-CN" w:bidi="ar-SA"/>
        </w:rPr>
        <w:sectPr>
          <w:footerReference r:id="rId5" w:type="default"/>
          <w:pgSz w:w="11906" w:h="16838"/>
          <w:pgMar w:top="1134" w:right="1800" w:bottom="1134" w:left="1800"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0D6877F1">
      <w:pPr>
        <w:keepNext w:val="0"/>
        <w:keepLines w:val="0"/>
        <w:pageBreakBefore w:val="0"/>
        <w:widowControl w:val="0"/>
        <w:kinsoku/>
        <w:wordWrap/>
        <w:overflowPunct/>
        <w:topLinePunct w:val="0"/>
        <w:bidi w:val="0"/>
        <w:snapToGrid w:val="0"/>
        <w:spacing w:line="360" w:lineRule="auto"/>
        <w:ind w:firstLine="482" w:firstLineChars="200"/>
        <w:rPr>
          <w:rFonts w:hint="default" w:ascii="宋体" w:eastAsia="宋体" w:cs="Calibri"/>
          <w:b/>
          <w:bCs w:val="0"/>
          <w:color w:val="auto"/>
          <w:sz w:val="24"/>
          <w:highlight w:val="none"/>
          <w:lang w:val="en-US" w:eastAsia="zh-CN"/>
        </w:rPr>
      </w:pPr>
      <w:r>
        <w:rPr>
          <w:rFonts w:hint="eastAsia" w:ascii="宋体" w:eastAsia="宋体" w:cs="Calibri"/>
          <w:b/>
          <w:bCs w:val="0"/>
          <w:color w:val="auto"/>
          <w:sz w:val="24"/>
          <w:highlight w:val="none"/>
          <w:lang w:val="en-US" w:eastAsia="zh-CN"/>
        </w:rPr>
        <w:t>投标当天若有效投标单位少于三家时，开标活动继续进行。当有效投标单位为两家时，以竞争性谈判方式确定中标单位。当有效投标单位为一家时，直接进行单一谈判。</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p>
        </w:tc>
        <w:tc>
          <w:tcPr>
            <w:tcW w:w="6606"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2"/>
                <w:sz w:val="24"/>
                <w:szCs w:val="20"/>
                <w:highlight w:val="none"/>
                <w:lang w:val="zh-CN" w:eastAsia="zh-CN"/>
              </w:rPr>
            </w:pPr>
            <w:r>
              <w:rPr>
                <w:rFonts w:hint="eastAsia" w:ascii="宋体" w:eastAsia="宋体" w:cs="宋体"/>
                <w:color w:val="auto"/>
                <w:kern w:val="2"/>
                <w:sz w:val="24"/>
                <w:szCs w:val="20"/>
                <w:highlight w:val="none"/>
                <w:lang w:val="zh-CN" w:eastAsia="zh-CN"/>
              </w:rPr>
              <w:t>提供投标供应商的由行政主管部门颁发的有效期内的安全生产许可证书复印件加盖公章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6E6D94E1">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有效投标人少于三家的；</w:t>
      </w:r>
    </w:p>
    <w:p w14:paraId="0B52198F">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74AECA78">
      <w:pPr>
        <w:keepNext w:val="0"/>
        <w:keepLines w:val="0"/>
        <w:pageBreakBefore w:val="0"/>
        <w:widowControl w:val="0"/>
        <w:kinsoku/>
        <w:wordWrap/>
        <w:overflowPunct/>
        <w:topLinePunct w:val="0"/>
        <w:bidi w:val="0"/>
        <w:snapToGrid w:val="0"/>
        <w:spacing w:line="360" w:lineRule="auto"/>
        <w:ind w:firstLine="480" w:firstLineChars="200"/>
        <w:rPr>
          <w:rFonts w:ascii="宋体" w:cs="Calibri"/>
          <w:color w:val="auto"/>
          <w:sz w:val="24"/>
          <w:szCs w:val="24"/>
          <w:highlight w:val="none"/>
        </w:rPr>
      </w:pPr>
      <w:r>
        <w:rPr>
          <w:rFonts w:ascii="宋体" w:cs="Calibri"/>
          <w:color w:val="auto"/>
          <w:sz w:val="24"/>
          <w:szCs w:val="24"/>
          <w:highlight w:val="none"/>
        </w:rPr>
        <w:t>1</w:t>
      </w:r>
      <w:r>
        <w:rPr>
          <w:rFonts w:hint="eastAsia" w:ascii="宋体" w:cs="Calibri"/>
          <w:color w:val="auto"/>
          <w:sz w:val="24"/>
          <w:szCs w:val="24"/>
          <w:highlight w:val="none"/>
        </w:rPr>
        <w:t>、在采购过程中符合竞争要求的供应商或者报价未</w:t>
      </w:r>
      <w:r>
        <w:rPr>
          <w:rFonts w:hint="eastAsia" w:ascii="宋体" w:cs="Calibri"/>
          <w:color w:val="auto"/>
          <w:sz w:val="24"/>
          <w:szCs w:val="24"/>
          <w:highlight w:val="none"/>
          <w:lang w:val="en-US" w:eastAsia="zh-CN"/>
        </w:rPr>
        <w:t>超过最高限价</w:t>
      </w:r>
      <w:r>
        <w:rPr>
          <w:rFonts w:hint="eastAsia" w:ascii="宋体" w:cs="Calibri"/>
          <w:color w:val="auto"/>
          <w:sz w:val="24"/>
          <w:szCs w:val="24"/>
          <w:highlight w:val="none"/>
        </w:rPr>
        <w:t>的供应商不足</w:t>
      </w:r>
      <w:r>
        <w:rPr>
          <w:rFonts w:hint="eastAsia" w:ascii="宋体" w:cs="Calibri"/>
          <w:color w:val="auto"/>
          <w:sz w:val="24"/>
          <w:szCs w:val="24"/>
          <w:highlight w:val="none"/>
          <w:lang w:val="en-US" w:eastAsia="zh-CN"/>
        </w:rPr>
        <w:t>3</w:t>
      </w:r>
      <w:r>
        <w:rPr>
          <w:rFonts w:hint="eastAsia" w:ascii="宋体" w:cs="Calibri"/>
          <w:color w:val="auto"/>
          <w:sz w:val="24"/>
          <w:szCs w:val="24"/>
          <w:highlight w:val="none"/>
        </w:rPr>
        <w:t>家的；</w:t>
      </w:r>
    </w:p>
    <w:p w14:paraId="36A3D3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16ED49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4"/>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0"/>
                <w:sz w:val="24"/>
                <w:szCs w:val="24"/>
                <w:highlight w:val="none"/>
                <w:lang w:val="zh-CN" w:eastAsia="zh-CN" w:bidi="ar-SA"/>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2"/>
                <w:sz w:val="24"/>
                <w:szCs w:val="20"/>
                <w:highlight w:val="none"/>
                <w:lang w:val="zh-CN" w:eastAsia="zh-CN" w:bidi="ar-SA"/>
              </w:rPr>
            </w:pPr>
            <w:r>
              <w:rPr>
                <w:rFonts w:hint="eastAsia" w:ascii="宋体" w:eastAsia="宋体" w:cs="宋体"/>
                <w:color w:val="auto"/>
                <w:kern w:val="2"/>
                <w:sz w:val="24"/>
                <w:szCs w:val="20"/>
                <w:highlight w:val="none"/>
                <w:lang w:val="zh-CN" w:eastAsia="zh-CN"/>
              </w:rPr>
              <w:t>提供投标供应商的由行政主管部门颁发的有效期内的安全生产许可证书复印件加盖公章</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6D92D0A5">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6E0DDD7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C1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4C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C3DA1C9">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124BD923">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4C3892CE">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3B3C889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9"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9"/>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0" w:name="_Hlk129703716"/>
    </w:p>
    <w:bookmarkEnd w:id="10"/>
    <w:p w14:paraId="638EEBFE">
      <w:pPr>
        <w:snapToGrid w:val="0"/>
        <w:spacing w:line="420" w:lineRule="exact"/>
        <w:jc w:val="center"/>
        <w:outlineLvl w:val="4"/>
        <w:rPr>
          <w:rFonts w:ascii="宋体"/>
          <w:b/>
          <w:bCs/>
          <w:color w:val="auto"/>
          <w:sz w:val="24"/>
          <w:szCs w:val="24"/>
          <w:highlight w:val="none"/>
        </w:rPr>
      </w:pPr>
      <w:r>
        <w:rPr>
          <w:rFonts w:ascii="宋体"/>
          <w:b/>
          <w:bCs/>
          <w:color w:val="auto"/>
          <w:sz w:val="24"/>
          <w:szCs w:val="24"/>
          <w:highlight w:val="none"/>
        </w:rPr>
        <w:t>2</w:t>
      </w:r>
      <w:r>
        <w:rPr>
          <w:rFonts w:hint="eastAsia" w:ascii="宋体"/>
          <w:b/>
          <w:bCs/>
          <w:color w:val="auto"/>
          <w:sz w:val="24"/>
          <w:szCs w:val="24"/>
          <w:highlight w:val="none"/>
        </w:rPr>
        <w:t>、法定代表人授权委托书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
        <w:tabs>
          <w:tab w:val="left" w:pos="2020"/>
          <w:tab w:val="center" w:pos="4535"/>
        </w:tabs>
        <w:rPr>
          <w:rFonts w:hint="eastAsia" w:ascii="宋体" w:cs="仿宋"/>
          <w:bCs/>
          <w:color w:val="auto"/>
          <w:kern w:val="0"/>
          <w:sz w:val="24"/>
          <w:szCs w:val="24"/>
          <w:highlight w:val="none"/>
        </w:rPr>
      </w:pPr>
    </w:p>
    <w:p w14:paraId="66BB3F5D">
      <w:pPr>
        <w:pStyle w:val="2"/>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仿宋"/>
          <w:color w:val="auto"/>
          <w:kern w:val="0"/>
          <w:sz w:val="24"/>
          <w:szCs w:val="24"/>
          <w:highlight w:val="none"/>
          <w:lang w:eastAsia="zh-CN"/>
        </w:rPr>
        <w:t>2024年12月-2025年2月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0EEB3111">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p>
    <w:p w14:paraId="42AA40CF">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sz w:val="28"/>
          <w:szCs w:val="28"/>
          <w:highlight w:val="none"/>
          <w:lang w:val="en-US"/>
        </w:rPr>
      </w:pPr>
      <w:r>
        <w:rPr>
          <w:rFonts w:hint="eastAsia" w:ascii="宋体" w:cs="宋体"/>
          <w:b/>
          <w:bCs w:val="0"/>
          <w:color w:val="auto"/>
          <w:kern w:val="2"/>
          <w:sz w:val="28"/>
          <w:szCs w:val="28"/>
          <w:highlight w:val="none"/>
          <w:lang w:val="en-US" w:eastAsia="zh-CN"/>
        </w:rPr>
        <w:t>3、</w:t>
      </w:r>
      <w:bookmarkStart w:id="11" w:name="_Hlk129703696"/>
      <w:r>
        <w:rPr>
          <w:rFonts w:hint="eastAsia" w:ascii="宋体" w:eastAsia="宋体" w:cs="宋体"/>
          <w:b/>
          <w:bCs w:val="0"/>
          <w:color w:val="auto"/>
          <w:kern w:val="2"/>
          <w:sz w:val="28"/>
          <w:szCs w:val="28"/>
          <w:highlight w:val="none"/>
          <w:lang w:val="en-US" w:eastAsia="zh-CN"/>
        </w:rPr>
        <w:t>供应商符合资格条件的声明函</w:t>
      </w:r>
      <w:bookmarkEnd w:id="11"/>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7118195">
      <w:pPr>
        <w:keepNext w:val="0"/>
        <w:keepLines w:val="0"/>
        <w:pageBreakBefore w:val="0"/>
        <w:widowControl w:val="0"/>
        <w:kinsoku/>
        <w:wordWrap/>
        <w:overflowPunct/>
        <w:topLinePunct w:val="0"/>
        <w:bidi w:val="0"/>
        <w:snapToGrid w:val="0"/>
        <w:spacing w:line="360" w:lineRule="auto"/>
        <w:ind w:left="839" w:hanging="984" w:hangingChars="350"/>
        <w:jc w:val="center"/>
        <w:rPr>
          <w:b/>
          <w:color w:val="auto"/>
          <w:kern w:val="44"/>
          <w:sz w:val="28"/>
          <w:szCs w:val="28"/>
          <w:highlight w:val="none"/>
        </w:rPr>
      </w:pPr>
      <w:r>
        <w:rPr>
          <w:rFonts w:hint="eastAsia"/>
          <w:b/>
          <w:color w:val="auto"/>
          <w:kern w:val="44"/>
          <w:sz w:val="28"/>
          <w:szCs w:val="28"/>
          <w:highlight w:val="none"/>
          <w:lang w:val="en-US" w:eastAsia="zh-CN"/>
        </w:rPr>
        <w:t>4、</w:t>
      </w:r>
      <w:r>
        <w:rPr>
          <w:rFonts w:hint="eastAsia"/>
          <w:b/>
          <w:color w:val="auto"/>
          <w:kern w:val="44"/>
          <w:sz w:val="28"/>
          <w:szCs w:val="28"/>
          <w:highlight w:val="none"/>
        </w:rPr>
        <w:t>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r>
        <w:rPr>
          <w:rFonts w:hint="eastAsia" w:ascii="宋体" w:cs="宋体"/>
          <w:color w:val="auto"/>
          <w:sz w:val="24"/>
          <w:highlight w:val="none"/>
        </w:rPr>
        <w:t>法定代表人：（签字或盖章）</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eastAsia" w:ascii="宋体" w:cs="仿宋_GB2312"/>
          <w:b/>
          <w:bCs/>
          <w:color w:val="auto"/>
          <w:sz w:val="32"/>
          <w:szCs w:val="32"/>
          <w:highlight w:val="none"/>
          <w:lang w:val="en-US" w:eastAsia="zh-CN"/>
        </w:rPr>
      </w:pPr>
      <w:r>
        <w:rPr>
          <w:rFonts w:hint="eastAsia" w:ascii="宋体" w:cs="仿宋_GB2312"/>
          <w:b/>
          <w:bCs/>
          <w:color w:val="auto"/>
          <w:sz w:val="32"/>
          <w:szCs w:val="32"/>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ascii="宋体" w:cs="仿宋"/>
          <w:color w:val="auto"/>
          <w:kern w:val="0"/>
          <w:sz w:val="24"/>
          <w:highlight w:val="none"/>
        </w:rPr>
      </w:pPr>
      <w:r>
        <w:rPr>
          <w:rFonts w:hint="eastAsia" w:ascii="宋体" w:cs="仿宋"/>
          <w:color w:val="auto"/>
          <w:kern w:val="0"/>
          <w:sz w:val="24"/>
          <w:highlight w:val="none"/>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073B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7A5E5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color w:val="auto"/>
                <w:sz w:val="24"/>
                <w:szCs w:val="24"/>
                <w:highlight w:val="none"/>
                <w:lang w:val="en-US"/>
              </w:rPr>
            </w:pPr>
            <w:r>
              <w:rPr>
                <w:rFonts w:hint="eastAsia" w:ascii="宋体" w:eastAsia="宋体" w:cs="Times New Roman"/>
                <w:color w:val="auto"/>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4D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4"/>
                <w:highlight w:val="none"/>
                <w:lang w:val="en-US" w:eastAsia="zh-CN"/>
              </w:rPr>
            </w:pPr>
            <w:r>
              <w:rPr>
                <w:rFonts w:hint="eastAsia" w:ascii="宋体" w:cs="仿宋"/>
                <w:color w:val="auto"/>
                <w:kern w:val="0"/>
                <w:sz w:val="24"/>
                <w:highlight w:val="none"/>
                <w:lang w:val="en-US" w:eastAsia="zh-CN"/>
              </w:rPr>
              <w:t>投标</w:t>
            </w:r>
            <w:r>
              <w:rPr>
                <w:rFonts w:hint="eastAsia" w:ascii="宋体" w:cs="仿宋"/>
                <w:color w:val="auto"/>
                <w:kern w:val="0"/>
                <w:sz w:val="24"/>
                <w:highlight w:val="none"/>
              </w:rPr>
              <w:t>综合优惠率</w:t>
            </w:r>
            <w:r>
              <w:rPr>
                <w:rFonts w:hint="eastAsia" w:ascii="宋体" w:cs="仿宋"/>
                <w:color w:val="auto"/>
                <w:kern w:val="0"/>
                <w:sz w:val="24"/>
                <w:highlight w:val="none"/>
                <w:lang w:eastAsia="zh-CN"/>
              </w:rPr>
              <w:t>（</w:t>
            </w:r>
            <w:r>
              <w:rPr>
                <w:rFonts w:hint="eastAsia" w:ascii="宋体" w:cs="仿宋"/>
                <w:color w:val="auto"/>
                <w:kern w:val="0"/>
                <w:sz w:val="24"/>
                <w:highlight w:val="none"/>
                <w:lang w:val="en-US" w:eastAsia="zh-CN"/>
              </w:rPr>
              <w:t>%</w:t>
            </w:r>
            <w:r>
              <w:rPr>
                <w:rFonts w:hint="eastAsia" w:ascii="宋体" w:cs="仿宋"/>
                <w:color w:val="auto"/>
                <w:kern w:val="0"/>
                <w:sz w:val="24"/>
                <w:highlight w:val="none"/>
                <w:lang w:eastAsia="zh-CN"/>
              </w:rPr>
              <w:t>）</w:t>
            </w:r>
          </w:p>
        </w:tc>
      </w:tr>
      <w:tr w14:paraId="2D3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13A8E">
            <w:pPr>
              <w:rPr>
                <w:color w:val="auto"/>
                <w:highlight w:val="none"/>
              </w:rPr>
            </w:pP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21C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sz w:val="24"/>
                <w:szCs w:val="24"/>
                <w:highlight w:val="none"/>
                <w:u w:val="single"/>
                <w:lang w:val="en-US" w:eastAsia="zh-CN"/>
              </w:rPr>
            </w:pPr>
          </w:p>
        </w:tc>
      </w:tr>
    </w:tbl>
    <w:p w14:paraId="108D8049">
      <w:pPr>
        <w:pStyle w:val="3"/>
        <w:rPr>
          <w:rFonts w:hint="eastAsia" w:eastAsia="宋体"/>
          <w:color w:val="auto"/>
          <w:highlight w:val="none"/>
          <w:lang w:eastAsia="zh-CN"/>
        </w:rPr>
      </w:pPr>
      <w:r>
        <w:rPr>
          <w:rFonts w:hint="eastAsia"/>
          <w:color w:val="auto"/>
          <w:highlight w:val="none"/>
          <w:lang w:val="en-US" w:eastAsia="zh-CN"/>
        </w:rPr>
        <w:t>注：</w:t>
      </w:r>
      <w:r>
        <w:rPr>
          <w:rFonts w:hint="eastAsia"/>
          <w:color w:val="auto"/>
          <w:highlight w:val="none"/>
        </w:rPr>
        <w:t>报价综合优惠率最多保留小数点后一位（示例：14.3%）</w:t>
      </w:r>
      <w:r>
        <w:rPr>
          <w:rFonts w:hint="eastAsia"/>
          <w:color w:val="auto"/>
          <w:highlight w:val="none"/>
          <w:lang w:eastAsia="zh-CN"/>
        </w:rPr>
        <w:t>。</w:t>
      </w:r>
    </w:p>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1A89273E">
      <w:pPr>
        <w:pStyle w:val="24"/>
        <w:ind w:left="0" w:leftChars="0" w:firstLine="0" w:firstLineChars="0"/>
        <w:rPr>
          <w:rFonts w:hint="eastAsia"/>
          <w:color w:val="auto"/>
          <w:highlight w:val="none"/>
          <w:lang w:val="en-US" w:eastAsia="zh-CN"/>
        </w:rPr>
      </w:pPr>
    </w:p>
    <w:p w14:paraId="3E90B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p w14:paraId="19F4DE72">
      <w:pPr>
        <w:snapToGrid w:val="0"/>
        <w:spacing w:line="360" w:lineRule="auto"/>
        <w:outlineLvl w:val="0"/>
        <w:rPr>
          <w:rFonts w:ascii="宋体" w:eastAsia="宋体"/>
          <w:color w:val="auto"/>
          <w:sz w:val="28"/>
          <w:szCs w:val="28"/>
          <w:highlight w:val="none"/>
        </w:rPr>
      </w:pPr>
    </w:p>
    <w:p w14:paraId="6D62CB10">
      <w:pPr>
        <w:pStyle w:val="2"/>
        <w:rPr>
          <w:rFonts w:ascii="宋体" w:eastAsia="宋体"/>
          <w:color w:val="auto"/>
          <w:sz w:val="28"/>
          <w:szCs w:val="28"/>
          <w:highlight w:val="none"/>
        </w:rPr>
      </w:pP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1C0B9E-5AE9-416D-BB10-06D0FCA94B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C5124E-BE36-4715-848D-7B090715E9C4}"/>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3" w:fontKey="{C338FE5F-FEC2-49F5-B0D8-13E59C8D9FE9}"/>
  </w:font>
  <w:font w:name="仿宋">
    <w:panose1 w:val="02010609060101010101"/>
    <w:charset w:val="86"/>
    <w:family w:val="modern"/>
    <w:pitch w:val="default"/>
    <w:sig w:usb0="800002BF" w:usb1="38CF7CFA" w:usb2="00000016" w:usb3="00000000" w:csb0="00040001" w:csb1="00000000"/>
    <w:embedRegular r:id="rId4" w:fontKey="{935E4BA2-590B-4CE6-A373-0478A2E1E91C}"/>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371D68A4-FE38-4E8C-B28E-383607C19B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8"/>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8"/>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20"/>
      <w:pBdr>
        <w:bottom w:val="none" w:color="auto" w:sz="0" w:space="0"/>
      </w:pBdr>
      <w:jc w:val="left"/>
    </w:pPr>
    <w:r>
      <w:rPr>
        <w:rFonts w:hint="eastAsia" w:ascii="宋体" w:eastAsia="宋体" w:cs="宋体"/>
        <w:kern w:val="0"/>
        <w:sz w:val="16"/>
        <w:szCs w:val="16"/>
        <w:u w:val="single"/>
      </w:rPr>
      <w:t>南通市市政设施管理处</w:t>
    </w:r>
    <w:r>
      <w:rPr>
        <w:rFonts w:hint="eastAsia" w:ascii="宋体" w:cs="宋体"/>
        <w:kern w:val="0"/>
        <w:sz w:val="16"/>
        <w:szCs w:val="16"/>
        <w:u w:val="single"/>
        <w:lang w:val="en-US" w:eastAsia="zh-CN"/>
      </w:rPr>
      <w:t>沥青混凝土应急采购项目（重新采购）</w:t>
    </w:r>
    <w:r>
      <w:rPr>
        <w:rFonts w:hint="eastAsia" w:ascii="宋体" w:eastAsia="宋体" w:cs="宋体"/>
        <w:kern w:val="0"/>
        <w:sz w:val="16"/>
        <w:szCs w:val="16"/>
        <w:u w:val="single"/>
      </w:rPr>
      <w:t xml:space="preserve">    </w:t>
    </w:r>
    <w:r>
      <w:rPr>
        <w:rFonts w:hint="eastAsia" w:ascii="宋体" w:cs="宋体"/>
        <w:kern w:val="0"/>
        <w:sz w:val="16"/>
        <w:szCs w:val="16"/>
        <w:u w:val="single"/>
        <w:lang w:val="en-US" w:eastAsia="zh-CN"/>
      </w:rPr>
      <w:t xml:space="preserve">       </w:t>
    </w:r>
    <w:r>
      <w:rPr>
        <w:rFonts w:hint="eastAsia" w:ascii="宋体" w:eastAsia="宋体" w:cs="宋体"/>
        <w:kern w:val="0"/>
        <w:sz w:val="20"/>
        <w:szCs w:val="20"/>
        <w:u w:val="single"/>
      </w:rPr>
      <w:t xml:space="preserve">   </w:t>
    </w:r>
    <w:r>
      <w:rPr>
        <w:rFonts w:hint="eastAsia" w:ascii="宋体" w:eastAsia="宋体" w:cs="宋体"/>
        <w:kern w:val="0"/>
        <w:sz w:val="20"/>
        <w:szCs w:val="20"/>
        <w:u w:val="single"/>
        <w:lang w:val="en-US" w:eastAsia="zh-CN"/>
      </w:rPr>
      <w:t xml:space="preserve">   </w:t>
    </w:r>
    <w:r>
      <w:rPr>
        <w:rFonts w:hint="eastAsia" w:ascii="宋体" w:eastAsia="宋体" w:cs="宋体"/>
        <w:kern w:val="0"/>
        <w:sz w:val="16"/>
        <w:szCs w:val="16"/>
        <w:u w:val="single"/>
        <w:lang w:val="en-US" w:eastAsia="zh-CN"/>
      </w:rPr>
      <w:t xml:space="preserve">   </w:t>
    </w:r>
    <w:r>
      <w:rPr>
        <w:rFonts w:hint="eastAsia" w:ascii="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采购</w:t>
    </w:r>
    <w:r>
      <w:rPr>
        <w:rFonts w:hint="eastAsia" w:ascii="宋体" w:eastAsia="宋体" w:cs="宋体"/>
        <w:kern w:val="0"/>
        <w:sz w:val="16"/>
        <w:szCs w:val="16"/>
        <w:u w:val="single"/>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94BBB136"/>
    <w:multiLevelType w:val="singleLevel"/>
    <w:tmpl w:val="94BBB136"/>
    <w:lvl w:ilvl="0" w:tentative="0">
      <w:start w:val="2"/>
      <w:numFmt w:val="decimal"/>
      <w:suff w:val="nothing"/>
      <w:lvlText w:val="（%1）"/>
      <w:lvlJc w:val="left"/>
    </w:lvl>
  </w:abstractNum>
  <w:abstractNum w:abstractNumId="2">
    <w:nsid w:val="EB00BC25"/>
    <w:multiLevelType w:val="singleLevel"/>
    <w:tmpl w:val="EB00BC25"/>
    <w:lvl w:ilvl="0" w:tentative="0">
      <w:start w:val="3"/>
      <w:numFmt w:val="chineseCounting"/>
      <w:suff w:val="nothing"/>
      <w:lvlText w:val="（%1）"/>
      <w:lvlJc w:val="left"/>
      <w:rPr>
        <w:rFonts w:hint="eastAsia"/>
      </w:rPr>
    </w:lvl>
  </w:abstractNum>
  <w:abstractNum w:abstractNumId="3">
    <w:nsid w:val="0DA481D8"/>
    <w:multiLevelType w:val="singleLevel"/>
    <w:tmpl w:val="0DA481D8"/>
    <w:lvl w:ilvl="0" w:tentative="0">
      <w:start w:val="3"/>
      <w:numFmt w:val="chineseCounting"/>
      <w:suff w:val="nothing"/>
      <w:lvlText w:val="（%1）"/>
      <w:lvlJc w:val="left"/>
      <w:rPr>
        <w:rFonts w:hint="eastAsia"/>
      </w:rPr>
    </w:lvl>
  </w:abstractNum>
  <w:abstractNum w:abstractNumId="4">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5">
    <w:nsid w:val="6B5D0246"/>
    <w:multiLevelType w:val="singleLevel"/>
    <w:tmpl w:val="6B5D0246"/>
    <w:lvl w:ilvl="0" w:tentative="0">
      <w:start w:val="2"/>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E906D47"/>
    <w:rsid w:val="12ED667D"/>
    <w:rsid w:val="21E32DBA"/>
    <w:rsid w:val="2BF650EA"/>
    <w:rsid w:val="301074AD"/>
    <w:rsid w:val="339C62D3"/>
    <w:rsid w:val="369562F3"/>
    <w:rsid w:val="4B553630"/>
    <w:rsid w:val="77FD627F"/>
    <w:rsid w:val="788E7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9">
    <w:name w:val="heading 4"/>
    <w:basedOn w:val="1"/>
    <w:next w:val="1"/>
    <w:autoRedefine/>
    <w:qFormat/>
    <w:uiPriority w:val="0"/>
    <w:pPr>
      <w:keepNext/>
      <w:widowControl w:val="0"/>
      <w:jc w:val="center"/>
      <w:outlineLvl w:val="3"/>
    </w:pPr>
    <w:rPr>
      <w:rFonts w:eastAsia="新宋体"/>
      <w:sz w:val="30"/>
      <w:szCs w:val="21"/>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100" w:firstLineChars="100"/>
    </w:p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autoRedefine/>
    <w:qFormat/>
    <w:uiPriority w:val="0"/>
    <w:pPr>
      <w:ind w:firstLine="420"/>
    </w:pPr>
    <w:rPr>
      <w:szCs w:val="20"/>
    </w:rPr>
  </w:style>
  <w:style w:type="paragraph" w:styleId="11">
    <w:name w:val="Document Map"/>
    <w:basedOn w:val="1"/>
    <w:autoRedefine/>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Indent"/>
    <w:basedOn w:val="1"/>
    <w:autoRedefine/>
    <w:qFormat/>
    <w:uiPriority w:val="0"/>
    <w:pPr>
      <w:spacing w:after="120"/>
      <w:ind w:left="200" w:leftChars="200"/>
    </w:p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2"/>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2"/>
    <w:basedOn w:val="14"/>
    <w:autoRedefine/>
    <w:qFormat/>
    <w:uiPriority w:val="0"/>
    <w:pPr>
      <w:ind w:firstLine="200" w:firstLineChars="200"/>
    </w:p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8"/>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25</Pages>
  <Words>62</Words>
  <Characters>75</Characters>
  <Lines>922</Lines>
  <Paragraphs>500</Paragraphs>
  <TotalTime>39</TotalTime>
  <ScaleCrop>false</ScaleCrop>
  <LinksUpToDate>false</LinksUpToDate>
  <CharactersWithSpaces>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ZYW</cp:lastModifiedBy>
  <cp:lastPrinted>2025-03-24T06:34:09Z</cp:lastPrinted>
  <dcterms:modified xsi:type="dcterms:W3CDTF">2025-03-24T06:57:52Z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62757D36FE3543F795029B8FA6354E6F_13</vt:lpwstr>
  </property>
  <property fmtid="{D5CDD505-2E9C-101B-9397-08002B2CF9AE}" pid="4" name="KSOTemplateDocerSaveRecord">
    <vt:lpwstr>eyJoZGlkIjoiOTdhYzRjNDdhNDc3NjU0NzgxYTY5YTRlYWVlNDQwZmQiLCJ1c2VySWQiOiI1MTQ0MjA1In0=</vt:lpwstr>
  </property>
</Properties>
</file>