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before="136" w:line="169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一</w:t>
      </w:r>
      <w:r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  <w:t xml:space="preserve"> 、  吊钩可视化性能参数</w:t>
      </w:r>
    </w:p>
    <w:tbl>
      <w:tblPr>
        <w:tblStyle w:val="4"/>
        <w:tblW w:w="967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877"/>
        <w:gridCol w:w="7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04" w:type="dxa"/>
            <w:gridSpan w:val="2"/>
            <w:tcBorders>
              <w:lef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spacing w:before="102" w:line="210" w:lineRule="auto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4"/>
                <w:sz w:val="32"/>
                <w:szCs w:val="32"/>
                <w:shd w:val="clear" w:color="auto" w:fill="auto"/>
              </w:rPr>
              <w:t>内容</w:t>
            </w:r>
          </w:p>
        </w:tc>
        <w:tc>
          <w:tcPr>
            <w:tcW w:w="7768" w:type="dxa"/>
            <w:tcBorders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spacing w:before="103" w:line="209" w:lineRule="auto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3"/>
                <w:sz w:val="32"/>
                <w:szCs w:val="32"/>
                <w:shd w:val="clear" w:color="auto" w:fill="auto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4" w:type="dxa"/>
            <w:gridSpan w:val="2"/>
            <w:tcBorders>
              <w:left w:val="single" w:color="000000" w:sz="6" w:space="0"/>
            </w:tcBorders>
            <w:shd w:val="clear" w:color="auto" w:fill="D9D9D9"/>
            <w:noWrap w:val="0"/>
            <w:vAlign w:val="top"/>
          </w:tcPr>
          <w:p>
            <w:pPr>
              <w:spacing w:before="97" w:line="210" w:lineRule="auto"/>
              <w:ind w:left="122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7"/>
                <w:sz w:val="21"/>
                <w:szCs w:val="21"/>
                <w:shd w:val="clear" w:color="auto" w:fill="auto"/>
              </w:rPr>
              <w:t>物联网通讯形式</w:t>
            </w:r>
          </w:p>
        </w:tc>
        <w:tc>
          <w:tcPr>
            <w:tcW w:w="7768" w:type="dxa"/>
            <w:tcBorders>
              <w:right w:val="single" w:color="000000" w:sz="6" w:space="0"/>
            </w:tcBorders>
            <w:shd w:val="clear" w:color="auto" w:fill="D9D9D9"/>
            <w:noWrap w:val="0"/>
            <w:vAlign w:val="top"/>
          </w:tcPr>
          <w:p>
            <w:pPr>
              <w:spacing w:before="97" w:line="209" w:lineRule="auto"/>
              <w:ind w:left="2598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21"/>
                <w:szCs w:val="21"/>
                <w:shd w:val="clear" w:color="auto" w:fill="auto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auto"/>
              </w:rPr>
              <w:t>G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21"/>
                <w:szCs w:val="21"/>
                <w:shd w:val="clear" w:color="auto" w:fill="auto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1"/>
                <w:szCs w:val="21"/>
                <w:shd w:val="clear" w:color="auto" w:fill="auto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auto"/>
              </w:rPr>
              <w:t>G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1"/>
                <w:szCs w:val="21"/>
                <w:shd w:val="clear" w:color="auto" w:fill="auto"/>
              </w:rPr>
              <w:t xml:space="preserve"> 网络或无线网桥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027" w:type="dxa"/>
            <w:vMerge w:val="restart"/>
            <w:tcBorders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spacing w:line="444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before="99" w:line="209" w:lineRule="auto"/>
              <w:ind w:left="148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1"/>
                <w:szCs w:val="21"/>
              </w:rPr>
              <w:t>摄像头</w:t>
            </w:r>
          </w:p>
          <w:p>
            <w:pPr>
              <w:tabs>
                <w:tab w:val="left" w:pos="252"/>
              </w:tabs>
              <w:spacing w:before="89" w:line="281" w:lineRule="auto"/>
              <w:ind w:left="289" w:right="154" w:hanging="152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21"/>
                <w:szCs w:val="21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spacing w:val="1"/>
                <w:sz w:val="21"/>
                <w:szCs w:val="21"/>
              </w:rPr>
              <w:t xml:space="preserve"> 二选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8"/>
                <w:sz w:val="21"/>
                <w:szCs w:val="21"/>
              </w:rPr>
              <w:t>一</w:t>
            </w:r>
            <w:r>
              <w:rPr>
                <w:rFonts w:hint="eastAsia" w:ascii="方正黑体_GBK" w:hAnsi="方正黑体_GBK" w:eastAsia="方正黑体_GBK" w:cs="方正黑体_GBK"/>
                <w:spacing w:val="-6"/>
                <w:sz w:val="21"/>
                <w:szCs w:val="21"/>
              </w:rPr>
              <w:t xml:space="preserve"> )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before="99" w:line="21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21"/>
                <w:szCs w:val="21"/>
              </w:rPr>
              <w:t>小车版</w:t>
            </w:r>
          </w:p>
        </w:tc>
        <w:tc>
          <w:tcPr>
            <w:tcW w:w="776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before="70" w:line="254" w:lineRule="auto"/>
              <w:ind w:left="22" w:right="65" w:firstLine="12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18 倍及以上光学变倍，分辨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率200W 以上，宽动态: 120 dB 超宽动态，最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小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照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度:0.002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Lux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  <w:lang w:val="en-US" w:eastAsia="zh-CN"/>
              </w:rPr>
              <w:t>@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F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1.2,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AGC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ON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 xml:space="preserve">) ,0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Lux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with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IR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，连续工作时长≥24小时,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1"/>
                <w:szCs w:val="21"/>
              </w:rPr>
              <w:t>充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电时长≤10 小时。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2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before="319" w:line="209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6"/>
                <w:sz w:val="21"/>
                <w:szCs w:val="21"/>
              </w:rPr>
              <w:t>球</w:t>
            </w:r>
            <w:r>
              <w:rPr>
                <w:rFonts w:hint="eastAsia" w:ascii="方正黑体_GBK" w:hAnsi="方正黑体_GBK" w:eastAsia="方正黑体_GBK" w:cs="方正黑体_GBK"/>
                <w:spacing w:val="5"/>
                <w:sz w:val="21"/>
                <w:szCs w:val="21"/>
              </w:rPr>
              <w:t>机版</w:t>
            </w:r>
          </w:p>
        </w:tc>
        <w:tc>
          <w:tcPr>
            <w:tcW w:w="776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before="73" w:line="248" w:lineRule="auto"/>
              <w:ind w:left="18" w:right="10" w:hanging="6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23倍及以上光学变倍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辨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率 200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 xml:space="preserve"> 以上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 xml:space="preserve"> 宽动态: 120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dB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超宽动态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最低照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度: 彩色：0.005 Lux 黑白：0.001Lux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0 Lux with I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R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04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before="101" w:line="212" w:lineRule="auto"/>
              <w:ind w:left="601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1"/>
                <w:szCs w:val="21"/>
              </w:rPr>
              <w:t>显</w:t>
            </w:r>
            <w:r>
              <w:rPr>
                <w:rFonts w:hint="eastAsia" w:ascii="方正黑体_GBK" w:hAnsi="方正黑体_GBK" w:eastAsia="方正黑体_GBK" w:cs="方正黑体_GBK"/>
                <w:spacing w:val="3"/>
                <w:sz w:val="21"/>
                <w:szCs w:val="21"/>
              </w:rPr>
              <w:t>示器</w:t>
            </w:r>
          </w:p>
        </w:tc>
        <w:tc>
          <w:tcPr>
            <w:tcW w:w="776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before="74" w:line="234" w:lineRule="auto"/>
              <w:ind w:left="35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 xml:space="preserve">寸以上，屏幕亮度达到 300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cd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³以上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保证司机能正常看清。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36" w:line="169" w:lineRule="auto"/>
        <w:jc w:val="center"/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  <w:t>二 、  吊钩可视化主要功能参数</w:t>
      </w:r>
    </w:p>
    <w:p>
      <w:pPr>
        <w:spacing w:line="169" w:lineRule="exact"/>
      </w:pPr>
    </w:p>
    <w:tbl>
      <w:tblPr>
        <w:tblStyle w:val="4"/>
        <w:tblW w:w="967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72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6" w:type="dxa"/>
            <w:shd w:val="clear" w:color="auto" w:fill="D9D9D9"/>
            <w:noWrap w:val="0"/>
            <w:vAlign w:val="top"/>
          </w:tcPr>
          <w:p>
            <w:pPr>
              <w:spacing w:before="102" w:line="309" w:lineRule="exact"/>
              <w:ind w:left="7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-14"/>
                <w:sz w:val="32"/>
                <w:szCs w:val="32"/>
              </w:rPr>
              <w:t>内容</w:t>
            </w:r>
          </w:p>
        </w:tc>
        <w:tc>
          <w:tcPr>
            <w:tcW w:w="7296" w:type="dxa"/>
            <w:shd w:val="clear" w:color="auto" w:fill="D9D9D9"/>
            <w:noWrap w:val="0"/>
            <w:vAlign w:val="top"/>
          </w:tcPr>
          <w:p>
            <w:pPr>
              <w:spacing w:before="102" w:line="311" w:lineRule="exact"/>
              <w:ind w:left="34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-14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before="97" w:line="210" w:lineRule="auto"/>
              <w:ind w:left="122"/>
              <w:jc w:val="both"/>
              <w:rPr>
                <w:rFonts w:hint="eastAsia" w:ascii="方正黑体_GBK" w:hAnsi="方正黑体_GBK" w:eastAsia="方正黑体_GBK" w:cs="方正黑体_GBK"/>
                <w:spacing w:val="7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1"/>
                <w:szCs w:val="21"/>
              </w:rPr>
              <w:t>实时吊钩跟踪 (必选)</w:t>
            </w:r>
          </w:p>
        </w:tc>
        <w:tc>
          <w:tcPr>
            <w:tcW w:w="7296" w:type="dxa"/>
            <w:noWrap w:val="0"/>
            <w:vAlign w:val="top"/>
          </w:tcPr>
          <w:p>
            <w:pPr>
              <w:spacing w:before="239" w:line="230" w:lineRule="auto"/>
              <w:ind w:left="31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>实时跟踪吊钩位置，让司机能够清晰的看清吊钩周围环境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76" w:type="dxa"/>
            <w:noWrap w:val="0"/>
            <w:vAlign w:val="center"/>
          </w:tcPr>
          <w:p>
            <w:pPr>
              <w:spacing w:before="97" w:line="210" w:lineRule="auto"/>
              <w:ind w:left="122"/>
              <w:jc w:val="both"/>
              <w:rPr>
                <w:rFonts w:hint="eastAsia" w:ascii="方正黑体_GBK" w:hAnsi="方正黑体_GBK" w:eastAsia="方正黑体_GBK" w:cs="方正黑体_GBK"/>
                <w:spacing w:val="7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1"/>
                <w:szCs w:val="21"/>
              </w:rPr>
              <w:t>实时吊钩监视 (必选)</w:t>
            </w:r>
          </w:p>
        </w:tc>
        <w:tc>
          <w:tcPr>
            <w:tcW w:w="7296" w:type="dxa"/>
            <w:noWrap w:val="0"/>
            <w:vAlign w:val="top"/>
          </w:tcPr>
          <w:p>
            <w:pPr>
              <w:spacing w:before="114" w:line="229" w:lineRule="auto"/>
              <w:ind w:left="3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将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实时吊钩视频接入项目智慧工地平台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  <w:lang w:eastAsia="zh-CN"/>
              </w:rPr>
              <w:t>或塔式起重机安全监控系统管理平台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，平台可监视实时吊钩视频。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76" w:type="dxa"/>
            <w:noWrap w:val="0"/>
            <w:vAlign w:val="center"/>
          </w:tcPr>
          <w:p>
            <w:pPr>
              <w:spacing w:before="97" w:line="210" w:lineRule="auto"/>
              <w:ind w:left="122"/>
              <w:jc w:val="both"/>
              <w:rPr>
                <w:rFonts w:hint="eastAsia" w:ascii="方正黑体_GBK" w:hAnsi="方正黑体_GBK" w:eastAsia="方正黑体_GBK" w:cs="方正黑体_GBK"/>
                <w:spacing w:val="7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1"/>
                <w:szCs w:val="21"/>
              </w:rPr>
              <w:t>吊钩跟踪录像 (必选)</w:t>
            </w:r>
          </w:p>
        </w:tc>
        <w:tc>
          <w:tcPr>
            <w:tcW w:w="7296" w:type="dxa"/>
            <w:noWrap w:val="0"/>
            <w:vAlign w:val="top"/>
          </w:tcPr>
          <w:p>
            <w:pPr>
              <w:spacing w:before="207" w:line="230" w:lineRule="auto"/>
              <w:ind w:left="3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6"/>
                <w:sz w:val="21"/>
                <w:szCs w:val="21"/>
              </w:rPr>
              <w:t>可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1"/>
                <w:szCs w:val="21"/>
              </w:rPr>
              <w:t>录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制、保存近一个月的吊钩周围环境视频。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NzEyMDVkNWE2Mzk0YTFjOTViYWE5YmNmZWI1NjIifQ=="/>
  </w:docVars>
  <w:rsids>
    <w:rsidRoot w:val="00000000"/>
    <w:rsid w:val="30D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2023-03-01T01:15:04Z</dcterms:created>
  <dc:creator>user</dc:creator>
  <cp:lastModifiedBy>唂唂</cp:lastModifiedBy>
  <dcterms:modified xsi:type="dcterms:W3CDTF">2023-03-01T01:15:19Z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36496C585FA94CEE83B28AB1131B5945</vt:lpwstr>
  </property>
</Properties>
</file>