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kern w:val="0"/>
          <w:sz w:val="32"/>
          <w:szCs w:val="32"/>
        </w:rPr>
        <w:sectPr>
          <w:headerReference r:id="rId3" w:type="first"/>
          <w:footerReference r:id="rId5" w:type="first"/>
          <w:footerReference r:id="rId4" w:type="default"/>
          <w:pgSz w:w="11906" w:h="16838"/>
          <w:pgMar w:top="1440" w:right="1800" w:bottom="1440" w:left="1800" w:header="851" w:footer="992" w:gutter="0"/>
          <w:pgNumType w:fmt="decimal"/>
          <w:cols w:space="425" w:num="1"/>
          <w:docGrid w:type="lines" w:linePitch="312" w:charSpace="0"/>
        </w:sectPr>
      </w:pPr>
      <w:bookmarkStart w:id="0" w:name="_GoBack"/>
      <w:bookmarkEnd w:id="0"/>
    </w:p>
    <w:p>
      <w:pPr>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spacing w:line="560" w:lineRule="exact"/>
        <w:jc w:val="center"/>
        <w:rPr>
          <w:rFonts w:hint="eastAsia" w:ascii="Times New Roman" w:hAnsi="Times New Roman" w:eastAsia="方正小标宋_GBK" w:cs="Times New Roman"/>
          <w:color w:val="333333"/>
          <w:sz w:val="44"/>
          <w:szCs w:val="44"/>
          <w:shd w:val="clear" w:color="auto" w:fill="FFFFFF"/>
          <w:lang w:eastAsia="zh-CN"/>
        </w:rPr>
      </w:pPr>
      <w:r>
        <w:rPr>
          <w:rFonts w:hint="eastAsia" w:ascii="Times New Roman" w:hAnsi="Times New Roman" w:eastAsia="方正小标宋_GBK" w:cs="Times New Roman"/>
          <w:color w:val="333333"/>
          <w:sz w:val="44"/>
          <w:szCs w:val="44"/>
          <w:shd w:val="clear" w:color="auto" w:fill="FFFFFF"/>
          <w:lang w:eastAsia="zh-CN"/>
        </w:rPr>
        <w:t>主城区房屋建筑工程春季安全生产大检查</w:t>
      </w:r>
    </w:p>
    <w:p>
      <w:pPr>
        <w:spacing w:line="560" w:lineRule="exact"/>
        <w:jc w:val="center"/>
        <w:rPr>
          <w:rFonts w:hint="default" w:ascii="Times New Roman" w:hAnsi="Times New Roman" w:eastAsia="方正小标宋_GBK" w:cs="Times New Roman"/>
          <w:color w:val="333333"/>
          <w:sz w:val="44"/>
          <w:szCs w:val="44"/>
          <w:shd w:val="clear" w:color="auto" w:fill="FFFFFF"/>
        </w:rPr>
      </w:pPr>
      <w:r>
        <w:rPr>
          <w:rFonts w:hint="default" w:ascii="Times New Roman" w:hAnsi="Times New Roman" w:eastAsia="方正小标宋_GBK" w:cs="Times New Roman"/>
          <w:color w:val="333333"/>
          <w:sz w:val="44"/>
          <w:szCs w:val="44"/>
          <w:shd w:val="clear" w:color="auto" w:fill="FFFFFF"/>
        </w:rPr>
        <w:t>暨节后复工安全检查</w:t>
      </w:r>
      <w:r>
        <w:rPr>
          <w:rFonts w:hint="eastAsia" w:ascii="Times New Roman" w:hAnsi="Times New Roman" w:eastAsia="方正小标宋_GBK" w:cs="Times New Roman"/>
          <w:color w:val="333333"/>
          <w:sz w:val="44"/>
          <w:szCs w:val="44"/>
          <w:shd w:val="clear" w:color="auto" w:fill="FFFFFF"/>
          <w:lang w:eastAsia="zh-CN"/>
        </w:rPr>
        <w:t>重点检查内容</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节后复工安全生产落实情况</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重点检查参建单位复工复产是否落实</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五个一</w:t>
      </w:r>
      <w:r>
        <w:rPr>
          <w:rFonts w:hint="eastAsia" w:ascii="Times New Roman" w:hAnsi="Times New Roman" w:eastAsia="方正仿宋_GBK" w:cs="Times New Roman"/>
          <w:b/>
          <w:bCs/>
          <w:kern w:val="0"/>
          <w:sz w:val="32"/>
          <w:szCs w:val="32"/>
          <w:lang w:eastAsia="zh-CN"/>
        </w:rPr>
        <w:t>”</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即：</w:t>
      </w:r>
      <w:r>
        <w:rPr>
          <w:rFonts w:hint="default" w:ascii="Times New Roman" w:hAnsi="Times New Roman" w:eastAsia="方正仿宋_GBK" w:cs="Times New Roman"/>
          <w:b/>
          <w:bCs/>
          <w:kern w:val="0"/>
          <w:sz w:val="32"/>
          <w:szCs w:val="32"/>
        </w:rPr>
        <w:t>开展一次安全承诺</w:t>
      </w:r>
      <w:r>
        <w:rPr>
          <w:rFonts w:hint="default" w:ascii="Times New Roman" w:hAnsi="Times New Roman" w:eastAsia="方正仿宋_GBK" w:cs="Times New Roman"/>
          <w:kern w:val="0"/>
          <w:sz w:val="32"/>
          <w:szCs w:val="32"/>
        </w:rPr>
        <w:t>，逐级明确全员岗位安全责任，严格落实安全生产责任承诺制，做到以岗定责、按责履职；</w:t>
      </w:r>
      <w:r>
        <w:rPr>
          <w:rFonts w:hint="default" w:ascii="Times New Roman" w:hAnsi="Times New Roman" w:eastAsia="方正仿宋_GBK" w:cs="Times New Roman"/>
          <w:b/>
          <w:bCs/>
          <w:kern w:val="0"/>
          <w:sz w:val="32"/>
          <w:szCs w:val="32"/>
        </w:rPr>
        <w:t>开展一次全员安全教育</w:t>
      </w:r>
      <w:r>
        <w:rPr>
          <w:rFonts w:hint="default" w:ascii="Times New Roman" w:hAnsi="Times New Roman" w:eastAsia="方正仿宋_GBK" w:cs="Times New Roman"/>
          <w:kern w:val="0"/>
          <w:sz w:val="32"/>
          <w:szCs w:val="32"/>
        </w:rPr>
        <w:t>，对一线作业人员、特种作业人员和安全管理人员组织开展安全知识再教育再培训，特别是对新招录和转岗换岗的员工要严格落实三级安全教育培训制度，确保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不培训不上岗，培训不合格不上岗</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开展一次安全专题班前会</w:t>
      </w:r>
      <w:r>
        <w:rPr>
          <w:rFonts w:hint="default" w:ascii="Times New Roman" w:hAnsi="Times New Roman" w:eastAsia="方正仿宋_GBK" w:cs="Times New Roman"/>
          <w:kern w:val="0"/>
          <w:sz w:val="32"/>
          <w:szCs w:val="32"/>
        </w:rPr>
        <w:t>，组织生产班组开展安全专题班前会，进行安全生产警示教育和安全技术交底，落地落细安全风险管控、隐患排查治理、应急准备处置等措施；</w:t>
      </w:r>
      <w:r>
        <w:rPr>
          <w:rFonts w:hint="default" w:ascii="Times New Roman" w:hAnsi="Times New Roman" w:eastAsia="方正仿宋_GBK" w:cs="Times New Roman"/>
          <w:b/>
          <w:bCs/>
          <w:kern w:val="0"/>
          <w:sz w:val="32"/>
          <w:szCs w:val="32"/>
        </w:rPr>
        <w:t>开展一次全面安全检查</w:t>
      </w:r>
      <w:r>
        <w:rPr>
          <w:rFonts w:hint="default" w:ascii="Times New Roman" w:hAnsi="Times New Roman" w:eastAsia="方正仿宋_GBK" w:cs="Times New Roman"/>
          <w:kern w:val="0"/>
          <w:sz w:val="32"/>
          <w:szCs w:val="32"/>
        </w:rPr>
        <w:t>，有效辨识存在的安全风险，组织力量对生产工艺、设备设施、作业环节和管理体系等方面进行系统</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体检</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,严防带病复工复产；</w:t>
      </w:r>
      <w:r>
        <w:rPr>
          <w:rFonts w:hint="default" w:ascii="Times New Roman" w:hAnsi="Times New Roman" w:eastAsia="方正仿宋_GBK" w:cs="Times New Roman"/>
          <w:b/>
          <w:bCs/>
          <w:kern w:val="0"/>
          <w:sz w:val="32"/>
          <w:szCs w:val="32"/>
        </w:rPr>
        <w:t>开展一次安全督查</w:t>
      </w:r>
      <w:r>
        <w:rPr>
          <w:rFonts w:hint="default" w:ascii="Times New Roman" w:hAnsi="Times New Roman" w:eastAsia="方正仿宋_GBK" w:cs="Times New Roman"/>
          <w:kern w:val="0"/>
          <w:sz w:val="32"/>
          <w:szCs w:val="32"/>
        </w:rPr>
        <w:t>，企业管理人员要加强现场巡查，检查设备设施安全运行情况、员工掌握岗位安全技能情况等，有效杜绝设备和人为因素引起的生产安全事故。我站将针对企业复工复产实际，有针对性地组织开展精准执法，严厉惩处各类违法违规行为，对不符合安全生产条件、存在安全隐患的坚决不予恢复生产。</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重点检查参建单位复工是否落实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bCs/>
          <w:kern w:val="0"/>
          <w:sz w:val="32"/>
          <w:szCs w:val="32"/>
        </w:rPr>
        <w:t>五个到位</w:t>
      </w:r>
      <w:r>
        <w:rPr>
          <w:rFonts w:hint="eastAsia" w:ascii="Times New Roman" w:hAnsi="Times New Roman" w:eastAsia="方正仿宋_GBK" w:cs="Times New Roman"/>
          <w:b/>
          <w:bCs/>
          <w:kern w:val="0"/>
          <w:sz w:val="32"/>
          <w:szCs w:val="32"/>
          <w:lang w:eastAsia="zh-CN"/>
        </w:rPr>
        <w:t>”</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kern w:val="0"/>
          <w:sz w:val="32"/>
          <w:szCs w:val="32"/>
        </w:rPr>
        <w:t>即：</w:t>
      </w:r>
      <w:r>
        <w:rPr>
          <w:rFonts w:hint="default" w:ascii="Times New Roman" w:hAnsi="Times New Roman" w:eastAsia="方正仿宋_GBK" w:cs="Times New Roman"/>
          <w:b/>
          <w:bCs/>
          <w:kern w:val="0"/>
          <w:sz w:val="32"/>
          <w:szCs w:val="32"/>
        </w:rPr>
        <w:t>管理人员到位、告知到位、检查到位、培训交底到位、设备检修保养到位等复工安全生产条件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五个必须</w:t>
      </w:r>
      <w:r>
        <w:rPr>
          <w:rFonts w:hint="eastAsia" w:ascii="Times New Roman" w:hAnsi="Times New Roman" w:eastAsia="方正仿宋_GBK" w:cs="Times New Roman"/>
          <w:b/>
          <w:bCs/>
          <w:kern w:val="0"/>
          <w:sz w:val="32"/>
          <w:szCs w:val="32"/>
          <w:lang w:eastAsia="zh-CN"/>
        </w:rPr>
        <w:t>”</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即：复工前建设单位</w:t>
      </w:r>
      <w:r>
        <w:rPr>
          <w:rFonts w:hint="default" w:ascii="Times New Roman" w:hAnsi="Times New Roman" w:eastAsia="方正仿宋_GBK" w:cs="Times New Roman"/>
          <w:bCs/>
          <w:kern w:val="0"/>
          <w:sz w:val="32"/>
          <w:szCs w:val="32"/>
        </w:rPr>
        <w:t>必须</w:t>
      </w:r>
      <w:r>
        <w:rPr>
          <w:rFonts w:hint="default" w:ascii="Times New Roman" w:hAnsi="Times New Roman" w:eastAsia="方正仿宋_GBK" w:cs="Times New Roman"/>
          <w:kern w:val="0"/>
          <w:sz w:val="32"/>
          <w:szCs w:val="32"/>
        </w:rPr>
        <w:t>组织召开一次参建各方主体关键责任人参加的安全生产例会，共同研究布置复工安全生产工作；施工单位</w:t>
      </w:r>
      <w:r>
        <w:rPr>
          <w:rFonts w:hint="default" w:ascii="Times New Roman" w:hAnsi="Times New Roman" w:eastAsia="方正仿宋_GBK" w:cs="Times New Roman"/>
          <w:bCs/>
          <w:kern w:val="0"/>
          <w:sz w:val="32"/>
          <w:szCs w:val="32"/>
        </w:rPr>
        <w:t>必须</w:t>
      </w:r>
      <w:r>
        <w:rPr>
          <w:rFonts w:hint="default" w:ascii="Times New Roman" w:hAnsi="Times New Roman" w:eastAsia="方正仿宋_GBK" w:cs="Times New Roman"/>
          <w:kern w:val="0"/>
          <w:sz w:val="32"/>
          <w:szCs w:val="32"/>
        </w:rPr>
        <w:t>做到企业主要负责人亲自部署复工前施工安全检查；项目部</w:t>
      </w:r>
      <w:r>
        <w:rPr>
          <w:rFonts w:hint="default" w:ascii="Times New Roman" w:hAnsi="Times New Roman" w:eastAsia="方正仿宋_GBK" w:cs="Times New Roman"/>
          <w:bCs/>
          <w:kern w:val="0"/>
          <w:sz w:val="32"/>
          <w:szCs w:val="32"/>
        </w:rPr>
        <w:t>必须</w:t>
      </w:r>
      <w:r>
        <w:rPr>
          <w:rFonts w:hint="default" w:ascii="Times New Roman" w:hAnsi="Times New Roman" w:eastAsia="方正仿宋_GBK" w:cs="Times New Roman"/>
          <w:kern w:val="0"/>
          <w:sz w:val="32"/>
          <w:szCs w:val="32"/>
        </w:rPr>
        <w:t>做到项目经理24小时在岗，项目部主要负责人带班检查；依据《建筑施工安全检查标准》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JGJ59-2011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开展一次全面安全检查，在消除隐患、落实整改、符合要求情况下，经项目总监签发复工通知后方可复工；项目部</w:t>
      </w:r>
      <w:r>
        <w:rPr>
          <w:rFonts w:hint="default" w:ascii="Times New Roman" w:hAnsi="Times New Roman" w:eastAsia="方正仿宋_GBK" w:cs="Times New Roman"/>
          <w:bCs/>
          <w:kern w:val="0"/>
          <w:sz w:val="32"/>
          <w:szCs w:val="32"/>
        </w:rPr>
        <w:t>必须</w:t>
      </w:r>
      <w:r>
        <w:rPr>
          <w:rFonts w:hint="default" w:ascii="Times New Roman" w:hAnsi="Times New Roman" w:eastAsia="方正仿宋_GBK" w:cs="Times New Roman"/>
          <w:kern w:val="0"/>
          <w:sz w:val="32"/>
          <w:szCs w:val="32"/>
        </w:rPr>
        <w:t>对所有务工人员进行不少于两次安全生产教育</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可结合健康教育</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,一次是安全生产、劳动保护方面的法律法规宣传教育，一次是根据当前施工特点、施工流程及方法、主要危险源，开展安全防护基本常识、安全操作技能等方面的知识教育；监理单位</w:t>
      </w:r>
      <w:r>
        <w:rPr>
          <w:rFonts w:hint="default" w:ascii="Times New Roman" w:hAnsi="Times New Roman" w:eastAsia="方正仿宋_GBK" w:cs="Times New Roman"/>
          <w:bCs/>
          <w:kern w:val="0"/>
          <w:sz w:val="32"/>
          <w:szCs w:val="32"/>
        </w:rPr>
        <w:t>必须</w:t>
      </w:r>
      <w:r>
        <w:rPr>
          <w:rFonts w:hint="default" w:ascii="Times New Roman" w:hAnsi="Times New Roman" w:eastAsia="方正仿宋_GBK" w:cs="Times New Roman"/>
          <w:kern w:val="0"/>
          <w:sz w:val="32"/>
          <w:szCs w:val="32"/>
        </w:rPr>
        <w:t>按照要求履行安全监理职责，加强旁站监理及监理例会等工作，督促施工单位按要求做好复工自查，并严格复核，发现施工单位未按要求落实自查或现场存在严重安全隐患的，应责令暂停施工，督促落实整改，同时报属地主管部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点检查参建单位是否落实隐患排查治理，特别是节后复工前自查自纠以及是否经总监签署复工令等情况；项目经理、技术负责人、总监理工程师、专职安全生产管理人员等管理人员到岗履职情况；从业人员安全教育和技术交底情况，特别是转岗和新上岗工人；文明施工和施工扬尘治理工作落实情况。</w:t>
      </w:r>
    </w:p>
    <w:p>
      <w:pPr>
        <w:numPr>
          <w:ilvl w:val="0"/>
          <w:numId w:val="1"/>
        </w:numPr>
        <w:spacing w:line="560" w:lineRule="exact"/>
        <w:ind w:firstLine="640" w:firstLineChars="200"/>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《房屋市政工程生产安全重大事故隐患判定标准</w:t>
      </w:r>
      <w:r>
        <w:rPr>
          <w:rFonts w:hint="eastAsia" w:ascii="Times New Roman" w:hAnsi="Times New Roman" w:eastAsia="方正黑体_GBK" w:cs="Times New Roman"/>
          <w:color w:val="333333"/>
          <w:sz w:val="32"/>
          <w:szCs w:val="32"/>
          <w:shd w:val="clear" w:color="auto" w:fill="FFFFFF"/>
          <w:lang w:eastAsia="zh-CN"/>
        </w:rPr>
        <w:t>（</w:t>
      </w:r>
      <w:r>
        <w:rPr>
          <w:rFonts w:hint="default" w:ascii="Times New Roman" w:hAnsi="Times New Roman" w:eastAsia="方正黑体_GBK" w:cs="Times New Roman"/>
          <w:color w:val="333333"/>
          <w:sz w:val="32"/>
          <w:szCs w:val="32"/>
          <w:shd w:val="clear" w:color="auto" w:fill="FFFFFF"/>
        </w:rPr>
        <w:t>2022版</w:t>
      </w:r>
      <w:r>
        <w:rPr>
          <w:rFonts w:hint="eastAsia" w:ascii="Times New Roman" w:hAnsi="Times New Roman" w:eastAsia="方正黑体_GBK" w:cs="Times New Roman"/>
          <w:color w:val="333333"/>
          <w:sz w:val="32"/>
          <w:szCs w:val="32"/>
          <w:shd w:val="clear" w:color="auto" w:fill="FFFFFF"/>
          <w:lang w:eastAsia="zh-CN"/>
        </w:rPr>
        <w:t>）</w:t>
      </w:r>
      <w:r>
        <w:rPr>
          <w:rFonts w:hint="default" w:ascii="Times New Roman" w:hAnsi="Times New Roman" w:eastAsia="方正黑体_GBK" w:cs="Times New Roman"/>
          <w:color w:val="333333"/>
          <w:sz w:val="32"/>
          <w:szCs w:val="32"/>
          <w:shd w:val="clear" w:color="auto" w:fill="FFFFFF"/>
        </w:rPr>
        <w:t>》落实情况。</w:t>
      </w:r>
    </w:p>
    <w:p>
      <w:pPr>
        <w:pStyle w:val="4"/>
        <w:widowControl/>
        <w:spacing w:beforeAutospacing="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重点检查参建单位是否严格落实《房屋市政工程生产安全重大事故隐患判定标准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逐企业、逐项目、逐设备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标准开展排查；是否针对关键设施设备部位和施工环节，检查基坑工程、脚手架工程、起重机械及吊装工程等高危作业环节中存在的问题。</w:t>
      </w:r>
    </w:p>
    <w:p>
      <w:pPr>
        <w:numPr>
          <w:ilvl w:val="0"/>
          <w:numId w:val="1"/>
        </w:numPr>
        <w:spacing w:line="560" w:lineRule="exact"/>
        <w:ind w:firstLine="640" w:firstLineChars="200"/>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施工现场安全生产情况</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危大工程安全管理情况。重点检查施工单位是否落实危险性较大的分部分项安全管理，按要求开展专项方案编制、审核、专家论证及现场实施；监理单位是否落实专项方案审核、施工现场监理和工程验收；施工作业前安全技术交底是否实施等。</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2.深基坑工程安全管理情况。重点检查深基坑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工程是否按方案实施，周边防护栏杆、工人专用梯道、同一垂直作业面上下层之间隔离防护等是否实施；深基坑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支护、降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水、放坡、安全监测、临边堆载等是否合规。</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3.模板支撑系统安全管理情况。重点检查模板支撑系统是否完成搭设前材料及基础验收、安全技术交底、搭设前后检查验收、现场安全监测、模架搭设/拆除安全管理等情况。</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4.起重机械安全管理情况。重点检查建筑起重机械是否落实安装</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拆卸</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告知、建立安全档案、检验检测、安装验收、使用登记、定期检查维护保养等情况，重点检查安全保护装置设置、顶升和加节过程管理与验收、机械设备专职管理人员配备与履职以及安拆单位资质等情况。</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脚手架、卸料平台安全管理情况。重点检查现场脚手架、卸料平台是否按方案和规范标准搭设，特别是脚手架立杆间距、扫地杆和纵横向水平杆设置以及剪刀撑和刚性连墙件等强制性要求的落实情况；重点检查扣件式钢管脚手架的防锈处理情况，施工、监理等单位对脚手架、卸料平台的检查、验收、挂牌情况。</w:t>
      </w:r>
    </w:p>
    <w:p>
      <w:pPr>
        <w:pStyle w:val="4"/>
        <w:widowControl/>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6.消防安全管理情况。重点检查参建单位是否贯彻落实《关于印发&lt;房屋市政工程领域消防安全集中隐患攻坚大整治行动实施方案&gt;的通知》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苏建质安〔2024〕18号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、《关于印发&lt;江苏省建筑施工动火作业安全操作指南&gt;的通知》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苏建函质安〔2024〕60号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文件要求，特别是消防安全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即：组织一次全员学习《建设工程施工现场消防安全技术规范》、一次消防安全常识及逃生自救技能培训、一次消防安全自查自改工作、一次消防应急救援演练活动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情况；是否按照《南通市主城区房屋建筑工程消防安全隐患攻坚大整治行动实施方案》工作要求全面排查整治施工现场火灾隐患和消防安全违法行为；重点检查施工现场作业区、办公区、生活区、仓库、活动板房等重点部位的消防安全措施落实情况与消防器材、消防设施的配备、消防通道设置、用电管理、危化品存储使用、动火审批情况等。</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施工现场安全防护管理情况。重点检查施工现场是否落实安全防护；安全帽、安全带、安全网等安全防护用品安全使用与电梯井、风井洞、楼层边、楼梯边等洞口、临边部位的安全防护设置是否符合相关标准规范要求，危险部位是否设立安全警示标志等；</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8.临时用电管理情况。重点检查施工单位是否落实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三级配电、两级保护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一机一箱一闸一漏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等临电要求；电瓶车棚等部位用电管理是否规范；生活区是否使用大功率电器、电线乱搭乱设等情况；电工是否持证上岗等。</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9.应急管理情况。重点检查应急预案的编制、审核情况，应急救援物资、设备配置与维护、应急救援演练等是否按方案落实。</w:t>
      </w:r>
    </w:p>
    <w:p>
      <w:pPr>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10.施工现场扬尘防控管理情况。重点检查施工现场扬尘管控责任落实情况，工地周边围挡、物料堆放覆盖、土方开挖湿法作业、路面硬化、出入车辆清洗、渣土车辆密闭运输“六个百分之百”是否严格按要求落实。</w:t>
      </w: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ind w:firstLine="640" w:firstLineChars="200"/>
        <w:jc w:val="center"/>
        <w:rPr>
          <w:rFonts w:hint="default" w:ascii="Times New Roman" w:hAnsi="Times New Roman" w:eastAsia="方正仿宋_GBK" w:cs="Times New Roman"/>
          <w:sz w:val="32"/>
          <w:szCs w:val="32"/>
        </w:rPr>
      </w:pPr>
    </w:p>
    <w:p>
      <w:pPr>
        <w:pStyle w:val="4"/>
        <w:widowControl/>
        <w:spacing w:beforeAutospacing="0" w:afterAutospacing="0" w:line="560" w:lineRule="exact"/>
        <w:jc w:val="both"/>
        <w:rPr>
          <w:rFonts w:hint="default" w:ascii="Times New Roman" w:hAnsi="Times New Roman" w:eastAsia="方正仿宋_GBK" w:cs="Times New Roman"/>
          <w:sz w:val="32"/>
          <w:szCs w:val="32"/>
        </w:rPr>
      </w:pPr>
    </w:p>
    <w:p>
      <w:pPr>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pStyle w:val="4"/>
        <w:widowControl/>
        <w:spacing w:beforeAutospacing="0" w:afterAutospacing="0" w:line="560" w:lineRule="exact"/>
        <w:ind w:firstLine="880" w:firstLineChars="200"/>
        <w:jc w:val="center"/>
        <w:rPr>
          <w:rFonts w:hint="eastAsia" w:ascii="方正楷体_GBK" w:hAnsi="方正楷体_GBK" w:eastAsia="方正楷体_GBK" w:cs="方正楷体_GBK"/>
          <w:sz w:val="44"/>
          <w:szCs w:val="44"/>
          <w:lang w:eastAsia="zh-CN"/>
        </w:rPr>
      </w:pPr>
      <w:r>
        <w:rPr>
          <w:rFonts w:hint="eastAsia" w:ascii="方正小标宋_GBK" w:hAnsi="方正小标宋_GBK" w:eastAsia="方正小标宋_GBK" w:cs="方正小标宋_GBK"/>
          <w:sz w:val="44"/>
          <w:szCs w:val="44"/>
          <w:lang w:eastAsia="zh-CN"/>
        </w:rPr>
        <w:t>房建工程春季安全生产大检查暨节后复工安全检查检查表</w:t>
      </w:r>
    </w:p>
    <w:p>
      <w:pPr>
        <w:spacing w:line="560" w:lineRule="exac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工程名称：                           施工进度：</w:t>
      </w:r>
    </w:p>
    <w:tbl>
      <w:tblPr>
        <w:tblStyle w:val="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61"/>
        <w:gridCol w:w="24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0" w:type="dxa"/>
            <w:noWrap w:val="0"/>
            <w:vAlign w:val="center"/>
          </w:tcPr>
          <w:p>
            <w:pPr>
              <w:jc w:val="center"/>
              <w:rPr>
                <w:rFonts w:ascii="宋体" w:hAnsi="宋体" w:cs="宋体"/>
                <w:b/>
                <w:kern w:val="0"/>
                <w:sz w:val="24"/>
              </w:rPr>
            </w:pPr>
            <w:r>
              <w:rPr>
                <w:rFonts w:hint="eastAsia" w:ascii="宋体" w:hAnsi="宋体" w:cs="宋体"/>
                <w:b/>
                <w:kern w:val="0"/>
                <w:sz w:val="24"/>
              </w:rPr>
              <w:t>序号</w:t>
            </w:r>
          </w:p>
        </w:tc>
        <w:tc>
          <w:tcPr>
            <w:tcW w:w="4961" w:type="dxa"/>
            <w:noWrap w:val="0"/>
            <w:vAlign w:val="center"/>
          </w:tcPr>
          <w:p>
            <w:pPr>
              <w:jc w:val="center"/>
              <w:rPr>
                <w:rFonts w:ascii="宋体" w:hAnsi="宋体" w:cs="宋体"/>
                <w:b/>
                <w:kern w:val="0"/>
                <w:sz w:val="24"/>
              </w:rPr>
            </w:pPr>
            <w:r>
              <w:rPr>
                <w:rFonts w:hint="eastAsia" w:ascii="宋体" w:hAnsi="宋体" w:cs="宋体"/>
                <w:b/>
                <w:kern w:val="0"/>
                <w:sz w:val="24"/>
              </w:rPr>
              <w:t>检查验收内容</w:t>
            </w:r>
          </w:p>
        </w:tc>
        <w:tc>
          <w:tcPr>
            <w:tcW w:w="2410" w:type="dxa"/>
            <w:noWrap w:val="0"/>
            <w:vAlign w:val="center"/>
          </w:tcPr>
          <w:p>
            <w:pPr>
              <w:jc w:val="center"/>
              <w:rPr>
                <w:rFonts w:ascii="宋体" w:hAnsi="宋体" w:cs="宋体"/>
                <w:b/>
                <w:kern w:val="0"/>
                <w:sz w:val="24"/>
              </w:rPr>
            </w:pPr>
            <w:r>
              <w:rPr>
                <w:rFonts w:hint="eastAsia" w:ascii="宋体" w:hAnsi="宋体" w:cs="宋体"/>
                <w:b/>
                <w:kern w:val="0"/>
                <w:sz w:val="24"/>
              </w:rPr>
              <w:t>检查验收情况</w:t>
            </w:r>
          </w:p>
        </w:tc>
        <w:tc>
          <w:tcPr>
            <w:tcW w:w="962" w:type="dxa"/>
            <w:noWrap w:val="0"/>
            <w:vAlign w:val="center"/>
          </w:tcPr>
          <w:p>
            <w:pPr>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是否严格落实节后复工安全生产条件（“五个一”、“五个到位”、“五个必须”）</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是否严格落实《房屋市政工程生产安全重大事故隐患判定标准（</w:t>
            </w:r>
            <w:r>
              <w:rPr>
                <w:rFonts w:hint="eastAsia" w:ascii="方正仿宋_GBK" w:hAnsi="方正仿宋_GBK" w:eastAsia="方正仿宋_GBK" w:cs="方正仿宋_GBK"/>
                <w:kern w:val="0"/>
                <w:sz w:val="24"/>
                <w:szCs w:val="24"/>
                <w:lang w:val="en-US" w:eastAsia="zh-CN"/>
              </w:rPr>
              <w:t>2022版</w:t>
            </w:r>
            <w:r>
              <w:rPr>
                <w:rFonts w:hint="eastAsia" w:ascii="方正仿宋_GBK" w:hAnsi="方正仿宋_GBK" w:eastAsia="方正仿宋_GBK" w:cs="方正仿宋_GBK"/>
                <w:kern w:val="0"/>
                <w:sz w:val="24"/>
                <w:szCs w:val="24"/>
                <w:lang w:eastAsia="zh-CN"/>
              </w:rPr>
              <w:t>）》，开展排查</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是否严格落实危大工程安全管理</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深基坑安全管理是否到位</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模板支撑系统安全管理是否到位</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起重机械安全管理是否到位，是否开展节后维保工作</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脚手架、卸料平台安全管理是否到位</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消防安全管理是否到位，特别是消防安全“四个一”落实情况</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施工现场安全防护管理是否到位</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临时用电管理是否到位，“三区”用电管理是否规范</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各项扬尘措施是否到位，环境卫生是否符号标准</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12 </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应急管理是否到位，应急预案是否制定，应急物资是否齐全</w:t>
            </w:r>
          </w:p>
        </w:tc>
        <w:tc>
          <w:tcPr>
            <w:tcW w:w="2410" w:type="dxa"/>
            <w:noWrap w:val="0"/>
            <w:vAlign w:val="center"/>
          </w:tcPr>
          <w:p>
            <w:pPr>
              <w:rPr>
                <w:rFonts w:hint="eastAsia" w:ascii="方正仿宋_GBK" w:hAnsi="方正仿宋_GBK" w:eastAsia="方正仿宋_GBK" w:cs="方正仿宋_GBK"/>
                <w:kern w:val="0"/>
                <w:sz w:val="28"/>
                <w:szCs w:val="28"/>
              </w:rPr>
            </w:pPr>
          </w:p>
        </w:tc>
        <w:tc>
          <w:tcPr>
            <w:tcW w:w="962" w:type="dxa"/>
            <w:noWrap w:val="0"/>
            <w:vAlign w:val="center"/>
          </w:tcPr>
          <w:p>
            <w:pPr>
              <w:rPr>
                <w:rFonts w:hint="eastAsia" w:ascii="方正仿宋_GBK" w:hAnsi="方正仿宋_GBK" w:eastAsia="方正仿宋_GBK" w:cs="方正仿宋_GBK"/>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建设单位项目负责人（签字）：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施工单位项目经理（签字）：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监理单位项目总监（签字）：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4"/>
        </w:rPr>
        <w:sectPr>
          <w:headerReference r:id="rId6" w:type="default"/>
          <w:footerReference r:id="rId7" w:type="default"/>
          <w:pgSz w:w="11906" w:h="16838"/>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kern w:val="0"/>
          <w:sz w:val="28"/>
          <w:szCs w:val="28"/>
          <w:lang w:eastAsia="zh-CN"/>
        </w:rPr>
        <w:t>检查人员</w:t>
      </w:r>
      <w:r>
        <w:rPr>
          <w:rFonts w:hint="eastAsia" w:ascii="方正仿宋_GBK" w:hAnsi="方正仿宋_GBK" w:eastAsia="方正仿宋_GBK" w:cs="方正仿宋_GBK"/>
          <w:kern w:val="0"/>
          <w:sz w:val="28"/>
          <w:szCs w:val="28"/>
        </w:rPr>
        <w:t>（签字、</w:t>
      </w:r>
      <w:r>
        <w:rPr>
          <w:rFonts w:hint="eastAsia" w:ascii="方正仿宋_GBK" w:hAnsi="方正仿宋_GBK" w:eastAsia="方正仿宋_GBK" w:cs="方正仿宋_GBK"/>
          <w:kern w:val="0"/>
          <w:sz w:val="28"/>
          <w:szCs w:val="28"/>
          <w:lang w:eastAsia="zh-CN"/>
        </w:rPr>
        <w:t>盖</w:t>
      </w:r>
      <w:r>
        <w:rPr>
          <w:rFonts w:hint="eastAsia" w:ascii="方正仿宋_GBK" w:hAnsi="方正仿宋_GBK" w:eastAsia="方正仿宋_GBK" w:cs="方正仿宋_GBK"/>
          <w:kern w:val="0"/>
          <w:sz w:val="28"/>
          <w:szCs w:val="28"/>
        </w:rPr>
        <w:t>章）：</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年   月   日</w:t>
      </w:r>
    </w:p>
    <w:p>
      <w:pPr>
        <w:pStyle w:val="4"/>
        <w:widowControl/>
        <w:spacing w:beforeAutospacing="0" w:afterAutospacing="0" w:line="560" w:lineRule="exact"/>
        <w:jc w:val="both"/>
        <w:rPr>
          <w:rFonts w:hint="eastAsia" w:ascii="方正楷体_GBK" w:hAnsi="方正楷体_GBK" w:eastAsia="方正楷体_GBK" w:cs="方正楷体_GBK"/>
          <w:sz w:val="44"/>
          <w:szCs w:val="44"/>
          <w:lang w:eastAsia="zh-CN"/>
        </w:rPr>
      </w:pPr>
    </w:p>
    <w:sectPr>
      <w:headerReference r:id="rId9" w:type="first"/>
      <w:footerReference r:id="rId10" w:type="first"/>
      <w:headerReference r:id="rId8"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eastAsiaTheme="minorEastAsia"/>
        <w:sz w:val="22"/>
        <w:szCs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sz w:val="22"/>
        <w:szCs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0672C"/>
    <w:multiLevelType w:val="singleLevel"/>
    <w:tmpl w:val="BDC067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0547149D"/>
    <w:rsid w:val="00052A18"/>
    <w:rsid w:val="000750E7"/>
    <w:rsid w:val="000E17FD"/>
    <w:rsid w:val="001E29C4"/>
    <w:rsid w:val="0030728F"/>
    <w:rsid w:val="004A2457"/>
    <w:rsid w:val="00541704"/>
    <w:rsid w:val="006025CB"/>
    <w:rsid w:val="006B5F63"/>
    <w:rsid w:val="009031F9"/>
    <w:rsid w:val="009313EF"/>
    <w:rsid w:val="00966E85"/>
    <w:rsid w:val="00994BB6"/>
    <w:rsid w:val="00A57B26"/>
    <w:rsid w:val="00AF61A6"/>
    <w:rsid w:val="00B24812"/>
    <w:rsid w:val="00BD7AC7"/>
    <w:rsid w:val="00C87FB6"/>
    <w:rsid w:val="00C91DF5"/>
    <w:rsid w:val="00D04B83"/>
    <w:rsid w:val="00DB635A"/>
    <w:rsid w:val="00DE51CF"/>
    <w:rsid w:val="00E1018D"/>
    <w:rsid w:val="00E45D32"/>
    <w:rsid w:val="03A0591E"/>
    <w:rsid w:val="0547149D"/>
    <w:rsid w:val="076B1CFB"/>
    <w:rsid w:val="0C3C447E"/>
    <w:rsid w:val="0F116899"/>
    <w:rsid w:val="10A818CA"/>
    <w:rsid w:val="12CC5D44"/>
    <w:rsid w:val="19FA49F6"/>
    <w:rsid w:val="1A5358A1"/>
    <w:rsid w:val="1DBA10BA"/>
    <w:rsid w:val="1DC00253"/>
    <w:rsid w:val="20D65FDF"/>
    <w:rsid w:val="271D4CE7"/>
    <w:rsid w:val="290E5A32"/>
    <w:rsid w:val="2CB4290F"/>
    <w:rsid w:val="358E1291"/>
    <w:rsid w:val="38241F15"/>
    <w:rsid w:val="3DA00B4F"/>
    <w:rsid w:val="3EE06168"/>
    <w:rsid w:val="44366C11"/>
    <w:rsid w:val="4A945CD2"/>
    <w:rsid w:val="4E577EB0"/>
    <w:rsid w:val="58B21E57"/>
    <w:rsid w:val="5F31409D"/>
    <w:rsid w:val="5F7E084C"/>
    <w:rsid w:val="5FAF15CD"/>
    <w:rsid w:val="6A0445F0"/>
    <w:rsid w:val="6B435028"/>
    <w:rsid w:val="71BF242C"/>
    <w:rsid w:val="71F22608"/>
    <w:rsid w:val="72E17BC5"/>
    <w:rsid w:val="757533C6"/>
    <w:rsid w:val="78412EB3"/>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533</Words>
  <Characters>3042</Characters>
  <Lines>25</Lines>
  <Paragraphs>7</Paragraphs>
  <TotalTime>28</TotalTime>
  <ScaleCrop>false</ScaleCrop>
  <LinksUpToDate>false</LinksUpToDate>
  <CharactersWithSpaces>3568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张晨</dc:creator>
  <cp:lastModifiedBy>唂唂</cp:lastModifiedBy>
  <cp:lastPrinted>2024-02-26T08:48:00Z</cp:lastPrinted>
  <dcterms:modified xsi:type="dcterms:W3CDTF">2024-02-29T02:27:02Z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095B92075BAC4351A05871246E67A098_13</vt:lpwstr>
  </property>
</Properties>
</file>