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0" w:lineRule="atLeast"/>
        <w:jc w:val="center"/>
        <w:textAlignment w:val="auto"/>
        <w:rPr>
          <w:rFonts w:eastAsia="方正小标宋简体"/>
          <w:kern w:val="2"/>
          <w:sz w:val="44"/>
          <w:szCs w:val="44"/>
        </w:rPr>
      </w:pPr>
      <w:r>
        <w:rPr>
          <w:rFonts w:hint="eastAsia" w:eastAsia="方正小标宋简体"/>
          <w:kern w:val="2"/>
          <w:sz w:val="44"/>
          <w:szCs w:val="44"/>
        </w:rPr>
        <w:t>南通市区建筑施工现场危险化学品安全风险</w:t>
      </w:r>
    </w:p>
    <w:p>
      <w:pPr>
        <w:adjustRightInd/>
        <w:spacing w:line="0" w:lineRule="atLeast"/>
        <w:jc w:val="center"/>
        <w:textAlignment w:val="auto"/>
        <w:rPr>
          <w:rFonts w:eastAsia="方正小标宋简体"/>
          <w:kern w:val="2"/>
          <w:sz w:val="44"/>
          <w:szCs w:val="44"/>
        </w:rPr>
      </w:pPr>
      <w:r>
        <w:rPr>
          <w:rFonts w:hint="eastAsia" w:eastAsia="方正小标宋简体"/>
          <w:kern w:val="2"/>
          <w:sz w:val="44"/>
          <w:szCs w:val="44"/>
        </w:rPr>
        <w:t>集中治理实施方案</w:t>
      </w:r>
    </w:p>
    <w:p>
      <w:pPr>
        <w:adjustRightInd/>
        <w:spacing w:line="590" w:lineRule="exact"/>
        <w:textAlignment w:val="auto"/>
        <w:rPr>
          <w:rFonts w:eastAsia="宋体"/>
          <w:kern w:val="2"/>
          <w:szCs w:val="32"/>
        </w:rPr>
      </w:pPr>
    </w:p>
    <w:p>
      <w:pPr>
        <w:pStyle w:val="6"/>
        <w:adjustRightInd w:val="0"/>
        <w:snapToGrid w:val="0"/>
        <w:spacing w:before="0" w:beforeAutospacing="0" w:after="0" w:afterAutospacing="0" w:line="590" w:lineRule="exact"/>
        <w:ind w:left="0" w:leftChars="0" w:firstLine="640"/>
        <w:rPr>
          <w:rFonts w:ascii="Times New Roman" w:hAnsi="Times New Roman" w:eastAsia="方正仿宋_GBK"/>
        </w:rPr>
      </w:pPr>
      <w:r>
        <w:rPr>
          <w:rFonts w:hint="eastAsia" w:ascii="Times New Roman" w:hAnsi="Times New Roman" w:eastAsia="方正仿宋_GBK" w:cs="宋体"/>
        </w:rPr>
        <w:t>为深入贯彻落实国家、省、市</w:t>
      </w:r>
      <w:r>
        <w:rPr>
          <w:rFonts w:hint="eastAsia" w:ascii="Times New Roman" w:hAnsi="Times New Roman" w:eastAsia="方正仿宋_GBK"/>
        </w:rPr>
        <w:t>关于危险化学品安全风险集中治理行动</w:t>
      </w:r>
      <w:r>
        <w:rPr>
          <w:rFonts w:ascii="Times New Roman" w:hAnsi="Times New Roman" w:eastAsia="方正仿宋_GBK"/>
        </w:rPr>
        <w:t>要求</w:t>
      </w:r>
      <w:r>
        <w:rPr>
          <w:rFonts w:hint="eastAsia" w:ascii="Times New Roman" w:hAnsi="Times New Roman" w:eastAsia="方正仿宋_GBK" w:cs="宋体"/>
        </w:rPr>
        <w:t>，有效防范化解危险化学品重大安全风险，保障人民群众生命财产安全和社会稳定，根据</w:t>
      </w:r>
      <w:r>
        <w:rPr>
          <w:rFonts w:ascii="Times New Roman" w:hAnsi="Times New Roman" w:eastAsia="方正仿宋_GBK" w:cs="宋体"/>
        </w:rPr>
        <w:t>市住建局《</w:t>
      </w:r>
      <w:r>
        <w:rPr>
          <w:rFonts w:hint="eastAsia" w:ascii="Times New Roman" w:hAnsi="Times New Roman" w:eastAsia="方正仿宋_GBK" w:cs="宋体"/>
        </w:rPr>
        <w:t>关于</w:t>
      </w:r>
      <w:r>
        <w:rPr>
          <w:rFonts w:ascii="Times New Roman" w:hAnsi="Times New Roman" w:eastAsia="方正仿宋_GBK" w:cs="宋体"/>
        </w:rPr>
        <w:t>印发</w:t>
      </w:r>
      <w:r>
        <w:rPr>
          <w:rFonts w:hint="eastAsia" w:ascii="Times New Roman" w:hAnsi="Times New Roman" w:eastAsia="方正仿宋_GBK" w:cs="宋体"/>
        </w:rPr>
        <w:t>&lt;南通市</w:t>
      </w:r>
      <w:r>
        <w:rPr>
          <w:rFonts w:ascii="Times New Roman" w:hAnsi="Times New Roman" w:eastAsia="方正仿宋_GBK" w:cs="宋体"/>
        </w:rPr>
        <w:t>建筑施工现场危险化学品安全风险集中治理实施方案</w:t>
      </w:r>
      <w:r>
        <w:rPr>
          <w:rFonts w:hint="eastAsia" w:ascii="Times New Roman" w:hAnsi="Times New Roman" w:eastAsia="方正仿宋_GBK" w:cs="宋体"/>
        </w:rPr>
        <w:t>&gt;的</w:t>
      </w:r>
      <w:r>
        <w:rPr>
          <w:rFonts w:ascii="Times New Roman" w:hAnsi="Times New Roman" w:eastAsia="方正仿宋_GBK" w:cs="宋体"/>
        </w:rPr>
        <w:t>通知》</w:t>
      </w:r>
      <w:r>
        <w:rPr>
          <w:rFonts w:hint="eastAsia" w:ascii="Times New Roman" w:hAnsi="Times New Roman" w:eastAsia="方正仿宋_GBK" w:cs="宋体"/>
        </w:rPr>
        <w:t>（通</w:t>
      </w:r>
      <w:r>
        <w:rPr>
          <w:rFonts w:ascii="Times New Roman" w:hAnsi="Times New Roman" w:eastAsia="方正仿宋_GBK" w:cs="宋体"/>
        </w:rPr>
        <w:t>住建安</w:t>
      </w:r>
      <w:r>
        <w:rPr>
          <w:rFonts w:hint="eastAsia" w:ascii="Times New Roman" w:hAnsi="Times New Roman" w:eastAsia="方正仿宋_GBK" w:cs="宋体"/>
        </w:rPr>
        <w:t>〔2022〕59号），</w:t>
      </w:r>
      <w:r>
        <w:rPr>
          <w:rFonts w:hint="eastAsia" w:ascii="Times New Roman" w:hAnsi="Times New Roman" w:eastAsia="方正仿宋_GBK"/>
        </w:rPr>
        <w:t>结合市区建筑施工实际，</w:t>
      </w:r>
      <w:r>
        <w:rPr>
          <w:rFonts w:hint="eastAsia" w:ascii="Times New Roman" w:hAnsi="Times New Roman" w:eastAsia="方正仿宋_GBK" w:cs="宋体"/>
        </w:rPr>
        <w:t>制定本实施方案</w:t>
      </w:r>
      <w:r>
        <w:rPr>
          <w:rFonts w:hint="eastAsia" w:ascii="Times New Roman" w:hAnsi="Times New Roman" w:eastAsia="方正仿宋_GBK"/>
        </w:rPr>
        <w:t>。</w:t>
      </w:r>
    </w:p>
    <w:p>
      <w:pPr>
        <w:pStyle w:val="6"/>
        <w:adjustRightInd w:val="0"/>
        <w:snapToGrid w:val="0"/>
        <w:spacing w:before="0" w:beforeAutospacing="0" w:after="0" w:afterAutospacing="0" w:line="590" w:lineRule="exact"/>
        <w:ind w:left="0" w:leftChars="0" w:firstLine="640"/>
        <w:rPr>
          <w:rFonts w:ascii="Times New Roman" w:hAnsi="Times New Roman" w:eastAsia="方正黑体_GBK"/>
          <w:kern w:val="0"/>
        </w:rPr>
      </w:pPr>
      <w:r>
        <w:rPr>
          <w:rFonts w:hint="eastAsia" w:ascii="Times New Roman" w:hAnsi="Times New Roman" w:eastAsia="方正黑体_GBK"/>
          <w:kern w:val="0"/>
        </w:rPr>
        <w:t>一、总体要求</w:t>
      </w:r>
    </w:p>
    <w:p>
      <w:pPr>
        <w:pStyle w:val="6"/>
        <w:adjustRightInd w:val="0"/>
        <w:snapToGrid w:val="0"/>
        <w:spacing w:before="0" w:beforeAutospacing="0" w:after="0" w:afterAutospacing="0" w:line="590" w:lineRule="exact"/>
        <w:ind w:left="0" w:leftChars="0" w:firstLine="640"/>
        <w:rPr>
          <w:rFonts w:ascii="Times New Roman" w:hAnsi="Times New Roman" w:eastAsia="方正仿宋_GBK"/>
        </w:rPr>
      </w:pPr>
      <w:r>
        <w:rPr>
          <w:rFonts w:hint="eastAsia" w:ascii="Times New Roman" w:hAnsi="Times New Roman" w:eastAsia="方正仿宋_GBK"/>
        </w:rPr>
        <w:t>以习近平新时代中国特色社会主义思想为指导，深入贯彻习近平总书记关于安全生产重要论述，坚持人民至上、生命至上，强化底线思维和红线意识，统筹好发展和安全，按照“制度化管理、实时化监控、自动化阻隔、现代化救援”的总体要求，深入分析研判、紧紧扭住抓牢施工现场存在的问题和隐患，利用一年时间集中治理，务必做到重大风险隐患排查见底、防范治理措施落实到位，真正从根本上消除事故隐患、从根本上解决问题，切实把保障人民生命安全放在第一位落到实处，为迎接党的二十大胜利召开营造安全稳定环境。</w:t>
      </w:r>
    </w:p>
    <w:p>
      <w:pPr>
        <w:pStyle w:val="6"/>
        <w:adjustRightInd w:val="0"/>
        <w:snapToGrid w:val="0"/>
        <w:spacing w:before="0" w:beforeAutospacing="0" w:after="0" w:afterAutospacing="0" w:line="590" w:lineRule="exact"/>
        <w:ind w:left="0" w:leftChars="0" w:firstLine="640"/>
        <w:rPr>
          <w:rFonts w:ascii="Times New Roman" w:hAnsi="Times New Roman" w:eastAsia="方正黑体_GBK"/>
        </w:rPr>
      </w:pPr>
      <w:r>
        <w:rPr>
          <w:rFonts w:hint="eastAsia" w:ascii="Times New Roman" w:hAnsi="Times New Roman" w:eastAsia="方正黑体_GBK"/>
        </w:rPr>
        <w:t>二、治理重点</w:t>
      </w:r>
    </w:p>
    <w:p>
      <w:pPr>
        <w:adjustRightInd/>
        <w:spacing w:line="590" w:lineRule="exact"/>
        <w:ind w:firstLine="640" w:firstLineChars="200"/>
        <w:textAlignment w:val="auto"/>
        <w:rPr>
          <w:b/>
          <w:bCs/>
          <w:color w:val="000000"/>
          <w:kern w:val="2"/>
          <w:szCs w:val="32"/>
        </w:rPr>
      </w:pPr>
      <w:r>
        <w:rPr>
          <w:rFonts w:hint="eastAsia"/>
          <w:b/>
          <w:bCs/>
          <w:color w:val="000000"/>
          <w:kern w:val="2"/>
          <w:szCs w:val="32"/>
        </w:rPr>
        <w:t>（一）治理对象</w:t>
      </w:r>
    </w:p>
    <w:p>
      <w:pPr>
        <w:spacing w:line="560" w:lineRule="exact"/>
        <w:ind w:firstLine="640" w:firstLineChars="200"/>
        <w:rPr>
          <w:snapToGrid w:val="0"/>
        </w:rPr>
      </w:pPr>
      <w:r>
        <w:rPr>
          <w:snapToGrid w:val="0"/>
        </w:rPr>
        <w:t>市区所有使用危险化学品的房屋建筑和轨道交通工程。</w:t>
      </w:r>
    </w:p>
    <w:p>
      <w:pPr>
        <w:spacing w:line="560" w:lineRule="exact"/>
        <w:ind w:firstLine="640" w:firstLineChars="200"/>
        <w:rPr>
          <w:snapToGrid w:val="0"/>
        </w:rPr>
      </w:pPr>
      <w:r>
        <w:rPr>
          <w:snapToGrid w:val="0"/>
        </w:rPr>
        <w:t>危险化学品是指具有毒害、腐蚀、爆炸、燃烧、助燃等性质，对人体、设施、环境具有危害的剧毒化学品和其他化学品。具体按照《危险化学品目录（2015版）》（国家安全监管总局等10部门公告2015年第5号）执行。</w:t>
      </w:r>
    </w:p>
    <w:p>
      <w:pPr>
        <w:adjustRightInd/>
        <w:spacing w:line="590" w:lineRule="exact"/>
        <w:ind w:firstLine="640" w:firstLineChars="200"/>
        <w:textAlignment w:val="auto"/>
        <w:rPr>
          <w:b/>
          <w:bCs/>
          <w:color w:val="000000"/>
          <w:kern w:val="2"/>
          <w:szCs w:val="32"/>
        </w:rPr>
      </w:pPr>
      <w:r>
        <w:rPr>
          <w:rFonts w:hint="eastAsia"/>
          <w:b/>
          <w:bCs/>
          <w:color w:val="000000"/>
          <w:kern w:val="2"/>
          <w:szCs w:val="32"/>
        </w:rPr>
        <w:t>（二）重点内容</w:t>
      </w:r>
    </w:p>
    <w:p>
      <w:pPr>
        <w:adjustRightInd/>
        <w:spacing w:line="590" w:lineRule="exact"/>
        <w:ind w:firstLine="640" w:firstLineChars="200"/>
        <w:textAlignment w:val="auto"/>
        <w:rPr>
          <w:szCs w:val="32"/>
        </w:rPr>
      </w:pPr>
      <w:r>
        <w:rPr>
          <w:rFonts w:hint="eastAsia"/>
          <w:color w:val="000000"/>
          <w:kern w:val="2"/>
          <w:szCs w:val="32"/>
        </w:rPr>
        <w:t>1.是否树牢安全发展理念。</w:t>
      </w:r>
    </w:p>
    <w:p>
      <w:pPr>
        <w:adjustRightInd/>
        <w:spacing w:line="590" w:lineRule="exact"/>
        <w:ind w:firstLine="640" w:firstLineChars="200"/>
        <w:textAlignment w:val="auto"/>
        <w:rPr>
          <w:szCs w:val="32"/>
        </w:rPr>
      </w:pPr>
      <w:r>
        <w:rPr>
          <w:rFonts w:hint="eastAsia"/>
          <w:szCs w:val="32"/>
        </w:rPr>
        <w:t>2.是否严格按照国家有关危险化学品的法律法规、标准规范要求，符合危险化学品使用（包括工艺）条件。</w:t>
      </w:r>
    </w:p>
    <w:p>
      <w:pPr>
        <w:adjustRightInd/>
        <w:spacing w:line="590" w:lineRule="exact"/>
        <w:ind w:firstLine="640" w:firstLineChars="200"/>
        <w:textAlignment w:val="auto"/>
        <w:rPr>
          <w:szCs w:val="32"/>
        </w:rPr>
      </w:pPr>
      <w:r>
        <w:rPr>
          <w:rFonts w:hint="eastAsia"/>
          <w:szCs w:val="32"/>
        </w:rPr>
        <w:t>3.是否建立健全使用危险化学品的安全管理规章制度和安全操作规程。</w:t>
      </w:r>
    </w:p>
    <w:p>
      <w:pPr>
        <w:adjustRightInd/>
        <w:spacing w:line="590" w:lineRule="exact"/>
        <w:ind w:firstLine="640" w:firstLineChars="200"/>
        <w:textAlignment w:val="auto"/>
        <w:rPr>
          <w:szCs w:val="32"/>
        </w:rPr>
      </w:pPr>
      <w:r>
        <w:rPr>
          <w:rFonts w:hint="eastAsia"/>
          <w:szCs w:val="32"/>
        </w:rPr>
        <w:t>4.是否掌握使用危险化学品的品种、危险特性、用途、使用方式、使用和储存数量等情况，并建立相关台账资料。</w:t>
      </w:r>
    </w:p>
    <w:p>
      <w:pPr>
        <w:adjustRightInd/>
        <w:spacing w:line="590" w:lineRule="exact"/>
        <w:ind w:firstLine="640" w:firstLineChars="200"/>
        <w:textAlignment w:val="auto"/>
        <w:rPr>
          <w:szCs w:val="32"/>
        </w:rPr>
      </w:pPr>
      <w:r>
        <w:rPr>
          <w:rFonts w:hint="eastAsia"/>
          <w:szCs w:val="32"/>
        </w:rPr>
        <w:t>5.</w:t>
      </w:r>
      <w:r>
        <w:rPr>
          <w:rFonts w:hint="eastAsia"/>
          <w:kern w:val="2"/>
          <w:szCs w:val="32"/>
        </w:rPr>
        <w:t>是否对各类危险化学品进行分类储存并由专人管理，</w:t>
      </w:r>
      <w:r>
        <w:rPr>
          <w:rFonts w:hint="eastAsia"/>
          <w:szCs w:val="32"/>
        </w:rPr>
        <w:t>是否开展危险化学品使用环节的安全风险辨识管控和隐患排查治理。</w:t>
      </w:r>
    </w:p>
    <w:p>
      <w:pPr>
        <w:adjustRightInd/>
        <w:spacing w:line="590" w:lineRule="exact"/>
        <w:ind w:firstLine="640" w:firstLineChars="200"/>
        <w:textAlignment w:val="auto"/>
        <w:rPr>
          <w:szCs w:val="32"/>
        </w:rPr>
      </w:pPr>
      <w:r>
        <w:rPr>
          <w:rFonts w:hint="eastAsia"/>
          <w:szCs w:val="32"/>
        </w:rPr>
        <w:t>6.是否从具有危险化学品经营资质单位采购及使用附有安全技术说明书、安全标签的危险化学品。</w:t>
      </w:r>
    </w:p>
    <w:p>
      <w:pPr>
        <w:adjustRightInd/>
        <w:spacing w:line="590" w:lineRule="exact"/>
        <w:ind w:firstLine="640" w:firstLineChars="200"/>
        <w:textAlignment w:val="auto"/>
        <w:rPr>
          <w:szCs w:val="32"/>
        </w:rPr>
      </w:pPr>
      <w:r>
        <w:rPr>
          <w:rFonts w:hint="eastAsia"/>
          <w:szCs w:val="32"/>
        </w:rPr>
        <w:t>7.是否存在使用国家明令禁止生产、经营、使用和违反限制性规定的危险化学品。</w:t>
      </w:r>
    </w:p>
    <w:p>
      <w:pPr>
        <w:adjustRightInd/>
        <w:spacing w:line="590" w:lineRule="exact"/>
        <w:ind w:firstLine="640" w:firstLineChars="200"/>
        <w:textAlignment w:val="auto"/>
        <w:rPr>
          <w:szCs w:val="32"/>
        </w:rPr>
      </w:pPr>
      <w:r>
        <w:rPr>
          <w:rFonts w:hint="eastAsia"/>
          <w:szCs w:val="32"/>
        </w:rPr>
        <w:t>8.是否对涉及危险化学品使用的从业人员进行安全教育和岗位技术培训，对危险化学品安全技术说明书和安全标签进行专项培训，有资格要求的岗位是否配备依法取得相应资格的人员。</w:t>
      </w:r>
    </w:p>
    <w:p>
      <w:pPr>
        <w:adjustRightInd/>
        <w:spacing w:line="590" w:lineRule="exact"/>
        <w:ind w:firstLine="640" w:firstLineChars="200"/>
        <w:textAlignment w:val="auto"/>
        <w:rPr>
          <w:kern w:val="2"/>
          <w:szCs w:val="32"/>
        </w:rPr>
      </w:pPr>
      <w:r>
        <w:rPr>
          <w:rFonts w:hint="eastAsia"/>
          <w:szCs w:val="32"/>
        </w:rPr>
        <w:t>9.是否制定危险化学品使用环节事故应急预案或处置方案，并定期组织演练。</w:t>
      </w:r>
    </w:p>
    <w:p>
      <w:pPr>
        <w:adjustRightInd/>
        <w:spacing w:line="590" w:lineRule="exact"/>
        <w:ind w:firstLine="640" w:firstLineChars="200"/>
        <w:textAlignment w:val="auto"/>
        <w:rPr>
          <w:kern w:val="2"/>
          <w:szCs w:val="32"/>
        </w:rPr>
      </w:pPr>
      <w:r>
        <w:rPr>
          <w:rFonts w:hint="eastAsia"/>
          <w:kern w:val="2"/>
          <w:szCs w:val="32"/>
        </w:rPr>
        <w:t>10.是否及时将危险化学品使用情况进行报备。</w:t>
      </w:r>
    </w:p>
    <w:p>
      <w:pPr>
        <w:adjustRightInd/>
        <w:spacing w:line="590" w:lineRule="exact"/>
        <w:ind w:firstLine="640" w:firstLineChars="200"/>
        <w:textAlignment w:val="auto"/>
        <w:rPr>
          <w:rFonts w:eastAsia="方正黑体_GBK"/>
          <w:szCs w:val="32"/>
        </w:rPr>
      </w:pPr>
      <w:r>
        <w:rPr>
          <w:rFonts w:hint="eastAsia" w:eastAsia="方正黑体_GBK"/>
          <w:szCs w:val="32"/>
        </w:rPr>
        <w:t>三、时序安排</w:t>
      </w:r>
    </w:p>
    <w:p>
      <w:pPr>
        <w:adjustRightInd/>
        <w:spacing w:line="590" w:lineRule="exact"/>
        <w:ind w:firstLine="640" w:firstLineChars="200"/>
        <w:textAlignment w:val="auto"/>
        <w:rPr>
          <w:szCs w:val="32"/>
        </w:rPr>
      </w:pPr>
      <w:r>
        <w:rPr>
          <w:rFonts w:hint="eastAsia"/>
          <w:szCs w:val="32"/>
        </w:rPr>
        <w:t>从即日起至12月底，分三个阶段进行。</w:t>
      </w:r>
    </w:p>
    <w:p>
      <w:pPr>
        <w:spacing w:line="560" w:lineRule="exact"/>
        <w:ind w:firstLine="640" w:firstLineChars="200"/>
        <w:rPr>
          <w:kern w:val="2"/>
          <w:szCs w:val="32"/>
        </w:rPr>
      </w:pPr>
      <w:r>
        <w:rPr>
          <w:rFonts w:hint="eastAsia" w:eastAsia="方正楷体_GBK"/>
          <w:szCs w:val="32"/>
        </w:rPr>
        <w:t>（一）动员部署阶段（2022年4月10前）。</w:t>
      </w:r>
      <w:r>
        <w:rPr>
          <w:snapToGrid w:val="0"/>
        </w:rPr>
        <w:t>各单位、各在建工程项目部根据建筑施工实际，制定具体实施方案，明确职责任务，细化工作措施，全面部署开展危险化学品</w:t>
      </w:r>
      <w:r>
        <w:rPr>
          <w:rFonts w:hint="eastAsia"/>
          <w:kern w:val="2"/>
          <w:szCs w:val="32"/>
        </w:rPr>
        <w:t>安全风险集中治理行动</w:t>
      </w:r>
      <w:r>
        <w:rPr>
          <w:rFonts w:hint="eastAsia"/>
          <w:szCs w:val="32"/>
        </w:rPr>
        <w:t>。</w:t>
      </w:r>
    </w:p>
    <w:p>
      <w:pPr>
        <w:adjustRightInd/>
        <w:spacing w:line="590" w:lineRule="exact"/>
        <w:ind w:firstLine="640" w:firstLineChars="200"/>
        <w:textAlignment w:val="auto"/>
        <w:rPr>
          <w:szCs w:val="32"/>
        </w:rPr>
      </w:pPr>
      <w:r>
        <w:rPr>
          <w:rFonts w:hint="eastAsia" w:eastAsia="方正楷体_GBK"/>
          <w:szCs w:val="32"/>
        </w:rPr>
        <w:t>（二）集中整治阶段（2022年11月底前）。</w:t>
      </w:r>
      <w:r>
        <w:rPr>
          <w:rFonts w:hint="eastAsia"/>
          <w:szCs w:val="32"/>
        </w:rPr>
        <w:t>各在建工程项目部进行全面排查梳理，根据</w:t>
      </w:r>
      <w:r>
        <w:rPr>
          <w:szCs w:val="32"/>
        </w:rPr>
        <w:t>实施</w:t>
      </w:r>
      <w:r>
        <w:rPr>
          <w:rFonts w:hint="eastAsia"/>
          <w:szCs w:val="32"/>
        </w:rPr>
        <w:t>方案</w:t>
      </w:r>
      <w:r>
        <w:rPr>
          <w:szCs w:val="32"/>
        </w:rPr>
        <w:t>开展自查自纠，对发现的隐患</w:t>
      </w:r>
      <w:r>
        <w:rPr>
          <w:rFonts w:hint="eastAsia"/>
          <w:szCs w:val="32"/>
        </w:rPr>
        <w:t>及时</w:t>
      </w:r>
      <w:r>
        <w:rPr>
          <w:szCs w:val="32"/>
        </w:rPr>
        <w:t>整改落实，</w:t>
      </w:r>
      <w:r>
        <w:rPr>
          <w:rFonts w:hint="eastAsia"/>
          <w:szCs w:val="32"/>
        </w:rPr>
        <w:t>建立清单台账，逐条对账销号，确保集中治理行动取得实效。</w:t>
      </w:r>
    </w:p>
    <w:p>
      <w:pPr>
        <w:adjustRightInd/>
        <w:spacing w:line="590" w:lineRule="exact"/>
        <w:ind w:firstLine="640" w:firstLineChars="200"/>
        <w:textAlignment w:val="auto"/>
      </w:pPr>
      <w:r>
        <w:rPr>
          <w:rFonts w:hint="eastAsia"/>
          <w:snapToGrid w:val="0"/>
        </w:rPr>
        <w:t>结合</w:t>
      </w:r>
      <w:r>
        <w:rPr>
          <w:snapToGrid w:val="0"/>
        </w:rPr>
        <w:t>各项目</w:t>
      </w:r>
      <w:r>
        <w:rPr>
          <w:rFonts w:hint="eastAsia"/>
          <w:snapToGrid w:val="0"/>
        </w:rPr>
        <w:t>清单</w:t>
      </w:r>
      <w:r>
        <w:rPr>
          <w:snapToGrid w:val="0"/>
        </w:rPr>
        <w:t>台账及自查自纠</w:t>
      </w:r>
      <w:r>
        <w:rPr>
          <w:rFonts w:hint="eastAsia"/>
          <w:snapToGrid w:val="0"/>
        </w:rPr>
        <w:t>情况</w:t>
      </w:r>
      <w:r>
        <w:rPr>
          <w:snapToGrid w:val="0"/>
        </w:rPr>
        <w:t>，我站</w:t>
      </w:r>
      <w:r>
        <w:t>采取突击检查、明查暗访、随机抽查、检查“回头看”等多种方式，加强对重点环节、重点项目、重点企业的监督检查，特别是对突出问题和重大隐患的整改实施跟踪督办、闭环管理，推动问题隐患整改落实。</w:t>
      </w:r>
    </w:p>
    <w:p>
      <w:pPr>
        <w:snapToGrid w:val="0"/>
        <w:spacing w:line="560" w:lineRule="exact"/>
        <w:ind w:firstLine="640" w:firstLineChars="200"/>
        <w:rPr>
          <w:snapToGrid w:val="0"/>
        </w:rPr>
      </w:pPr>
      <w:r>
        <w:rPr>
          <w:rFonts w:hint="eastAsia" w:eastAsia="方正楷体_GBK"/>
          <w:szCs w:val="32"/>
        </w:rPr>
        <w:t>（</w:t>
      </w:r>
      <w:r>
        <w:rPr>
          <w:rFonts w:eastAsia="方正楷体_GBK"/>
          <w:szCs w:val="32"/>
        </w:rPr>
        <w:t>三</w:t>
      </w:r>
      <w:r>
        <w:rPr>
          <w:rFonts w:hint="eastAsia" w:eastAsia="方正楷体_GBK"/>
          <w:szCs w:val="32"/>
        </w:rPr>
        <w:t>）总结验收阶段（2022年12月底前）。</w:t>
      </w:r>
      <w:r>
        <w:rPr>
          <w:snapToGrid w:val="0"/>
        </w:rPr>
        <w:t>各单位、各在建工程项目部要坚持问题导向，着眼长效机制，及时总结推广专项治理行动中好的制度、做法和措施，梳理典型经验做法，进一步完善管理措施，补齐工作短板，建立健全建设施工标准化、规范化管理制度体系。</w:t>
      </w:r>
    </w:p>
    <w:p>
      <w:pPr>
        <w:adjustRightInd/>
        <w:spacing w:line="590" w:lineRule="exact"/>
        <w:ind w:firstLine="640" w:firstLineChars="200"/>
        <w:textAlignment w:val="auto"/>
        <w:rPr>
          <w:rFonts w:eastAsia="方正黑体_GBK"/>
        </w:rPr>
      </w:pPr>
      <w:r>
        <w:rPr>
          <w:rFonts w:hint="eastAsia" w:eastAsia="方正黑体_GBK"/>
        </w:rPr>
        <w:t>四、工作要求</w:t>
      </w:r>
    </w:p>
    <w:p>
      <w:pPr>
        <w:spacing w:line="560" w:lineRule="exact"/>
        <w:ind w:firstLine="640" w:firstLineChars="200"/>
        <w:rPr>
          <w:snapToGrid w:val="0"/>
        </w:rPr>
      </w:pPr>
      <w:r>
        <w:rPr>
          <w:rFonts w:hint="eastAsia" w:eastAsia="方正楷体_GBK"/>
          <w:szCs w:val="32"/>
        </w:rPr>
        <w:t>（一）建立组织领导。</w:t>
      </w:r>
      <w:r>
        <w:rPr>
          <w:rFonts w:hint="eastAsia"/>
          <w:szCs w:val="32"/>
        </w:rPr>
        <w:t>我站建立以站</w:t>
      </w:r>
      <w:r>
        <w:rPr>
          <w:szCs w:val="32"/>
        </w:rPr>
        <w:t>党支部书记</w:t>
      </w:r>
      <w:r>
        <w:rPr>
          <w:rFonts w:hint="eastAsia"/>
          <w:szCs w:val="32"/>
        </w:rPr>
        <w:t>为组长、各副</w:t>
      </w:r>
      <w:r>
        <w:rPr>
          <w:szCs w:val="32"/>
        </w:rPr>
        <w:t>站长</w:t>
      </w:r>
      <w:r>
        <w:rPr>
          <w:rFonts w:hint="eastAsia"/>
          <w:szCs w:val="32"/>
        </w:rPr>
        <w:t>为副组长、</w:t>
      </w:r>
      <w:r>
        <w:rPr>
          <w:color w:val="000000"/>
        </w:rPr>
        <w:t>各监督科室负责人为组员</w:t>
      </w:r>
      <w:r>
        <w:rPr>
          <w:rFonts w:hint="eastAsia"/>
          <w:szCs w:val="32"/>
        </w:rPr>
        <w:t>的</w:t>
      </w:r>
      <w:r>
        <w:rPr>
          <w:rFonts w:hint="eastAsia"/>
          <w:kern w:val="2"/>
          <w:szCs w:val="32"/>
        </w:rPr>
        <w:t>危险化学品安全风险集中治理行动领导小组，领导小组办公室设在综合业务</w:t>
      </w:r>
      <w:r>
        <w:rPr>
          <w:kern w:val="2"/>
          <w:szCs w:val="32"/>
        </w:rPr>
        <w:t>科</w:t>
      </w:r>
      <w:r>
        <w:rPr>
          <w:rFonts w:hint="eastAsia"/>
          <w:kern w:val="2"/>
          <w:szCs w:val="32"/>
        </w:rPr>
        <w:t>，</w:t>
      </w:r>
      <w:r>
        <w:rPr>
          <w:rFonts w:hint="eastAsia"/>
          <w:szCs w:val="32"/>
        </w:rPr>
        <w:t>负责具体工作推动落实。</w:t>
      </w:r>
      <w:r>
        <w:rPr>
          <w:color w:val="000000"/>
        </w:rPr>
        <w:t>各施工企业要成立相应的组织领导机构，全面加强对施工现场危险化学品</w:t>
      </w:r>
      <w:r>
        <w:rPr>
          <w:rFonts w:hint="eastAsia"/>
          <w:color w:val="000000"/>
        </w:rPr>
        <w:t>安全</w:t>
      </w:r>
      <w:r>
        <w:rPr>
          <w:color w:val="000000"/>
        </w:rPr>
        <w:t>风险集中治理的组织领导和协调推进。主要负责人要亲自谋划、亲自部署，分管领导要具体推动、狠抓落实，务求取得扎扎实实的工作成效。</w:t>
      </w:r>
    </w:p>
    <w:p>
      <w:pPr>
        <w:adjustRightInd/>
        <w:spacing w:line="590" w:lineRule="exact"/>
        <w:ind w:firstLine="640" w:firstLineChars="200"/>
        <w:textAlignment w:val="auto"/>
        <w:rPr>
          <w:szCs w:val="32"/>
        </w:rPr>
      </w:pPr>
      <w:r>
        <w:rPr>
          <w:rFonts w:hint="eastAsia" w:eastAsia="方正楷体_GBK"/>
          <w:szCs w:val="32"/>
        </w:rPr>
        <w:t>（二）进行宣传发动。</w:t>
      </w:r>
      <w:r>
        <w:t>各单位、各在建工程项目部</w:t>
      </w:r>
      <w:r>
        <w:rPr>
          <w:rFonts w:hint="eastAsia"/>
          <w:szCs w:val="32"/>
        </w:rPr>
        <w:t>要充分发挥新闻媒体的宣传作用，通过开办专栏专题等多种形式，大力宣传</w:t>
      </w:r>
      <w:r>
        <w:rPr>
          <w:rFonts w:hint="eastAsia"/>
          <w:kern w:val="2"/>
          <w:szCs w:val="32"/>
        </w:rPr>
        <w:t>危险化学品安全风险集中治理行动</w:t>
      </w:r>
      <w:r>
        <w:rPr>
          <w:rFonts w:hint="eastAsia"/>
          <w:szCs w:val="32"/>
        </w:rPr>
        <w:t>，让从业人员知晓专项治理行动这项重要工作，普及危险化学品使用的安全知识，形成全社会普遍关注和重视的浓厚舆论氛围。</w:t>
      </w:r>
    </w:p>
    <w:p>
      <w:pPr>
        <w:spacing w:line="560" w:lineRule="exact"/>
        <w:ind w:firstLine="640" w:firstLineChars="200"/>
        <w:rPr>
          <w:snapToGrid w:val="0"/>
        </w:rPr>
      </w:pPr>
      <w:r>
        <w:rPr>
          <w:rFonts w:hint="eastAsia" w:eastAsia="方正楷体_GBK"/>
          <w:szCs w:val="32"/>
        </w:rPr>
        <w:t>（三）强化问题整改。</w:t>
      </w:r>
      <w:r>
        <w:t>各单位、各在建工程项目部</w:t>
      </w:r>
      <w:r>
        <w:rPr>
          <w:rFonts w:hint="eastAsia"/>
          <w:szCs w:val="32"/>
        </w:rPr>
        <w:t>要</w:t>
      </w:r>
      <w:r>
        <w:rPr>
          <w:color w:val="000000"/>
        </w:rPr>
        <w:t>严格落实“党政同责、一岗双责、齐抓共管、失职追责”的要求，每项任务要分解到具体部门、落实到具体人员；</w:t>
      </w:r>
      <w:r>
        <w:rPr>
          <w:rFonts w:hint="eastAsia"/>
          <w:color w:val="000000"/>
        </w:rPr>
        <w:t>集中</w:t>
      </w:r>
      <w:r>
        <w:rPr>
          <w:color w:val="000000"/>
        </w:rPr>
        <w:t>治理情况要</w:t>
      </w:r>
      <w:r>
        <w:rPr>
          <w:rFonts w:hint="eastAsia"/>
          <w:szCs w:val="32"/>
        </w:rPr>
        <w:t>形成问题清单，建立工作台账，对隐患问题要落实整改责任、整改时限和整改措施，实行整改销号制度；</w:t>
      </w:r>
      <w:r>
        <w:rPr>
          <w:color w:val="000000"/>
        </w:rPr>
        <w:t>危险化学品</w:t>
      </w:r>
      <w:r>
        <w:rPr>
          <w:rFonts w:hint="eastAsia"/>
          <w:color w:val="000000"/>
        </w:rPr>
        <w:t>安全</w:t>
      </w:r>
      <w:r>
        <w:rPr>
          <w:color w:val="000000"/>
        </w:rPr>
        <w:t>风险集中治理</w:t>
      </w:r>
      <w:r>
        <w:rPr>
          <w:rFonts w:hint="eastAsia"/>
          <w:color w:val="000000"/>
        </w:rPr>
        <w:t>期间</w:t>
      </w:r>
      <w:r>
        <w:rPr>
          <w:color w:val="000000"/>
        </w:rPr>
        <w:t>，</w:t>
      </w:r>
      <w:r>
        <w:rPr>
          <w:rFonts w:hint="eastAsia"/>
          <w:szCs w:val="32"/>
        </w:rPr>
        <w:t>我</w:t>
      </w:r>
      <w:r>
        <w:rPr>
          <w:szCs w:val="32"/>
        </w:rPr>
        <w:t>站将</w:t>
      </w:r>
      <w:r>
        <w:rPr>
          <w:rFonts w:hint="eastAsia"/>
          <w:szCs w:val="32"/>
        </w:rPr>
        <w:t>对</w:t>
      </w:r>
      <w:r>
        <w:rPr>
          <w:color w:val="000000"/>
        </w:rPr>
        <w:t>责任和措施落实不到位</w:t>
      </w:r>
      <w:r>
        <w:rPr>
          <w:rFonts w:hint="eastAsia"/>
          <w:szCs w:val="32"/>
        </w:rPr>
        <w:t>存在违法违规行为的</w:t>
      </w:r>
      <w:r>
        <w:rPr>
          <w:color w:val="000000"/>
        </w:rPr>
        <w:t>从重严肃惩处</w:t>
      </w:r>
      <w:r>
        <w:rPr>
          <w:rFonts w:hint="eastAsia"/>
          <w:color w:val="000000"/>
        </w:rPr>
        <w:t>，</w:t>
      </w:r>
      <w:r>
        <w:rPr>
          <w:rFonts w:hint="eastAsia"/>
          <w:szCs w:val="32"/>
        </w:rPr>
        <w:t>同时移交行政处罚。</w:t>
      </w:r>
    </w:p>
    <w:p>
      <w:pPr>
        <w:adjustRightInd/>
        <w:spacing w:line="590" w:lineRule="exact"/>
        <w:ind w:firstLine="640" w:firstLineChars="200"/>
        <w:textAlignment w:val="auto"/>
      </w:pPr>
      <w:r>
        <w:rPr>
          <w:rFonts w:hint="eastAsia" w:eastAsia="方正楷体_GBK"/>
          <w:szCs w:val="32"/>
        </w:rPr>
        <w:t>（四）及时报送信息。</w:t>
      </w:r>
      <w:r>
        <w:rPr>
          <w:color w:val="000000"/>
        </w:rPr>
        <w:t>强</w:t>
      </w:r>
      <w:r>
        <w:rPr>
          <w:rFonts w:hint="eastAsia"/>
          <w:color w:val="000000"/>
        </w:rPr>
        <w:t>化</w:t>
      </w:r>
      <w:r>
        <w:rPr>
          <w:color w:val="000000"/>
        </w:rPr>
        <w:t>对信息报送工作的组织领导，保证相关信息报送的及时性、规范性和准确性。</w:t>
      </w:r>
      <w:r>
        <w:rPr>
          <w:bCs/>
          <w:color w:val="000000"/>
        </w:rPr>
        <w:t>市区在建项目各施工单位</w:t>
      </w:r>
      <w:r>
        <w:rPr>
          <w:rFonts w:hint="eastAsia"/>
          <w:szCs w:val="32"/>
        </w:rPr>
        <w:t>于2022年4月11日前报送实施方案</w:t>
      </w:r>
      <w:r>
        <w:rPr>
          <w:rFonts w:hint="eastAsia"/>
          <w:kern w:val="2"/>
          <w:szCs w:val="32"/>
        </w:rPr>
        <w:t>；并请</w:t>
      </w:r>
      <w:r>
        <w:rPr>
          <w:rFonts w:hint="eastAsia"/>
          <w:szCs w:val="32"/>
        </w:rPr>
        <w:t>分别于6月、9月13日前报送</w:t>
      </w:r>
      <w:r>
        <w:rPr>
          <w:rFonts w:hint="eastAsia"/>
          <w:bCs/>
          <w:color w:val="000000"/>
        </w:rPr>
        <w:t>自查</w:t>
      </w:r>
      <w:r>
        <w:rPr>
          <w:bCs/>
          <w:color w:val="000000"/>
        </w:rPr>
        <w:t>自纠</w:t>
      </w:r>
      <w:r>
        <w:rPr>
          <w:rFonts w:hint="eastAsia"/>
          <w:bCs/>
          <w:color w:val="000000"/>
        </w:rPr>
        <w:t>阶段</w:t>
      </w:r>
      <w:r>
        <w:rPr>
          <w:rFonts w:hint="eastAsia"/>
          <w:szCs w:val="32"/>
        </w:rPr>
        <w:t>性</w:t>
      </w:r>
      <w:r>
        <w:rPr>
          <w:szCs w:val="32"/>
        </w:rPr>
        <w:t>工作进展</w:t>
      </w:r>
      <w:r>
        <w:rPr>
          <w:rFonts w:hint="eastAsia"/>
          <w:szCs w:val="32"/>
        </w:rPr>
        <w:t>（含</w:t>
      </w:r>
      <w:r>
        <w:rPr>
          <w:szCs w:val="32"/>
        </w:rPr>
        <w:t>附件</w:t>
      </w:r>
      <w:r>
        <w:rPr>
          <w:rFonts w:hint="eastAsia"/>
          <w:szCs w:val="32"/>
        </w:rPr>
        <w:t>1），12月</w:t>
      </w:r>
      <w:r>
        <w:rPr>
          <w:szCs w:val="32"/>
        </w:rPr>
        <w:t>10</w:t>
      </w:r>
      <w:r>
        <w:rPr>
          <w:rFonts w:hint="eastAsia"/>
          <w:szCs w:val="32"/>
        </w:rPr>
        <w:t>日前报送工作总结。</w:t>
      </w:r>
      <w:r>
        <w:t>房屋建筑工程</w:t>
      </w:r>
      <w:r>
        <w:rPr>
          <w:rFonts w:hint="eastAsia"/>
        </w:rPr>
        <w:t>对接监管科室分别报送，</w:t>
      </w:r>
      <w:r>
        <w:rPr>
          <w:rFonts w:hint="eastAsia"/>
          <w:szCs w:val="32"/>
        </w:rPr>
        <w:t>房建</w:t>
      </w:r>
      <w:r>
        <w:rPr>
          <w:szCs w:val="32"/>
        </w:rPr>
        <w:t>一科</w:t>
      </w:r>
      <w:r>
        <w:fldChar w:fldCharType="begin"/>
      </w:r>
      <w:r>
        <w:instrText xml:space="preserve"> HYPERLINK "mailto:报送至电子邮箱ajzfjk@126.com" </w:instrText>
      </w:r>
      <w:r>
        <w:fldChar w:fldCharType="separate"/>
      </w:r>
      <w:r>
        <w:rPr>
          <w:szCs w:val="32"/>
        </w:rPr>
        <w:t>邮箱</w:t>
      </w:r>
      <w:r>
        <w:rPr>
          <w:szCs w:val="32"/>
        </w:rPr>
        <w:fldChar w:fldCharType="end"/>
      </w:r>
      <w:r>
        <w:t>2111488259@qq.com</w:t>
      </w:r>
      <w:r>
        <w:rPr>
          <w:rFonts w:hint="eastAsia"/>
        </w:rPr>
        <w:t>，</w:t>
      </w:r>
      <w:r>
        <w:rPr>
          <w:szCs w:val="32"/>
        </w:rPr>
        <w:t>房建二科</w:t>
      </w:r>
      <w:r>
        <w:fldChar w:fldCharType="begin"/>
      </w:r>
      <w:r>
        <w:instrText xml:space="preserve"> HYPERLINK "mailto:邮箱" </w:instrText>
      </w:r>
      <w:r>
        <w:fldChar w:fldCharType="separate"/>
      </w:r>
      <w:r>
        <w:rPr>
          <w:szCs w:val="32"/>
        </w:rPr>
        <w:t>邮箱</w:t>
      </w:r>
      <w:r>
        <w:rPr>
          <w:szCs w:val="32"/>
        </w:rPr>
        <w:fldChar w:fldCharType="end"/>
      </w:r>
      <w:r>
        <w:rPr>
          <w:szCs w:val="32"/>
        </w:rPr>
        <w:t>ajzfjk@126.com</w:t>
      </w:r>
      <w:r>
        <w:rPr>
          <w:rFonts w:hint="eastAsia"/>
          <w:szCs w:val="32"/>
        </w:rPr>
        <w:t>，</w:t>
      </w:r>
      <w:r>
        <w:rPr>
          <w:szCs w:val="32"/>
        </w:rPr>
        <w:t>房建三科</w:t>
      </w:r>
      <w:r>
        <w:fldChar w:fldCharType="begin"/>
      </w:r>
      <w:r>
        <w:instrText xml:space="preserve"> HYPERLINK "mailto:邮箱" </w:instrText>
      </w:r>
      <w:r>
        <w:fldChar w:fldCharType="separate"/>
      </w:r>
      <w:r>
        <w:rPr>
          <w:szCs w:val="32"/>
        </w:rPr>
        <w:t>邮箱</w:t>
      </w:r>
      <w:r>
        <w:rPr>
          <w:szCs w:val="32"/>
        </w:rPr>
        <w:fldChar w:fldCharType="end"/>
      </w:r>
      <w:r>
        <w:fldChar w:fldCharType="begin"/>
      </w:r>
      <w:r>
        <w:instrText xml:space="preserve"> HYPERLINK "mailto:19555000193@aliyun.com" </w:instrText>
      </w:r>
      <w:r>
        <w:fldChar w:fldCharType="separate"/>
      </w:r>
      <w:r>
        <w:t>19555000193@aliyun.com</w:t>
      </w:r>
      <w:r>
        <w:fldChar w:fldCharType="end"/>
      </w:r>
      <w:r>
        <w:rPr>
          <w:rFonts w:hint="eastAsia"/>
          <w:szCs w:val="32"/>
        </w:rPr>
        <w:t>；</w:t>
      </w:r>
      <w:r>
        <w:t>轨道交通工程报送</w:t>
      </w:r>
      <w:r>
        <w:rPr>
          <w:rFonts w:hint="eastAsia"/>
        </w:rPr>
        <w:t>电子邮箱</w:t>
      </w:r>
      <w:r>
        <w:t>ajzgdk@163.com</w:t>
      </w:r>
      <w:r>
        <w:rPr>
          <w:rFonts w:hint="eastAsia"/>
        </w:rPr>
        <w:t>。</w:t>
      </w:r>
    </w:p>
    <w:p>
      <w:pPr>
        <w:adjustRightInd/>
        <w:spacing w:line="590" w:lineRule="exact"/>
        <w:ind w:firstLine="420" w:firstLineChars="200"/>
        <w:textAlignment w:val="auto"/>
        <w:rPr>
          <w:kern w:val="2"/>
          <w:sz w:val="21"/>
          <w:szCs w:val="21"/>
        </w:rPr>
      </w:pPr>
    </w:p>
    <w:p>
      <w:pPr>
        <w:adjustRightInd/>
        <w:spacing w:line="590" w:lineRule="exact"/>
        <w:ind w:firstLine="420" w:firstLineChars="200"/>
        <w:textAlignment w:val="auto"/>
        <w:rPr>
          <w:kern w:val="2"/>
          <w:sz w:val="21"/>
          <w:szCs w:val="21"/>
        </w:rPr>
        <w:sectPr>
          <w:headerReference r:id="rId5" w:type="default"/>
          <w:footerReference r:id="rId6" w:type="default"/>
          <w:footerReference r:id="rId7" w:type="even"/>
          <w:pgSz w:w="11907" w:h="16840"/>
          <w:pgMar w:top="2098" w:right="1418" w:bottom="1984" w:left="1588" w:header="720" w:footer="1587" w:gutter="0"/>
          <w:cols w:space="720" w:num="1"/>
          <w:docGrid w:type="linesAndChars" w:linePitch="579" w:charSpace="-15"/>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8" w:rightChars="90"/>
      <w:jc w:val="right"/>
      <w:rPr>
        <w:rFonts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495300" cy="262890"/>
              <wp:effectExtent l="0" t="0" r="0" b="0"/>
              <wp:wrapNone/>
              <wp:docPr id="1" name="矩形 1"/>
              <wp:cNvGraphicFramePr/>
              <a:graphic xmlns:a="http://schemas.openxmlformats.org/drawingml/2006/main">
                <a:graphicData uri="http://schemas.microsoft.com/office/word/2010/wordprocessingShape">
                  <wps:wsp>
                    <wps:cNvSpPr/>
                    <wps:spPr>
                      <a:xfrm>
                        <a:off x="0" y="0"/>
                        <a:ext cx="495300" cy="263144"/>
                      </a:xfrm>
                      <a:prstGeom prst="rect">
                        <a:avLst/>
                      </a:prstGeom>
                      <a:noFill/>
                      <a:ln w="9525" cap="flat" cmpd="sng">
                        <a:noFill/>
                        <a:prstDash val="solid"/>
                        <a:round/>
                      </a:ln>
                      <a:effectLst/>
                    </wps:spPr>
                    <wps:txbx>
                      <w:txbxContent>
                        <w:p>
                          <w:pPr>
                            <w:pStyle w:val="2"/>
                          </w:pPr>
                          <w:r>
                            <w:rPr>
                              <w:rFonts w:hint="eastAsia"/>
                              <w:sz w:val="32"/>
                              <w:szCs w:val="32"/>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r>
                            <w:rPr>
                              <w:rFonts w:hint="eastAsia"/>
                              <w:sz w:val="32"/>
                              <w:szCs w:val="32"/>
                            </w:rPr>
                            <w:t>—</w:t>
                          </w:r>
                        </w:p>
                      </w:txbxContent>
                    </wps:txbx>
                    <wps:bodyPr vert="horz" wrap="none" lIns="0" tIns="0" rIns="0" bIns="0" anchor="t" anchorCtr="0">
                      <a:spAutoFit/>
                    </wps:bodyPr>
                  </wps:wsp>
                </a:graphicData>
              </a:graphic>
            </wp:anchor>
          </w:drawing>
        </mc:Choice>
        <mc:Fallback>
          <w:pict>
            <v:rect id="_x0000_s1026" o:spid="_x0000_s1026" o:spt="1" style="position:absolute;left:0pt;margin-top:8.25pt;height:20.7pt;width:39pt;mso-position-horizontal:outside;mso-position-horizontal-relative:margin;mso-wrap-style:none;z-index:251659264;mso-width-relative:page;mso-height-relative:page;" filled="f" stroked="f" coordsize="21600,21600" o:gfxdata="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MjJfVAAAABQEAAA8AAAAAAAAAAQAgAAAAIgAAAGRycy9kb3ducmV2&#10;LnhtbFBLAQIUABQAAAAIAIdO4kDZ1sNq/wEAAPMDAAAOAAAAAAAAAAEAIAAAACQBAABkcnMvZTJv&#10;RG9jLnhtbFBLBQYAAAAABgAGAFkBAACVBQAAAAA=&#10;">
              <v:path arrowok="t"/>
              <v:fill on="f" focussize="0,0"/>
              <v:stroke on="f" joinstyle="round"/>
              <v:imagedata o:title=""/>
              <o:lock v:ext="edit"/>
              <v:textbox inset="0mm,0mm,0mm,0mm" style="mso-fit-shape-to-text:t;">
                <w:txbxContent>
                  <w:p>
                    <w:pPr>
                      <w:pStyle w:val="2"/>
                    </w:pPr>
                    <w:r>
                      <w:rPr>
                        <w:rFonts w:hint="eastAsia"/>
                        <w:sz w:val="32"/>
                        <w:szCs w:val="32"/>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r>
                      <w:rPr>
                        <w:rFonts w:hint="eastAsia"/>
                        <w:sz w:val="32"/>
                        <w:szCs w:val="32"/>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08" w:firstLineChars="110"/>
      <w:rPr>
        <w:rFonts w:asci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7150" cy="152400"/>
              <wp:effectExtent l="0" t="0" r="0" b="0"/>
              <wp:wrapNone/>
              <wp:docPr id="4" name="矩形 4"/>
              <wp:cNvGraphicFramePr/>
              <a:graphic xmlns:a="http://schemas.openxmlformats.org/drawingml/2006/main">
                <a:graphicData uri="http://schemas.microsoft.com/office/word/2010/wordprocessingShape">
                  <wps:wsp>
                    <wps:cNvSpPr/>
                    <wps:spPr>
                      <a:xfrm>
                        <a:off x="0" y="0"/>
                        <a:ext cx="57150" cy="152400"/>
                      </a:xfrm>
                      <a:prstGeom prst="rect">
                        <a:avLst/>
                      </a:prstGeom>
                      <a:noFill/>
                      <a:ln w="9525" cap="flat" cmpd="sng">
                        <a:noFill/>
                        <a:prstDash val="solid"/>
                        <a:round/>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a:spAutoFit/>
                    </wps:bodyPr>
                  </wps:wsp>
                </a:graphicData>
              </a:graphic>
            </wp:anchor>
          </w:drawing>
        </mc:Choice>
        <mc:Fallback>
          <w:pict>
            <v:rect id="_x0000_s1026" o:spid="_x0000_s1026" o:spt="1" style="position:absolute;left:0pt;margin-top:0pt;height:12pt;width:4.5pt;mso-position-horizontal:outside;mso-position-horizontal-relative:margin;mso-wrap-style:none;z-index:251660288;mso-width-relative:page;mso-height-relative:page;" filled="f" stroked="f" coordsize="21600,21600" o:gfxdata="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ImxRvTAAAAAgEAAA8AAAAAAAAAAQAgAAAAIgAAAGRycy9kb3ducmV2Lnht&#10;bFBLAQIUABQAAAAIAIdO4kCKmBmf/gEAAPIDAAAOAAAAAAAAAAEAIAAAACIBAABkcnMvZTJvRG9j&#10;LnhtbFBLBQYAAAAABgAGAFkBAACSBQAAAAA=&#10;">
              <v:path arrowok="t"/>
              <v:fill on="f" focussize="0,0"/>
              <v:stroke on="f" joinstyle="round"/>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E5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6">
    <w:name w:val="BodyText1I2"/>
    <w:basedOn w:val="1"/>
    <w:qFormat/>
    <w:uiPriority w:val="0"/>
    <w:pPr>
      <w:adjustRightInd/>
      <w:spacing w:before="100" w:beforeAutospacing="1" w:after="100" w:afterAutospacing="1" w:line="240" w:lineRule="auto"/>
      <w:ind w:left="200" w:leftChars="200" w:firstLine="200" w:firstLineChars="200"/>
      <w:textAlignment w:val="auto"/>
    </w:pPr>
    <w:rPr>
      <w:rFonts w:ascii="Calibri" w:hAnsi="Calibri" w:eastAsia="宋体"/>
      <w:kern w:val="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2022-04-15T08:53:18Z</dcterms:created>
  <dc:creator>user</dc:creator>
  <cp:lastModifiedBy>唂唂</cp:lastModifiedBy>
  <dcterms:modified xsi:type="dcterms:W3CDTF">2022-04-15T08:53:47Z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9A26CDACC6944A44957ADF4E03BE1413</vt:lpwstr>
  </property>
</Properties>
</file>