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3" w:firstLineChars="200"/>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关于开展市区建筑施工现场特种作业人员持证上岗专项治理行动方案</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市安委会办公室〈关于开展特种作业人员（含特种设备）持证上岗专项治理行动方案〉的通知》（通安委办[2020]132号）和《市住建局关于印发〈关于开展建筑施工现场特种作业人员持证上岗专项治理行动方案〉的通知》（通住建安[2020]259号）文件精神，结合市区建筑施工现场实际，现制定行动方案如下：</w:t>
      </w:r>
    </w:p>
    <w:p>
      <w:pPr>
        <w:numPr>
          <w:ilvl w:val="0"/>
          <w:numId w:val="1"/>
        </w:num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工作目标</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根据《安全生产法》、《建设工程安全生产管理条例》等有关规定，依法查处市区建筑施工现场特种作业人员无证上岗行为，力争特种作业人员持证上岗率达到100%。</w:t>
      </w:r>
    </w:p>
    <w:p>
      <w:pPr>
        <w:numPr>
          <w:ilvl w:val="0"/>
          <w:numId w:val="1"/>
        </w:num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治理范围</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市区在监房屋建筑工程和全市在建城市轨道交通工程。</w:t>
      </w:r>
    </w:p>
    <w:p>
      <w:pPr>
        <w:numPr>
          <w:ilvl w:val="0"/>
          <w:numId w:val="1"/>
        </w:num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治理重点</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（一）严肃查处市区建筑施工现场各参建单位对特种作业人员持证情况不审核、不把关，默许特种作业人员无证上岗的行为。</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（二）严肃查处特种作业人员不持证上岗的行为。</w:t>
      </w:r>
    </w:p>
    <w:p>
      <w:pPr>
        <w:numPr>
          <w:ilvl w:val="0"/>
          <w:numId w:val="1"/>
        </w:num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方法步骤</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2020年7月下旬至2020年10月底，主要分三个阶段进行。</w:t>
      </w:r>
    </w:p>
    <w:p>
      <w:pPr>
        <w:numPr>
          <w:ilvl w:val="0"/>
          <w:numId w:val="2"/>
        </w:numPr>
        <w:spacing w:line="560" w:lineRule="exact"/>
        <w:ind w:left="420" w:left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动员部署阶段（7月</w:t>
      </w:r>
      <w:r>
        <w:rPr>
          <w:rFonts w:ascii="方正仿宋_GBK" w:hAnsi="方正仿宋_GBK" w:eastAsia="方正仿宋_GBK" w:cs="方正仿宋_GBK"/>
          <w:b/>
          <w:bCs/>
          <w:sz w:val="32"/>
          <w:szCs w:val="32"/>
        </w:rPr>
        <w:t>31</w:t>
      </w:r>
      <w:r>
        <w:rPr>
          <w:rFonts w:hint="eastAsia" w:ascii="方正仿宋_GBK" w:hAnsi="方正仿宋_GBK" w:eastAsia="方正仿宋_GBK" w:cs="方正仿宋_GBK"/>
          <w:b/>
          <w:bCs/>
          <w:sz w:val="32"/>
          <w:szCs w:val="32"/>
        </w:rPr>
        <w:t>日前）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单位要联系实际，深入分析本单位在特种作业人员安全管理方面存在的短板弱项，制定切实可行的开展特种作业人员持证上岗专项治理行动的方案，全面动员部署，广泛宣传发动，切实把专项治理行动工作任务和要求传达到每个项目，营造深入开展施工现场特种作业人员持证上岗专项治理行动的工作氛围。</w:t>
      </w:r>
    </w:p>
    <w:p>
      <w:pPr>
        <w:numPr>
          <w:ilvl w:val="0"/>
          <w:numId w:val="2"/>
        </w:numPr>
        <w:spacing w:line="560" w:lineRule="exact"/>
        <w:ind w:left="420" w:left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集中整治阶段（</w:t>
      </w:r>
      <w:r>
        <w:rPr>
          <w:rFonts w:ascii="方正仿宋_GBK" w:hAnsi="方正仿宋_GBK" w:eastAsia="方正仿宋_GBK" w:cs="方正仿宋_GBK"/>
          <w:b/>
          <w:bCs/>
          <w:sz w:val="32"/>
          <w:szCs w:val="32"/>
        </w:rPr>
        <w:t>8</w:t>
      </w:r>
      <w:r>
        <w:rPr>
          <w:rFonts w:hint="eastAsia" w:ascii="方正仿宋_GBK" w:hAnsi="方正仿宋_GBK" w:eastAsia="方正仿宋_GBK" w:cs="方正仿宋_GBK"/>
          <w:b/>
          <w:bCs/>
          <w:sz w:val="32"/>
          <w:szCs w:val="32"/>
        </w:rPr>
        <w:t>月1日至10月15日）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单位、各在建工程项目部要狠抓落实、务求实效，坚持问题导向与目标导向相结合，坚持自查自改与督查整改相结合，坚持排查整治与建章立制、完善长效工作机制相结合，组织开展施工现场特种作业人员持证上岗专项治理行动，确保隐患见底、措施到底、整治彻底。重点把握两个时间节点：</w:t>
      </w: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2020年8月底前，各单位、各在建工程项目部对施工现场特种作业人员持证上岗情况开展全面深入、细致彻底的自查工作。对查出的隐患和问题要列出清单，建立台账，制订整改方案，确保整改责任、措施、资金落实到位，自查相关资料留档备查。</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2020年9月至10月15日前，在单位和项目自查自纠的基础上，我站结合日常巡查开展专项检查工作，对检查出的问题隐患持续开展集中整治督办，特别是对特种作业人员持证行为存在突出问题和重大隐患的整改实施跟踪督办、闭环管理，推动问题隐患整改落实，对专项治理行动工作重视不够、现场隐患问题突出、长效管理机制缺失的企业，我站将对相关责任主体严肃处理，进一步巩固提升治理成效。</w:t>
      </w:r>
    </w:p>
    <w:p>
      <w:pPr>
        <w:numPr>
          <w:ilvl w:val="0"/>
          <w:numId w:val="2"/>
        </w:numPr>
        <w:spacing w:line="560" w:lineRule="exact"/>
        <w:ind w:left="420" w:left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总结巩固阶段</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有关单位、各在建工程项目部要认真总结并及时推广特种作业人员持证上岗专项治理行动开展期间好的经验、做法，建立健全安全生产长效管理机制，切实加强施工现场特种作业人员持证上岗的安全管理，进一步巩固和提升建筑施工生产安全管理水平。</w:t>
      </w:r>
    </w:p>
    <w:p>
      <w:pPr>
        <w:numPr>
          <w:ilvl w:val="0"/>
          <w:numId w:val="1"/>
        </w:num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工作要求</w:t>
      </w:r>
    </w:p>
    <w:p>
      <w:p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（一）加强组织领导</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我站成立以徐泉站长为组长，</w:t>
      </w:r>
      <w:r>
        <w:rPr>
          <w:rFonts w:hint="eastAsia" w:ascii="方正仿宋_GBK" w:hAnsi="方正仿宋_GBK" w:eastAsia="方正仿宋_GBK" w:cs="方正仿宋_GBK"/>
          <w:color w:val="000000"/>
          <w:kern w:val="0"/>
          <w:sz w:val="32"/>
          <w:szCs w:val="32"/>
        </w:rPr>
        <w:t>韦承荣副站长和黄裕锋副站长为副组长，各监督科室负责人为组员的施工现场特种作业人员持证上岗专项治理行动领导小组，</w:t>
      </w:r>
      <w:r>
        <w:rPr>
          <w:rFonts w:hint="eastAsia" w:ascii="方正仿宋_GBK" w:hAnsi="方正仿宋_GBK" w:eastAsia="方正仿宋_GBK" w:cs="方正仿宋_GBK"/>
          <w:sz w:val="32"/>
          <w:szCs w:val="32"/>
        </w:rPr>
        <w:t>组织、协调、指导开展专项治理工作。各单位、各在建工程项目部也要建立相应的领导制度和工作机制，并结合实际迅速制订方案，立即动员部署，细化目标，明确任务，落实责任，确保专项治理行动落到实处，取得实效。</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（二）强化宣传发动</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单位、各在建工程项目部要充分利用会议、墙报、张贴标语等多种形式，对特种作业人员持证上岗专项治理行动开展情况进行广泛宣传，形成浓厚氛围；鼓励企业和项目部建立举报奖励机制，引导企业职工和社会群众积极参与专项治理行动，举报施工现场特种作业人员无证上岗等违法违规行为，形成安全生产齐抓共治的高压态势，</w:t>
      </w:r>
      <w:r>
        <w:rPr>
          <w:rFonts w:hint="eastAsia" w:ascii="方正仿宋_GBK" w:hAnsi="方正仿宋_GBK" w:eastAsia="方正仿宋_GBK" w:cs="方正仿宋_GBK"/>
          <w:color w:val="000000"/>
          <w:sz w:val="32"/>
          <w:szCs w:val="32"/>
        </w:rPr>
        <w:t>促进市区建筑施工安全形势稳定向好。</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（三）信息报送及时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各单位、各在建工程项目部要加强特种作业人员持证上岗专项治理行动的信息报送工作，明确专人负责，确保信息报送及时、准确、有效。10月25日前，请各施工单位部将专项治理行动工作总结和《特种作业人员持证上岗专项治理行动检查汇总表》报送我站。</w:t>
      </w:r>
      <w:r>
        <w:fldChar w:fldCharType="begin"/>
      </w:r>
      <w:r>
        <w:instrText xml:space="preserve"> HYPERLINK "mailto:房建工程发送至电子邮箱ajzfjk@126.com" </w:instrText>
      </w:r>
      <w:r>
        <w:fldChar w:fldCharType="separate"/>
      </w:r>
      <w:r>
        <w:rPr>
          <w:rFonts w:hint="eastAsia" w:ascii="方正仿宋_GBK" w:hAnsi="方正仿宋_GBK" w:eastAsia="方正仿宋_GBK" w:cs="方正仿宋_GBK"/>
          <w:b/>
          <w:bCs/>
          <w:sz w:val="32"/>
          <w:szCs w:val="32"/>
        </w:rPr>
        <w:t>房建工程发送至电子邮箱ajzfjk@126.com</w:t>
      </w:r>
      <w:r>
        <w:rPr>
          <w:rFonts w:hint="eastAsia" w:ascii="方正仿宋_GBK" w:hAnsi="方正仿宋_GBK" w:eastAsia="方正仿宋_GBK" w:cs="方正仿宋_GBK"/>
          <w:b/>
          <w:bCs/>
          <w:sz w:val="32"/>
          <w:szCs w:val="32"/>
        </w:rPr>
        <w:fldChar w:fldCharType="end"/>
      </w:r>
      <w:r>
        <w:rPr>
          <w:rFonts w:hint="eastAsia" w:ascii="方正仿宋_GBK" w:hAnsi="方正仿宋_GBK" w:eastAsia="方正仿宋_GBK" w:cs="方正仿宋_GBK"/>
          <w:b/>
          <w:bCs/>
          <w:sz w:val="32"/>
          <w:szCs w:val="32"/>
        </w:rPr>
        <w:t>，轨道交通工程将纸质表送至轨道交通</w:t>
      </w:r>
      <w:r>
        <w:rPr>
          <w:rFonts w:ascii="方正仿宋_GBK" w:hAnsi="方正仿宋_GBK" w:eastAsia="方正仿宋_GBK" w:cs="方正仿宋_GBK"/>
          <w:b/>
          <w:bCs/>
          <w:sz w:val="32"/>
          <w:szCs w:val="32"/>
        </w:rPr>
        <w:t>现场指挥部（普贤寺旁）</w:t>
      </w:r>
      <w:r>
        <w:rPr>
          <w:rFonts w:hint="eastAsia" w:ascii="方正仿宋_GBK" w:hAnsi="方正仿宋_GBK" w:eastAsia="方正仿宋_GBK" w:cs="方正仿宋_GBK"/>
          <w:b/>
          <w:bCs/>
          <w:sz w:val="32"/>
          <w:szCs w:val="32"/>
        </w:rPr>
        <w:t>。</w:t>
      </w:r>
    </w:p>
    <w:p>
      <w:pPr>
        <w:spacing w:line="560" w:lineRule="exact"/>
        <w:ind w:firstLine="640" w:firstLineChars="200"/>
        <w:rPr>
          <w:rFonts w:ascii="方正仿宋_GBK" w:hAnsi="方正仿宋_GBK" w:eastAsia="方正仿宋_GBK" w:cs="方正仿宋_GBK"/>
          <w:sz w:val="32"/>
          <w:szCs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1、特种作业人员持证上岗自查表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2、特种作业人员持证上岗专项治理行动检查汇总表</w:t>
      </w:r>
    </w:p>
    <w:p>
      <w:pPr>
        <w:spacing w:line="560" w:lineRule="exact"/>
        <w:ind w:firstLine="420" w:firstLineChars="200"/>
        <w:rPr>
          <w:rFonts w:ascii="仿宋_GB231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90" w:lineRule="atLeast"/>
        <w:jc w:val="left"/>
        <w:rPr>
          <w:rFonts w:ascii="黑体" w:hAnsi="黑体" w:eastAsia="黑体" w:cs="宋体"/>
          <w:sz w:val="28"/>
          <w:szCs w:val="28"/>
        </w:rPr>
      </w:pPr>
      <w:r>
        <w:rPr>
          <w:rFonts w:hint="eastAsia" w:ascii="黑体" w:hAnsi="黑体" w:eastAsia="黑体" w:cs="宋体"/>
          <w:sz w:val="28"/>
          <w:szCs w:val="28"/>
        </w:rPr>
        <w:t>附件1：</w:t>
      </w:r>
    </w:p>
    <w:p>
      <w:pPr>
        <w:jc w:val="center"/>
        <w:rPr>
          <w:rFonts w:ascii="方正小标宋简体" w:eastAsia="方正小标宋简体"/>
          <w:sz w:val="36"/>
          <w:szCs w:val="36"/>
        </w:rPr>
      </w:pPr>
      <w:r>
        <w:rPr>
          <w:rFonts w:hint="eastAsia" w:ascii="方正小标宋简体" w:eastAsia="方正小标宋简体"/>
          <w:sz w:val="36"/>
          <w:szCs w:val="36"/>
        </w:rPr>
        <w:t>特种作业人员持证上岗自查表</w:t>
      </w:r>
    </w:p>
    <w:p/>
    <w:p>
      <w:r>
        <w:rPr>
          <w:rFonts w:hint="eastAsia"/>
        </w:rPr>
        <w:t>项目名称：                            施工单位（公章）：</w:t>
      </w:r>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1134"/>
        <w:gridCol w:w="1275"/>
        <w:gridCol w:w="2127"/>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b/>
              </w:rPr>
            </w:pPr>
            <w:r>
              <w:rPr>
                <w:rFonts w:hint="eastAsia"/>
                <w:b/>
              </w:rPr>
              <w:t>序号</w:t>
            </w:r>
          </w:p>
        </w:tc>
        <w:tc>
          <w:tcPr>
            <w:tcW w:w="993" w:type="dxa"/>
            <w:vAlign w:val="center"/>
          </w:tcPr>
          <w:p>
            <w:pPr>
              <w:jc w:val="center"/>
              <w:rPr>
                <w:b/>
              </w:rPr>
            </w:pPr>
            <w:r>
              <w:rPr>
                <w:rFonts w:hint="eastAsia"/>
                <w:b/>
              </w:rPr>
              <w:t>工种</w:t>
            </w:r>
          </w:p>
        </w:tc>
        <w:tc>
          <w:tcPr>
            <w:tcW w:w="1134" w:type="dxa"/>
            <w:vAlign w:val="center"/>
          </w:tcPr>
          <w:p>
            <w:pPr>
              <w:jc w:val="center"/>
              <w:rPr>
                <w:b/>
              </w:rPr>
            </w:pPr>
            <w:r>
              <w:rPr>
                <w:rFonts w:hint="eastAsia"/>
                <w:b/>
              </w:rPr>
              <w:t>姓名</w:t>
            </w:r>
          </w:p>
        </w:tc>
        <w:tc>
          <w:tcPr>
            <w:tcW w:w="1275" w:type="dxa"/>
            <w:vAlign w:val="center"/>
          </w:tcPr>
          <w:p>
            <w:pPr>
              <w:jc w:val="center"/>
              <w:rPr>
                <w:b/>
              </w:rPr>
            </w:pPr>
            <w:r>
              <w:rPr>
                <w:rFonts w:hint="eastAsia"/>
                <w:b/>
              </w:rPr>
              <w:t>特种作业操作证编号</w:t>
            </w:r>
          </w:p>
        </w:tc>
        <w:tc>
          <w:tcPr>
            <w:tcW w:w="2127" w:type="dxa"/>
            <w:vAlign w:val="center"/>
          </w:tcPr>
          <w:p>
            <w:pPr>
              <w:jc w:val="center"/>
              <w:rPr>
                <w:b/>
              </w:rPr>
            </w:pPr>
            <w:r>
              <w:rPr>
                <w:rFonts w:hint="eastAsia"/>
                <w:b/>
              </w:rPr>
              <w:t>发证单位</w:t>
            </w:r>
          </w:p>
        </w:tc>
        <w:tc>
          <w:tcPr>
            <w:tcW w:w="1417" w:type="dxa"/>
            <w:vAlign w:val="center"/>
          </w:tcPr>
          <w:p>
            <w:pPr>
              <w:jc w:val="center"/>
              <w:rPr>
                <w:b/>
              </w:rPr>
            </w:pPr>
            <w:r>
              <w:rPr>
                <w:rFonts w:hint="eastAsia"/>
                <w:b/>
              </w:rPr>
              <w:t>有效时间</w:t>
            </w:r>
          </w:p>
        </w:tc>
        <w:tc>
          <w:tcPr>
            <w:tcW w:w="1276" w:type="dxa"/>
            <w:vAlign w:val="center"/>
          </w:tcPr>
          <w:p>
            <w:pPr>
              <w:jc w:val="center"/>
              <w:rPr>
                <w:b/>
              </w:rPr>
            </w:pPr>
            <w:r>
              <w:rPr>
                <w:rFonts w:hint="eastAsia"/>
                <w:b/>
              </w:rPr>
              <w:t>是否已接受岗前教育和交底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Pr>
          <w:p/>
        </w:tc>
        <w:tc>
          <w:tcPr>
            <w:tcW w:w="993" w:type="dxa"/>
          </w:tcPr>
          <w:p/>
        </w:tc>
        <w:tc>
          <w:tcPr>
            <w:tcW w:w="1134" w:type="dxa"/>
          </w:tcPr>
          <w:p/>
        </w:tc>
        <w:tc>
          <w:tcPr>
            <w:tcW w:w="1275" w:type="dxa"/>
          </w:tcPr>
          <w:p/>
        </w:tc>
        <w:tc>
          <w:tcPr>
            <w:tcW w:w="2127" w:type="dxa"/>
          </w:tcPr>
          <w:p/>
        </w:tc>
        <w:tc>
          <w:tcPr>
            <w:tcW w:w="1417" w:type="dxa"/>
          </w:tcPr>
          <w:p/>
        </w:tc>
        <w:tc>
          <w:tcPr>
            <w:tcW w:w="12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Pr>
          <w:p/>
        </w:tc>
        <w:tc>
          <w:tcPr>
            <w:tcW w:w="993" w:type="dxa"/>
          </w:tcPr>
          <w:p/>
        </w:tc>
        <w:tc>
          <w:tcPr>
            <w:tcW w:w="1134" w:type="dxa"/>
          </w:tcPr>
          <w:p/>
        </w:tc>
        <w:tc>
          <w:tcPr>
            <w:tcW w:w="1275" w:type="dxa"/>
          </w:tcPr>
          <w:p/>
        </w:tc>
        <w:tc>
          <w:tcPr>
            <w:tcW w:w="2127" w:type="dxa"/>
          </w:tcPr>
          <w:p/>
        </w:tc>
        <w:tc>
          <w:tcPr>
            <w:tcW w:w="1417" w:type="dxa"/>
          </w:tcPr>
          <w:p/>
        </w:tc>
        <w:tc>
          <w:tcPr>
            <w:tcW w:w="12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Pr>
          <w:p/>
        </w:tc>
        <w:tc>
          <w:tcPr>
            <w:tcW w:w="993" w:type="dxa"/>
          </w:tcPr>
          <w:p/>
        </w:tc>
        <w:tc>
          <w:tcPr>
            <w:tcW w:w="1134" w:type="dxa"/>
          </w:tcPr>
          <w:p/>
        </w:tc>
        <w:tc>
          <w:tcPr>
            <w:tcW w:w="1275" w:type="dxa"/>
          </w:tcPr>
          <w:p/>
        </w:tc>
        <w:tc>
          <w:tcPr>
            <w:tcW w:w="2127" w:type="dxa"/>
          </w:tcPr>
          <w:p/>
        </w:tc>
        <w:tc>
          <w:tcPr>
            <w:tcW w:w="1417" w:type="dxa"/>
          </w:tcPr>
          <w:p/>
        </w:tc>
        <w:tc>
          <w:tcPr>
            <w:tcW w:w="12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Pr>
          <w:p/>
        </w:tc>
        <w:tc>
          <w:tcPr>
            <w:tcW w:w="993" w:type="dxa"/>
          </w:tcPr>
          <w:p/>
        </w:tc>
        <w:tc>
          <w:tcPr>
            <w:tcW w:w="1134" w:type="dxa"/>
          </w:tcPr>
          <w:p/>
        </w:tc>
        <w:tc>
          <w:tcPr>
            <w:tcW w:w="1275" w:type="dxa"/>
          </w:tcPr>
          <w:p/>
        </w:tc>
        <w:tc>
          <w:tcPr>
            <w:tcW w:w="2127" w:type="dxa"/>
          </w:tcPr>
          <w:p/>
        </w:tc>
        <w:tc>
          <w:tcPr>
            <w:tcW w:w="1417" w:type="dxa"/>
          </w:tcPr>
          <w:p/>
        </w:tc>
        <w:tc>
          <w:tcPr>
            <w:tcW w:w="12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Pr>
          <w:p/>
        </w:tc>
        <w:tc>
          <w:tcPr>
            <w:tcW w:w="993" w:type="dxa"/>
          </w:tcPr>
          <w:p/>
        </w:tc>
        <w:tc>
          <w:tcPr>
            <w:tcW w:w="1134" w:type="dxa"/>
          </w:tcPr>
          <w:p/>
        </w:tc>
        <w:tc>
          <w:tcPr>
            <w:tcW w:w="1275" w:type="dxa"/>
          </w:tcPr>
          <w:p/>
        </w:tc>
        <w:tc>
          <w:tcPr>
            <w:tcW w:w="2127" w:type="dxa"/>
          </w:tcPr>
          <w:p/>
        </w:tc>
        <w:tc>
          <w:tcPr>
            <w:tcW w:w="1417" w:type="dxa"/>
          </w:tcPr>
          <w:p/>
        </w:tc>
        <w:tc>
          <w:tcPr>
            <w:tcW w:w="12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Pr>
          <w:p/>
        </w:tc>
        <w:tc>
          <w:tcPr>
            <w:tcW w:w="993" w:type="dxa"/>
          </w:tcPr>
          <w:p/>
        </w:tc>
        <w:tc>
          <w:tcPr>
            <w:tcW w:w="1134" w:type="dxa"/>
          </w:tcPr>
          <w:p/>
        </w:tc>
        <w:tc>
          <w:tcPr>
            <w:tcW w:w="1275" w:type="dxa"/>
          </w:tcPr>
          <w:p/>
        </w:tc>
        <w:tc>
          <w:tcPr>
            <w:tcW w:w="2127" w:type="dxa"/>
          </w:tcPr>
          <w:p/>
        </w:tc>
        <w:tc>
          <w:tcPr>
            <w:tcW w:w="1417" w:type="dxa"/>
          </w:tcPr>
          <w:p/>
        </w:tc>
        <w:tc>
          <w:tcPr>
            <w:tcW w:w="12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Pr>
          <w:p/>
        </w:tc>
        <w:tc>
          <w:tcPr>
            <w:tcW w:w="993" w:type="dxa"/>
          </w:tcPr>
          <w:p/>
        </w:tc>
        <w:tc>
          <w:tcPr>
            <w:tcW w:w="1134" w:type="dxa"/>
          </w:tcPr>
          <w:p/>
        </w:tc>
        <w:tc>
          <w:tcPr>
            <w:tcW w:w="1275" w:type="dxa"/>
          </w:tcPr>
          <w:p/>
        </w:tc>
        <w:tc>
          <w:tcPr>
            <w:tcW w:w="2127" w:type="dxa"/>
          </w:tcPr>
          <w:p/>
        </w:tc>
        <w:tc>
          <w:tcPr>
            <w:tcW w:w="1417" w:type="dxa"/>
          </w:tcPr>
          <w:p/>
        </w:tc>
        <w:tc>
          <w:tcPr>
            <w:tcW w:w="12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Pr>
          <w:p/>
        </w:tc>
        <w:tc>
          <w:tcPr>
            <w:tcW w:w="993" w:type="dxa"/>
          </w:tcPr>
          <w:p/>
        </w:tc>
        <w:tc>
          <w:tcPr>
            <w:tcW w:w="1134" w:type="dxa"/>
          </w:tcPr>
          <w:p/>
        </w:tc>
        <w:tc>
          <w:tcPr>
            <w:tcW w:w="1275" w:type="dxa"/>
          </w:tcPr>
          <w:p/>
        </w:tc>
        <w:tc>
          <w:tcPr>
            <w:tcW w:w="2127" w:type="dxa"/>
          </w:tcPr>
          <w:p/>
        </w:tc>
        <w:tc>
          <w:tcPr>
            <w:tcW w:w="1417" w:type="dxa"/>
          </w:tcPr>
          <w:p/>
        </w:tc>
        <w:tc>
          <w:tcPr>
            <w:tcW w:w="12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Pr>
          <w:p/>
        </w:tc>
        <w:tc>
          <w:tcPr>
            <w:tcW w:w="993" w:type="dxa"/>
          </w:tcPr>
          <w:p/>
        </w:tc>
        <w:tc>
          <w:tcPr>
            <w:tcW w:w="1134" w:type="dxa"/>
          </w:tcPr>
          <w:p/>
        </w:tc>
        <w:tc>
          <w:tcPr>
            <w:tcW w:w="1275" w:type="dxa"/>
          </w:tcPr>
          <w:p/>
        </w:tc>
        <w:tc>
          <w:tcPr>
            <w:tcW w:w="2127" w:type="dxa"/>
          </w:tcPr>
          <w:p/>
        </w:tc>
        <w:tc>
          <w:tcPr>
            <w:tcW w:w="1417" w:type="dxa"/>
          </w:tcPr>
          <w:p/>
        </w:tc>
        <w:tc>
          <w:tcPr>
            <w:tcW w:w="12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Pr>
          <w:p/>
        </w:tc>
        <w:tc>
          <w:tcPr>
            <w:tcW w:w="993" w:type="dxa"/>
          </w:tcPr>
          <w:p/>
        </w:tc>
        <w:tc>
          <w:tcPr>
            <w:tcW w:w="1134" w:type="dxa"/>
          </w:tcPr>
          <w:p/>
        </w:tc>
        <w:tc>
          <w:tcPr>
            <w:tcW w:w="1275" w:type="dxa"/>
          </w:tcPr>
          <w:p/>
        </w:tc>
        <w:tc>
          <w:tcPr>
            <w:tcW w:w="2127" w:type="dxa"/>
          </w:tcPr>
          <w:p/>
        </w:tc>
        <w:tc>
          <w:tcPr>
            <w:tcW w:w="1417" w:type="dxa"/>
          </w:tcPr>
          <w:p/>
        </w:tc>
        <w:tc>
          <w:tcPr>
            <w:tcW w:w="127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02" w:type="dxa"/>
            <w:gridSpan w:val="3"/>
            <w:vAlign w:val="center"/>
          </w:tcPr>
          <w:p>
            <w:pPr>
              <w:jc w:val="center"/>
            </w:pPr>
            <w:r>
              <w:rPr>
                <w:rFonts w:hint="eastAsia"/>
              </w:rPr>
              <w:t>监理单位</w:t>
            </w:r>
          </w:p>
          <w:p>
            <w:pPr>
              <w:jc w:val="center"/>
            </w:pPr>
            <w:r>
              <w:rPr>
                <w:rFonts w:hint="eastAsia"/>
              </w:rPr>
              <w:t>项目总监审查意见</w:t>
            </w:r>
          </w:p>
        </w:tc>
        <w:tc>
          <w:tcPr>
            <w:tcW w:w="6095" w:type="dxa"/>
            <w:gridSpan w:val="4"/>
          </w:tcPr>
          <w:p>
            <w:r>
              <w:rPr>
                <w:rFonts w:hint="eastAsia"/>
              </w:rPr>
              <w:t xml:space="preserve">                                      </w:t>
            </w:r>
          </w:p>
          <w:p>
            <w:pPr>
              <w:ind w:firstLine="4095" w:firstLineChars="1950"/>
            </w:pPr>
          </w:p>
          <w:p>
            <w:pPr>
              <w:ind w:firstLine="4095" w:firstLineChars="1950"/>
            </w:pPr>
            <w:r>
              <w:rPr>
                <w:rFonts w:hint="eastAsia"/>
              </w:rPr>
              <w:t>（公章）</w:t>
            </w:r>
          </w:p>
          <w:p>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02" w:type="dxa"/>
            <w:gridSpan w:val="3"/>
            <w:vAlign w:val="center"/>
          </w:tcPr>
          <w:p>
            <w:pPr>
              <w:jc w:val="center"/>
            </w:pPr>
            <w:r>
              <w:rPr>
                <w:rFonts w:hint="eastAsia"/>
              </w:rPr>
              <w:t>建设单位</w:t>
            </w:r>
          </w:p>
          <w:p>
            <w:pPr>
              <w:jc w:val="center"/>
            </w:pPr>
            <w:r>
              <w:rPr>
                <w:rFonts w:hint="eastAsia"/>
              </w:rPr>
              <w:t>项目负责人意见</w:t>
            </w:r>
          </w:p>
        </w:tc>
        <w:tc>
          <w:tcPr>
            <w:tcW w:w="6095" w:type="dxa"/>
            <w:gridSpan w:val="4"/>
          </w:tcPr>
          <w:p>
            <w:pPr>
              <w:ind w:firstLine="4095" w:firstLineChars="1950"/>
            </w:pPr>
          </w:p>
          <w:p>
            <w:pPr>
              <w:ind w:firstLine="4095" w:firstLineChars="1950"/>
            </w:pPr>
          </w:p>
          <w:p>
            <w:pPr>
              <w:ind w:firstLine="4095" w:firstLineChars="1950"/>
            </w:pPr>
            <w:r>
              <w:rPr>
                <w:rFonts w:hint="eastAsia"/>
              </w:rPr>
              <w:t>（公章）</w:t>
            </w:r>
          </w:p>
          <w:p>
            <w:r>
              <w:rPr>
                <w:rFonts w:hint="eastAsia"/>
              </w:rPr>
              <w:t xml:space="preserve">                                     年    月    日</w:t>
            </w:r>
          </w:p>
        </w:tc>
      </w:tr>
    </w:tbl>
    <w:p/>
    <w:p>
      <w:r>
        <w:rPr>
          <w:rFonts w:hint="eastAsia"/>
        </w:rPr>
        <w:t xml:space="preserve">备注：本工程已安装塔吊 </w:t>
      </w:r>
      <w:r>
        <w:rPr>
          <w:rFonts w:hint="eastAsia"/>
          <w:u w:val="single"/>
        </w:rPr>
        <w:t xml:space="preserve">      </w:t>
      </w:r>
      <w:r>
        <w:rPr>
          <w:rFonts w:hint="eastAsia"/>
        </w:rPr>
        <w:t>台，施工升降机</w:t>
      </w:r>
      <w:r>
        <w:rPr>
          <w:rFonts w:hint="eastAsia"/>
          <w:u w:val="single"/>
        </w:rPr>
        <w:t xml:space="preserve">        </w:t>
      </w:r>
      <w:r>
        <w:rPr>
          <w:rFonts w:hint="eastAsia"/>
        </w:rPr>
        <w:t>台。</w:t>
      </w:r>
    </w:p>
    <w:p/>
    <w:p>
      <w:pPr>
        <w:spacing w:line="590" w:lineRule="atLeast"/>
        <w:jc w:val="left"/>
        <w:rPr>
          <w:rFonts w:ascii="黑体" w:hAnsi="黑体" w:eastAsia="黑体" w:cs="宋体"/>
          <w:sz w:val="28"/>
          <w:szCs w:val="28"/>
        </w:rPr>
        <w:sectPr>
          <w:footerReference r:id="rId3" w:type="default"/>
          <w:pgSz w:w="11906" w:h="16838"/>
          <w:pgMar w:top="2098" w:right="1474" w:bottom="1984" w:left="1587" w:header="851" w:footer="992" w:gutter="0"/>
          <w:cols w:space="425" w:num="1"/>
          <w:docGrid w:type="lines" w:linePitch="312" w:charSpace="0"/>
        </w:sectPr>
      </w:pPr>
    </w:p>
    <w:p>
      <w:pPr>
        <w:spacing w:line="590" w:lineRule="atLeast"/>
        <w:jc w:val="left"/>
        <w:rPr>
          <w:rFonts w:ascii="黑体" w:hAnsi="黑体" w:eastAsia="黑体" w:cs="宋体"/>
          <w:sz w:val="28"/>
          <w:szCs w:val="28"/>
        </w:rPr>
      </w:pPr>
      <w:r>
        <w:rPr>
          <w:rFonts w:hint="eastAsia" w:ascii="黑体" w:hAnsi="黑体" w:eastAsia="黑体" w:cs="宋体"/>
          <w:sz w:val="28"/>
          <w:szCs w:val="28"/>
        </w:rPr>
        <w:t>附件2：</w:t>
      </w:r>
    </w:p>
    <w:p>
      <w:pPr>
        <w:adjustRightInd w:val="0"/>
        <w:spacing w:line="400" w:lineRule="exact"/>
        <w:ind w:left="5940" w:hanging="5940" w:hangingChars="1650"/>
        <w:jc w:val="center"/>
        <w:textAlignment w:val="baseline"/>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特种作业人员持证上岗专项治理行动检查汇总表</w:t>
      </w:r>
    </w:p>
    <w:p>
      <w:pPr>
        <w:adjustRightInd w:val="0"/>
        <w:spacing w:line="400" w:lineRule="exact"/>
        <w:ind w:left="5940" w:hanging="5940" w:hangingChars="1650"/>
        <w:jc w:val="center"/>
        <w:textAlignment w:val="baseline"/>
        <w:rPr>
          <w:rFonts w:ascii="方正小标宋简体" w:hAnsi="宋体" w:eastAsia="方正小标宋简体" w:cs="宋体"/>
          <w:sz w:val="36"/>
          <w:szCs w:val="36"/>
        </w:rPr>
      </w:pPr>
    </w:p>
    <w:p>
      <w:pPr>
        <w:adjustRightInd w:val="0"/>
        <w:spacing w:line="400" w:lineRule="exact"/>
        <w:ind w:left="5280" w:hanging="5280" w:hangingChars="1650"/>
        <w:jc w:val="left"/>
        <w:textAlignment w:val="baseline"/>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企业名称（盖章）：                                        填报日期：　 年  月  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247"/>
        <w:gridCol w:w="1247"/>
        <w:gridCol w:w="1247"/>
        <w:gridCol w:w="1247"/>
        <w:gridCol w:w="1247"/>
        <w:gridCol w:w="1247"/>
        <w:gridCol w:w="1247"/>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gridSpan w:val="3"/>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施工项目</w:t>
            </w:r>
          </w:p>
        </w:tc>
        <w:tc>
          <w:tcPr>
            <w:tcW w:w="1247" w:type="dxa"/>
            <w:vMerge w:val="restart"/>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从业人员总数</w:t>
            </w:r>
          </w:p>
        </w:tc>
        <w:tc>
          <w:tcPr>
            <w:tcW w:w="1247" w:type="dxa"/>
            <w:gridSpan w:val="3"/>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特种作业人员及持证情况</w:t>
            </w:r>
          </w:p>
        </w:tc>
        <w:tc>
          <w:tcPr>
            <w:tcW w:w="1247" w:type="dxa"/>
            <w:gridSpan w:val="4"/>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检查结果及查处情况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总数（个）</w:t>
            </w:r>
          </w:p>
        </w:tc>
        <w:tc>
          <w:tcPr>
            <w:tcW w:w="1247"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检查（个）</w:t>
            </w:r>
          </w:p>
        </w:tc>
        <w:tc>
          <w:tcPr>
            <w:tcW w:w="1247"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比例（%）</w:t>
            </w:r>
          </w:p>
        </w:tc>
        <w:tc>
          <w:tcPr>
            <w:tcW w:w="1247" w:type="dxa"/>
            <w:vMerge w:val="continue"/>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特种作业人员总数</w:t>
            </w:r>
          </w:p>
        </w:tc>
        <w:tc>
          <w:tcPr>
            <w:tcW w:w="1247"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持证特种作业人员</w:t>
            </w:r>
          </w:p>
        </w:tc>
        <w:tc>
          <w:tcPr>
            <w:tcW w:w="1247"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持证率（%）</w:t>
            </w:r>
          </w:p>
        </w:tc>
        <w:tc>
          <w:tcPr>
            <w:tcW w:w="1247"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查处问题（个）</w:t>
            </w:r>
          </w:p>
        </w:tc>
        <w:tc>
          <w:tcPr>
            <w:tcW w:w="1247"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已整改数（个）</w:t>
            </w:r>
          </w:p>
        </w:tc>
        <w:tc>
          <w:tcPr>
            <w:tcW w:w="1247"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整改率（%）</w:t>
            </w:r>
          </w:p>
        </w:tc>
        <w:tc>
          <w:tcPr>
            <w:tcW w:w="1247"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c>
          <w:tcPr>
            <w:tcW w:w="1247" w:type="dxa"/>
            <w:vAlign w:val="center"/>
          </w:tcPr>
          <w:p>
            <w:pPr>
              <w:jc w:val="center"/>
              <w:rPr>
                <w:rFonts w:ascii="方正仿宋_GBK" w:hAnsi="方正仿宋_GBK" w:eastAsia="方正仿宋_GBK" w:cs="方正仿宋_GBK"/>
                <w:sz w:val="32"/>
                <w:szCs w:val="32"/>
              </w:rPr>
            </w:pPr>
          </w:p>
        </w:tc>
      </w:tr>
    </w:tbl>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填报人：                                            负责人：</w:t>
      </w:r>
    </w:p>
    <w:p>
      <w:bookmarkStart w:id="0" w:name="_GoBack"/>
      <w:bookmarkEnd w:id="0"/>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651732"/>
      <w:docPartObj>
        <w:docPartGallery w:val="autotext"/>
      </w:docPartObj>
    </w:sdtPr>
    <w:sdtEndPr>
      <w:rPr>
        <w:rFonts w:hint="eastAsia" w:ascii="方正仿宋_GBK" w:eastAsia="方正仿宋_GBK"/>
        <w:sz w:val="28"/>
        <w:szCs w:val="28"/>
      </w:rPr>
    </w:sdtEndPr>
    <w:sdtContent>
      <w:p>
        <w:pPr>
          <w:pStyle w:val="2"/>
          <w:jc w:val="center"/>
          <w:rPr>
            <w:rFonts w:ascii="方正仿宋_GBK" w:eastAsia="方正仿宋_GBK"/>
            <w:sz w:val="28"/>
            <w:szCs w:val="28"/>
          </w:rPr>
        </w:pPr>
        <w:r>
          <w:rPr>
            <w:rFonts w:hint="eastAsia"/>
          </w:rPr>
          <w:t>—</w:t>
        </w: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hint="eastAsia" w:ascii="方正仿宋_GBK" w:eastAsia="方正仿宋_GBK"/>
            <w:sz w:val="28"/>
            <w:szCs w:val="28"/>
            <w:lang w:val="zh-CN"/>
          </w:rPr>
          <w:t>2</w:t>
        </w:r>
        <w:r>
          <w:rPr>
            <w:rFonts w:hint="eastAsia" w:ascii="方正仿宋_GBK" w:eastAsia="方正仿宋_GBK"/>
            <w:sz w:val="28"/>
            <w:szCs w:val="28"/>
          </w:rPr>
          <w:fldChar w:fldCharType="end"/>
        </w:r>
        <w:r>
          <w:rPr>
            <w:rFonts w:hint="eastAsia"/>
          </w:rPr>
          <w:t>—</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478206"/>
    <w:multiLevelType w:val="singleLevel"/>
    <w:tmpl w:val="D6478206"/>
    <w:lvl w:ilvl="0" w:tentative="0">
      <w:start w:val="1"/>
      <w:numFmt w:val="chineseCounting"/>
      <w:suff w:val="nothing"/>
      <w:lvlText w:val="（%1）"/>
      <w:lvlJc w:val="left"/>
      <w:rPr>
        <w:rFonts w:hint="eastAsia"/>
      </w:rPr>
    </w:lvl>
  </w:abstractNum>
  <w:abstractNum w:abstractNumId="1">
    <w:nsid w:val="EEDEF0B0"/>
    <w:multiLevelType w:val="singleLevel"/>
    <w:tmpl w:val="EEDEF0B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D7434"/>
    <w:rsid w:val="1DFD7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table" w:styleId="4">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2020-07-27T01:11:00Z</dcterms:created>
  <dc:creator>user</dc:creator>
  <cp:lastModifiedBy>user</cp:lastModifiedBy>
  <dcterms:modified xsi:type="dcterms:W3CDTF">2020-07-27T01:20:00Z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