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hint="eastAsia" w:eastAsia="方正小标宋_GBK"/>
          <w:sz w:val="44"/>
          <w:szCs w:val="44"/>
        </w:rPr>
        <w:t>进一步深化落实市区房建工程和轨道交通工程施工项目部安全生产主体责任实施方案</w:t>
      </w:r>
    </w:p>
    <w:p>
      <w:pPr>
        <w:spacing w:line="560" w:lineRule="exact"/>
        <w:ind w:firstLine="640" w:firstLineChars="200"/>
        <w:jc w:val="center"/>
        <w:rPr>
          <w:rFonts w:hint="default" w:eastAsia="方正仿宋_GBK" w:cs="仿宋_GB2312"/>
          <w:szCs w:val="32"/>
          <w:lang w:val="en-US" w:eastAsia="zh-CN"/>
        </w:rPr>
      </w:pPr>
      <w:r>
        <w:rPr>
          <w:rFonts w:hint="eastAsia" w:eastAsia="方正仿宋_GBK" w:cs="仿宋_GB2312"/>
          <w:szCs w:val="32"/>
          <w:lang w:val="en-US" w:eastAsia="zh-CN"/>
        </w:rPr>
        <w:t>通建安监【2021】13号</w:t>
      </w:r>
    </w:p>
    <w:p>
      <w:pPr>
        <w:spacing w:line="560" w:lineRule="exact"/>
        <w:ind w:firstLine="640" w:firstLineChars="200"/>
        <w:rPr>
          <w:rFonts w:eastAsia="方正仿宋_GBK" w:cs="仿宋_GB2312"/>
          <w:szCs w:val="32"/>
        </w:rPr>
      </w:pPr>
      <w:r>
        <w:rPr>
          <w:rFonts w:hint="eastAsia" w:eastAsia="方正仿宋_GBK" w:cs="仿宋_GB2312"/>
          <w:szCs w:val="32"/>
        </w:rPr>
        <w:t>为深入贯彻落实习近平总书记关于安全生产重要论述和批示指示精神，全面深化安全生产专项整治三年行动，</w:t>
      </w:r>
      <w:r>
        <w:rPr>
          <w:rFonts w:hint="eastAsia" w:eastAsia="方正仿宋_GBK"/>
          <w:szCs w:val="32"/>
        </w:rPr>
        <w:t>根据《关于进一步深化落实项目部安全生产主体责任的通知》（</w:t>
      </w:r>
      <w:r>
        <w:rPr>
          <w:rFonts w:hint="eastAsia" w:eastAsia="方正仿宋_GBK" w:cs="宋体"/>
          <w:szCs w:val="32"/>
        </w:rPr>
        <w:t>通安委办〔</w:t>
      </w:r>
      <w:r>
        <w:rPr>
          <w:rFonts w:hint="eastAsia" w:eastAsia="方正仿宋_GBK"/>
          <w:szCs w:val="32"/>
        </w:rPr>
        <w:t>2021</w:t>
      </w:r>
      <w:r>
        <w:rPr>
          <w:rFonts w:hint="eastAsia" w:eastAsia="方正仿宋_GBK" w:cs="宋体"/>
          <w:szCs w:val="32"/>
        </w:rPr>
        <w:t>〕</w:t>
      </w:r>
      <w:r>
        <w:rPr>
          <w:rFonts w:hint="eastAsia" w:eastAsia="方正仿宋_GBK"/>
          <w:szCs w:val="32"/>
        </w:rPr>
        <w:t>84</w:t>
      </w:r>
      <w:r>
        <w:rPr>
          <w:rFonts w:hint="eastAsia" w:eastAsia="方正仿宋_GBK" w:cs="宋体"/>
          <w:szCs w:val="32"/>
        </w:rPr>
        <w:t>号</w:t>
      </w:r>
      <w:r>
        <w:rPr>
          <w:rFonts w:hint="eastAsia" w:eastAsia="方正仿宋_GBK"/>
          <w:szCs w:val="32"/>
        </w:rPr>
        <w:t>）和市住建局《进一步深化落实建筑施工项目部安全生产主体责任实施方案》（通住建安[</w:t>
      </w:r>
      <w:r>
        <w:rPr>
          <w:rFonts w:eastAsia="方正仿宋_GBK"/>
          <w:szCs w:val="32"/>
        </w:rPr>
        <w:t>2021]70</w:t>
      </w:r>
      <w:r>
        <w:rPr>
          <w:rFonts w:hint="eastAsia" w:eastAsia="方正仿宋_GBK"/>
          <w:szCs w:val="32"/>
        </w:rPr>
        <w:t>号）精神，结合建筑施工实际，特制定实施方案如下：</w:t>
      </w:r>
    </w:p>
    <w:p>
      <w:pPr>
        <w:spacing w:line="560" w:lineRule="exact"/>
        <w:ind w:firstLine="640" w:firstLineChars="200"/>
        <w:rPr>
          <w:rFonts w:hint="eastAsia" w:eastAsia="方正黑体_GBK" w:cs="仿宋_GB2312"/>
          <w:szCs w:val="32"/>
        </w:rPr>
      </w:pPr>
      <w:r>
        <w:rPr>
          <w:rFonts w:hint="eastAsia" w:eastAsia="方正黑体_GBK" w:cs="黑体"/>
          <w:szCs w:val="32"/>
        </w:rPr>
        <w:t>一、目标要求</w:t>
      </w:r>
    </w:p>
    <w:p>
      <w:pPr>
        <w:spacing w:line="560" w:lineRule="exact"/>
        <w:ind w:firstLine="640" w:firstLineChars="200"/>
        <w:rPr>
          <w:rFonts w:hint="eastAsia" w:eastAsia="方正仿宋_GBK" w:cs="仿宋_GB2312"/>
          <w:szCs w:val="32"/>
        </w:rPr>
      </w:pPr>
      <w:r>
        <w:rPr>
          <w:rFonts w:hint="eastAsia" w:eastAsia="方正仿宋_GBK" w:cs="仿宋_GB2312"/>
          <w:szCs w:val="32"/>
        </w:rPr>
        <w:t>以习近平总书记关于安全生产的重要论述和批示指示精神为指导，牢固树立安全发展理念，以强化红线意识、治本意识、责任意识为抓手，进一步压紧压实项目部安全生产主体责任，推动项目部安全生产由被动接受监管向主动加强管理转变，安全风险管控由主管部门推动为主向项目部自主开展转变，隐患排查治理由主管部门行政执法为主向项目部日常自查自纠转变，不断提升项目部本质安全水平，有效化解项目部重大安全风险，坚决杜绝重特大事故，防范遏制较大事故，努力营造项目部主动、主管部门履职、社会共治的齐抓共管新格局。</w:t>
      </w:r>
    </w:p>
    <w:p>
      <w:pPr>
        <w:pStyle w:val="8"/>
        <w:spacing w:line="560" w:lineRule="exact"/>
        <w:ind w:firstLine="640"/>
        <w:rPr>
          <w:rFonts w:hint="eastAsia" w:ascii="Times New Roman" w:hAnsi="Times New Roman" w:eastAsia="方正黑体_GBK" w:cs="仿宋_GB2312"/>
          <w:sz w:val="32"/>
          <w:szCs w:val="32"/>
        </w:rPr>
      </w:pPr>
      <w:r>
        <w:rPr>
          <w:rFonts w:hint="eastAsia" w:ascii="Times New Roman" w:hAnsi="Times New Roman" w:eastAsia="方正黑体_GBK" w:cs="黑体"/>
          <w:sz w:val="32"/>
          <w:szCs w:val="32"/>
        </w:rPr>
        <w:t>二、工作任务</w:t>
      </w:r>
    </w:p>
    <w:p>
      <w:pPr>
        <w:spacing w:line="560" w:lineRule="exact"/>
        <w:ind w:firstLine="640" w:firstLineChars="200"/>
        <w:rPr>
          <w:rFonts w:hint="eastAsia" w:eastAsia="方正楷体_GBK" w:cs="仿宋_GB2312"/>
          <w:szCs w:val="32"/>
        </w:rPr>
      </w:pPr>
      <w:r>
        <w:rPr>
          <w:rFonts w:hint="eastAsia" w:eastAsia="方正楷体_GBK" w:cs="楷体"/>
          <w:szCs w:val="32"/>
        </w:rPr>
        <w:t>（一）强化意识，推动项目部主体责任落实有力有序</w:t>
      </w:r>
    </w:p>
    <w:p>
      <w:pPr>
        <w:spacing w:line="560" w:lineRule="exact"/>
        <w:ind w:firstLine="640" w:firstLineChars="200"/>
        <w:rPr>
          <w:rFonts w:hint="eastAsia" w:eastAsia="方正仿宋_GBK" w:cs="仿宋_GB2312"/>
          <w:szCs w:val="32"/>
        </w:rPr>
      </w:pPr>
      <w:r>
        <w:rPr>
          <w:rFonts w:hint="eastAsia" w:eastAsia="方正仿宋_GBK" w:cs="仿宋_GB2312"/>
          <w:szCs w:val="32"/>
        </w:rPr>
        <w:t>1.强化红线意识。要坚持“安全第一、预防为主、综合治理”的方针，进一步树牢人民至上、生命至上的安全发展理念，发展决不能以牺牲人的生命为代价。</w:t>
      </w:r>
    </w:p>
    <w:p>
      <w:pPr>
        <w:spacing w:line="560" w:lineRule="exact"/>
        <w:ind w:firstLine="640" w:firstLineChars="200"/>
        <w:rPr>
          <w:rFonts w:hint="eastAsia" w:eastAsia="方正仿宋_GBK" w:cs="仿宋_GB2312"/>
          <w:szCs w:val="32"/>
        </w:rPr>
      </w:pPr>
      <w:r>
        <w:rPr>
          <w:rFonts w:hint="eastAsia" w:eastAsia="方正仿宋_GBK" w:cs="仿宋_GB2312"/>
          <w:szCs w:val="32"/>
        </w:rPr>
        <w:t>2.强化治本意识。在建工程项目要坚持问题导向、目标导向和结果导向，建立健全全员安全生产责任制、安全风险防控机制、安全隐患排查治理机制、安全教育培训制度等，夯实项目部安全管理基础。要通过深化源头治理、系统治理和综合治理，建立健全安全风险辨识管控体系，重点聚焦建筑施工安全的突出问题、共性问题、监管盲区等，切实发现和解决一批长期存在且影响建筑施工安全的重大事故隐患和问题，在治本上下大功夫，坚决遏制较大以上事故。</w:t>
      </w:r>
    </w:p>
    <w:p>
      <w:pPr>
        <w:spacing w:line="560" w:lineRule="exact"/>
        <w:ind w:firstLine="640" w:firstLineChars="200"/>
        <w:rPr>
          <w:rFonts w:hint="eastAsia" w:eastAsia="方正仿宋_GBK" w:cs="仿宋_GB2312"/>
          <w:szCs w:val="32"/>
        </w:rPr>
      </w:pPr>
      <w:r>
        <w:rPr>
          <w:rFonts w:hint="eastAsia" w:eastAsia="方正仿宋_GBK" w:cs="仿宋_GB2312"/>
          <w:szCs w:val="32"/>
        </w:rPr>
        <w:t>3.强化责任意识。要牢牢把握落实安全生产三年行动总目标，建立健全“从根本上消除事故隐患和从根本上解决问题”的责任链条、规章制度和工作机制，进一步强化项目部第一责任人责任、全员岗位责任、安全防控责任、基础管理责任和应急处置责任，推动实现项目部主体责任落实由主管部门推动为主向项目部自主开展转变。</w:t>
      </w:r>
    </w:p>
    <w:p>
      <w:pPr>
        <w:spacing w:line="560" w:lineRule="exact"/>
        <w:ind w:firstLine="640" w:firstLineChars="200"/>
        <w:rPr>
          <w:rFonts w:hint="eastAsia" w:eastAsia="方正楷体_GBK" w:cs="楷体"/>
          <w:szCs w:val="32"/>
        </w:rPr>
      </w:pPr>
      <w:r>
        <w:rPr>
          <w:rFonts w:hint="eastAsia" w:eastAsia="方正楷体_GBK" w:cs="楷体"/>
          <w:szCs w:val="32"/>
        </w:rPr>
        <w:t>（二）聚焦重点，推动专项整治年度任务落地落实</w:t>
      </w:r>
    </w:p>
    <w:p>
      <w:pPr>
        <w:spacing w:line="560" w:lineRule="exact"/>
        <w:ind w:firstLine="640" w:firstLineChars="200"/>
        <w:rPr>
          <w:rFonts w:hint="eastAsia" w:eastAsia="方正仿宋_GBK" w:cs="仿宋_GB2312"/>
          <w:szCs w:val="32"/>
        </w:rPr>
      </w:pPr>
      <w:r>
        <w:rPr>
          <w:rFonts w:hint="eastAsia" w:eastAsia="方正仿宋_GBK" w:cs="仿宋_GB2312"/>
          <w:szCs w:val="32"/>
        </w:rPr>
        <w:t>1.进一步加强项目部安全管理力量配备。项目部要按照住建部、省住建厅和市住建局相关规定要求设置安全生产管理机构、配备专职安全生产管理人员；各在建工程项目部根据项目特点和需求，通过自身培养、纵向申请，横向求助支援或市场化采购机制，完善安全生产技术和管理能力</w:t>
      </w:r>
      <w:r>
        <w:rPr>
          <w:rFonts w:hint="eastAsia" w:eastAsia="方正仿宋_GBK" w:cs="仿宋_GB2312"/>
          <w:spacing w:val="-4"/>
          <w:szCs w:val="32"/>
        </w:rPr>
        <w:t>，不断提升项目部安全生产管理能力和管理水平。</w:t>
      </w:r>
    </w:p>
    <w:p>
      <w:pPr>
        <w:spacing w:line="560" w:lineRule="exact"/>
        <w:ind w:firstLine="640" w:firstLineChars="200"/>
        <w:rPr>
          <w:rFonts w:hint="eastAsia" w:eastAsia="方正仿宋_GBK" w:cs="仿宋_GB2312"/>
          <w:szCs w:val="32"/>
        </w:rPr>
      </w:pPr>
      <w:r>
        <w:rPr>
          <w:rFonts w:hint="eastAsia" w:eastAsia="方正仿宋_GBK" w:cs="仿宋_GB2312"/>
          <w:szCs w:val="32"/>
        </w:rPr>
        <w:t>2.进一步推进在建工程项目安全生产标准化建设。</w:t>
      </w:r>
      <w:r>
        <w:rPr>
          <w:rFonts w:hint="eastAsia" w:eastAsia="方正仿宋_GBK" w:cs="仿宋_GB2312"/>
          <w:color w:val="000000"/>
          <w:szCs w:val="32"/>
        </w:rPr>
        <w:t>项目部要按照《江苏省建筑施工安全生产标准化考评管理办法（试行）》切实</w:t>
      </w:r>
      <w:r>
        <w:rPr>
          <w:rFonts w:hint="eastAsia" w:eastAsia="方正仿宋_GBK" w:cs="仿宋_GB2312"/>
          <w:szCs w:val="32"/>
        </w:rPr>
        <w:t>做好项目月度自评、定期检查等，并及时开展信息化工作，加强省安管系统信息平台应用，同时积极创建各级标准化星级工地，切实推动项目部安全标准化自主创建、持续改进，有效激发项目部高质量发展内生动力。</w:t>
      </w:r>
    </w:p>
    <w:p>
      <w:pPr>
        <w:spacing w:line="560" w:lineRule="exact"/>
        <w:ind w:firstLine="640" w:firstLineChars="200"/>
        <w:rPr>
          <w:rFonts w:hint="eastAsia" w:eastAsia="方正仿宋_GBK" w:cs="仿宋_GB2312"/>
          <w:szCs w:val="32"/>
        </w:rPr>
      </w:pPr>
      <w:r>
        <w:rPr>
          <w:rFonts w:hint="eastAsia" w:eastAsia="方正仿宋_GBK" w:cs="仿宋_GB2312"/>
          <w:szCs w:val="32"/>
        </w:rPr>
        <w:t>3.进一步提升项目部安全教育培训。健全完善项目部安全教育培训制度，制订长期培训目标和年度实施计划，分类分批开展覆盖全员的安全教育培训，且做到有计划、有目的、有重点。抓好在岗员工安全技能提升培训、新上岗员工安全技能培训、复工、转岗前安全培训的基础上，不断加强对项目部安全人才和重点岗位员工的技能提升培养。</w:t>
      </w:r>
    </w:p>
    <w:p>
      <w:pPr>
        <w:spacing w:line="560" w:lineRule="exact"/>
        <w:ind w:firstLine="640" w:firstLineChars="200"/>
        <w:rPr>
          <w:rFonts w:hint="eastAsia" w:eastAsia="方正仿宋_GBK" w:cs="仿宋_GB2312"/>
          <w:szCs w:val="32"/>
        </w:rPr>
      </w:pPr>
      <w:r>
        <w:rPr>
          <w:rFonts w:hint="eastAsia" w:eastAsia="方正仿宋_GBK" w:cs="仿宋_GB2312"/>
          <w:szCs w:val="32"/>
        </w:rPr>
        <w:t>4.进一步深化项目部安全风险辨识管控。项目部要建立健全落实安全风险辨识办法，建立安全风险管控清单，对安全风险进行分级、分类管理。</w:t>
      </w:r>
    </w:p>
    <w:p>
      <w:pPr>
        <w:spacing w:line="560" w:lineRule="exact"/>
        <w:ind w:firstLine="640" w:firstLineChars="200"/>
        <w:rPr>
          <w:rFonts w:hint="eastAsia" w:eastAsia="方正仿宋_GBK" w:cs="仿宋_GB2312"/>
          <w:szCs w:val="32"/>
        </w:rPr>
      </w:pPr>
      <w:r>
        <w:rPr>
          <w:rFonts w:hint="eastAsia" w:eastAsia="方正仿宋_GBK" w:cs="仿宋_GB2312"/>
          <w:szCs w:val="32"/>
        </w:rPr>
        <w:t xml:space="preserve">5.进一步健全项目部安全隐患排查治理。建立健全以风险辨识管控为基础的“日周月”隐患排查治理制度、危大工程管控制度、危险作业事项排查管理制度，督促项目部通过组织专家、动员职工、委托第三方机构等多种形式，定期开展安全隐患排查，及时落实整改措施，严格实行闭环管理，不断完善“一患一档”。 </w:t>
      </w:r>
    </w:p>
    <w:p>
      <w:pPr>
        <w:spacing w:line="560" w:lineRule="exact"/>
        <w:ind w:firstLine="640" w:firstLineChars="200"/>
        <w:rPr>
          <w:rFonts w:hint="eastAsia" w:eastAsia="方正仿宋_GBK" w:cs="仿宋_GB2312"/>
          <w:szCs w:val="32"/>
        </w:rPr>
      </w:pPr>
      <w:r>
        <w:rPr>
          <w:rFonts w:hint="eastAsia" w:eastAsia="方正仿宋_GBK" w:cs="仿宋_GB2312"/>
          <w:szCs w:val="32"/>
        </w:rPr>
        <w:t>6.进一步发挥安责险风险评估和事故预防功能。项目部全面依法依规参保安全生产责任险，积极预防和减少生产安全事故，提高项目部风险抵御能力，提高项目部安全管理水平，促进项目安全生产高质量发展。</w:t>
      </w:r>
    </w:p>
    <w:p>
      <w:pPr>
        <w:spacing w:line="560" w:lineRule="exact"/>
        <w:ind w:firstLine="640" w:firstLineChars="200"/>
        <w:rPr>
          <w:rFonts w:hint="eastAsia" w:eastAsia="方正楷体_GBK" w:cs="仿宋_GB2312"/>
          <w:szCs w:val="32"/>
        </w:rPr>
      </w:pPr>
      <w:r>
        <w:rPr>
          <w:rFonts w:hint="eastAsia" w:eastAsia="方正楷体_GBK" w:cs="楷体"/>
          <w:szCs w:val="32"/>
        </w:rPr>
        <w:t>（三）深化机制，推动项目部本质安全水平显著提升</w:t>
      </w:r>
    </w:p>
    <w:p>
      <w:pPr>
        <w:spacing w:line="560" w:lineRule="exact"/>
        <w:ind w:firstLine="640" w:firstLineChars="200"/>
        <w:rPr>
          <w:rFonts w:hint="eastAsia" w:eastAsia="方正仿宋_GBK" w:cs="仿宋_GB2312"/>
          <w:szCs w:val="32"/>
        </w:rPr>
      </w:pPr>
      <w:r>
        <w:rPr>
          <w:rFonts w:hint="eastAsia" w:eastAsia="方正仿宋_GBK" w:cs="仿宋_GB2312"/>
          <w:szCs w:val="32"/>
        </w:rPr>
        <w:t>1.深化告知承诺机制。进一步深化项目部安全生产主体责任告知承诺机制，建立告知承诺年度周期制度，强化动态管理、长效管理。所有在建工程项目要按照《市政府办公室关于转发市住房和城乡建设局南通市建设工程全面实行开工前“安全责任告知、专题警示教育、安全公开承诺”工作方案的通知》（通政办发〔2020〕19号）要求签订</w:t>
      </w:r>
      <w:r>
        <w:rPr>
          <w:rFonts w:hint="eastAsia" w:eastAsia="方正仿宋_GBK" w:cs="仿宋_GB2312"/>
          <w:kern w:val="32"/>
          <w:szCs w:val="32"/>
        </w:rPr>
        <w:t>安全生产主体责任承诺书，并在项目施工现场醒目位置张贴公示，接受监督。</w:t>
      </w:r>
    </w:p>
    <w:p>
      <w:pPr>
        <w:spacing w:line="560" w:lineRule="exact"/>
        <w:ind w:firstLine="640" w:firstLineChars="200"/>
        <w:rPr>
          <w:rFonts w:hint="eastAsia" w:eastAsia="方正仿宋_GBK" w:cs="仿宋_GB2312"/>
          <w:szCs w:val="32"/>
        </w:rPr>
      </w:pPr>
      <w:r>
        <w:rPr>
          <w:rFonts w:hint="eastAsia" w:eastAsia="方正仿宋_GBK" w:cs="仿宋_GB2312"/>
          <w:szCs w:val="32"/>
        </w:rPr>
        <w:t>2.深化责任清单机制。项目部要对标自查、照单履职，切实将项目部安全生产主体责任细化到每个员工、每个岗位、每个环节，层层压紧压实安全生产责任，不断增强项目部落实主体责任的自觉性和内驱力。在建工程项目施工单位责任清单见附件。</w:t>
      </w:r>
    </w:p>
    <w:p>
      <w:pPr>
        <w:spacing w:line="560" w:lineRule="exact"/>
        <w:ind w:firstLine="640" w:firstLineChars="200"/>
        <w:rPr>
          <w:rFonts w:hint="eastAsia" w:eastAsia="方正仿宋_GBK" w:cs="仿宋_GB2312"/>
          <w:szCs w:val="32"/>
        </w:rPr>
      </w:pPr>
      <w:r>
        <w:rPr>
          <w:rFonts w:hint="eastAsia" w:eastAsia="方正仿宋_GBK" w:cs="仿宋_GB2312"/>
          <w:szCs w:val="32"/>
        </w:rPr>
        <w:t>3.深化排查复查机制。进一步深化在建工程项目隐患排查复查机制，在项目自查自改自报公示基础上，施工企业和监理单位开展复查，建设单位抽查复核，推动安全隐患排查整治全覆盖，持续强化项目部安全隐患排查整治能力。</w:t>
      </w:r>
    </w:p>
    <w:p>
      <w:pPr>
        <w:spacing w:line="560" w:lineRule="exact"/>
        <w:ind w:firstLine="640" w:firstLineChars="200"/>
        <w:rPr>
          <w:rFonts w:hint="eastAsia" w:eastAsia="方正仿宋_GBK" w:cs="仿宋_GB2312"/>
          <w:szCs w:val="32"/>
        </w:rPr>
      </w:pPr>
      <w:r>
        <w:rPr>
          <w:rFonts w:hint="eastAsia" w:eastAsia="方正仿宋_GBK" w:cs="仿宋_GB2312"/>
          <w:szCs w:val="32"/>
        </w:rPr>
        <w:t>4.深化典型示范机制。进一步发挥典型示范引领作用，强化分类指导推动，鼓励相关项目部推陈出新，及时总结推广典型经验，以点带面，大力推动项目部切实落实安全生产主体责任，促进项目部改进安全生产管理，改善安全生产条件，总结推广经验做法和创新举措，持续提升项目部本质安全水平。</w:t>
      </w:r>
    </w:p>
    <w:p>
      <w:pPr>
        <w:spacing w:line="560" w:lineRule="exact"/>
        <w:ind w:firstLine="640" w:firstLineChars="200"/>
        <w:rPr>
          <w:rFonts w:hint="eastAsia" w:eastAsia="方正黑体_GBK" w:cs="仿宋_GB2312"/>
          <w:szCs w:val="32"/>
        </w:rPr>
      </w:pPr>
      <w:r>
        <w:rPr>
          <w:rFonts w:hint="eastAsia" w:eastAsia="方正黑体_GBK" w:cs="黑体"/>
          <w:szCs w:val="32"/>
        </w:rPr>
        <w:t>三、工作要求</w:t>
      </w:r>
    </w:p>
    <w:p>
      <w:pPr>
        <w:spacing w:line="560" w:lineRule="exact"/>
        <w:ind w:firstLine="640" w:firstLineChars="200"/>
        <w:rPr>
          <w:rFonts w:hint="eastAsia" w:eastAsia="方正仿宋_GBK" w:cs="仿宋_GB2312"/>
          <w:szCs w:val="32"/>
        </w:rPr>
      </w:pPr>
      <w:r>
        <w:rPr>
          <w:rFonts w:hint="eastAsia" w:eastAsia="方正楷体_GBK" w:cs="仿宋_GB2312"/>
          <w:bCs/>
          <w:szCs w:val="32"/>
        </w:rPr>
        <w:t>（一）要认清深化意义</w:t>
      </w:r>
      <w:r>
        <w:rPr>
          <w:rFonts w:hint="eastAsia" w:eastAsia="方正楷体_GBK" w:cs="仿宋_GB2312"/>
          <w:szCs w:val="32"/>
        </w:rPr>
        <w:t>。</w:t>
      </w:r>
      <w:r>
        <w:rPr>
          <w:rFonts w:hint="eastAsia" w:eastAsia="方正仿宋_GBK" w:cs="仿宋_GB2312"/>
          <w:szCs w:val="32"/>
        </w:rPr>
        <w:t>各项目部要进一步提高思想认识，充分认清深化落实在建工程项目安全生产主体责任的重要意义，切实强化组织领导，</w:t>
      </w:r>
      <w:r>
        <w:rPr>
          <w:rFonts w:hint="eastAsia" w:eastAsia="方正仿宋_GBK" w:cs="仿宋_GB2312"/>
          <w:b/>
          <w:bCs/>
          <w:szCs w:val="32"/>
        </w:rPr>
        <w:t>制定具体落实方案</w:t>
      </w:r>
      <w:r>
        <w:rPr>
          <w:rFonts w:hint="eastAsia" w:eastAsia="方正仿宋_GBK" w:cs="仿宋_GB2312"/>
          <w:szCs w:val="32"/>
        </w:rPr>
        <w:t>，分解工作目标任务，细化项目部责任清单，明确工作责任要求，力戒形式主义、官僚主义，力求工作取得实效。</w:t>
      </w:r>
    </w:p>
    <w:p>
      <w:pPr>
        <w:spacing w:line="560" w:lineRule="exact"/>
        <w:ind w:firstLine="640" w:firstLineChars="200"/>
        <w:rPr>
          <w:rFonts w:hint="eastAsia" w:eastAsia="方正仿宋_GBK" w:cs="仿宋_GB2312"/>
          <w:szCs w:val="32"/>
        </w:rPr>
      </w:pPr>
      <w:r>
        <w:rPr>
          <w:rFonts w:hint="eastAsia" w:eastAsia="方正楷体_GBK" w:cs="仿宋_GB2312"/>
          <w:bCs/>
          <w:szCs w:val="32"/>
        </w:rPr>
        <w:t>（二）要加强监督指导</w:t>
      </w:r>
      <w:r>
        <w:rPr>
          <w:rFonts w:hint="eastAsia" w:eastAsia="方正楷体_GBK" w:cs="仿宋_GB2312"/>
          <w:szCs w:val="32"/>
        </w:rPr>
        <w:t>。</w:t>
      </w:r>
      <w:r>
        <w:rPr>
          <w:rFonts w:hint="eastAsia" w:eastAsia="方正仿宋_GBK" w:cs="仿宋_GB2312"/>
          <w:szCs w:val="32"/>
        </w:rPr>
        <w:t>市安监站将把在建项目深化落实</w:t>
      </w:r>
      <w:r>
        <w:rPr>
          <w:rFonts w:hint="eastAsia" w:eastAsia="方正仿宋_GBK" w:cs="仿宋_GB2312"/>
          <w:szCs w:val="32"/>
          <w:lang w:eastAsia="zh-CN"/>
        </w:rPr>
        <w:t>安全</w:t>
      </w:r>
      <w:bookmarkStart w:id="0" w:name="_GoBack"/>
      <w:bookmarkEnd w:id="0"/>
      <w:r>
        <w:rPr>
          <w:rFonts w:hint="eastAsia" w:eastAsia="方正仿宋_GBK" w:cs="仿宋_GB2312"/>
          <w:szCs w:val="32"/>
        </w:rPr>
        <w:t>生产主体责任情况纳入日常巡查检查内容，积极开展督导督查，加强执法检查力度，充分运用提醒、约谈、警示、通报和监管执法等方式方法，倒逼项目部自主推进主体责任的落实</w:t>
      </w:r>
      <w:r>
        <w:rPr>
          <w:rFonts w:hint="eastAsia" w:eastAsia="方正仿宋_GBK" w:cs="仿宋_GB2312"/>
          <w:color w:val="000000"/>
          <w:szCs w:val="32"/>
        </w:rPr>
        <w:t>。</w:t>
      </w:r>
    </w:p>
    <w:p>
      <w:pPr>
        <w:spacing w:line="560" w:lineRule="exact"/>
        <w:ind w:firstLine="640" w:firstLineChars="200"/>
        <w:rPr>
          <w:rFonts w:hint="eastAsia" w:eastAsia="方正仿宋_GBK" w:cs="仿宋_GB2312"/>
          <w:szCs w:val="32"/>
        </w:rPr>
      </w:pPr>
      <w:r>
        <w:rPr>
          <w:rFonts w:hint="eastAsia" w:eastAsia="方正楷体_GBK" w:cs="仿宋_GB2312"/>
          <w:bCs/>
          <w:szCs w:val="32"/>
        </w:rPr>
        <w:t>（三）要建立长效机制</w:t>
      </w:r>
      <w:r>
        <w:rPr>
          <w:rFonts w:hint="eastAsia" w:eastAsia="方正楷体_GBK" w:cs="仿宋_GB2312"/>
          <w:szCs w:val="32"/>
        </w:rPr>
        <w:t>。</w:t>
      </w:r>
      <w:r>
        <w:rPr>
          <w:rFonts w:hint="eastAsia" w:eastAsia="方正仿宋_GBK" w:cs="仿宋_GB2312"/>
          <w:szCs w:val="32"/>
        </w:rPr>
        <w:t>各在建工程项目部要对安全生产主体责任工作情况进行分析研判，及时总结经验教训，努力创建落实安全生产主体责任的先进项目部，树立正反典型，</w:t>
      </w:r>
      <w:r>
        <w:rPr>
          <w:rFonts w:hint="eastAsia" w:eastAsia="方正仿宋_GBK" w:cs="仿宋_GB2312"/>
          <w:b/>
          <w:bCs/>
          <w:szCs w:val="32"/>
        </w:rPr>
        <w:t>每季度最后一个月</w:t>
      </w:r>
      <w:r>
        <w:rPr>
          <w:rFonts w:eastAsia="方正仿宋_GBK" w:cs="仿宋_GB2312"/>
          <w:b/>
          <w:bCs/>
          <w:szCs w:val="32"/>
        </w:rPr>
        <w:t>5</w:t>
      </w:r>
      <w:r>
        <w:rPr>
          <w:rFonts w:hint="eastAsia" w:eastAsia="方正仿宋_GBK" w:cs="仿宋_GB2312"/>
          <w:b/>
          <w:bCs/>
          <w:szCs w:val="32"/>
        </w:rPr>
        <w:t>日向市安监站报送先进经验材料，报送材料经企业安全总监审核签字确认。</w:t>
      </w:r>
      <w:r>
        <w:rPr>
          <w:rFonts w:hint="eastAsia" w:eastAsia="方正仿宋_GBK" w:cs="仿宋_GB2312"/>
          <w:szCs w:val="32"/>
        </w:rPr>
        <w:t>（</w:t>
      </w:r>
      <w:r>
        <w:rPr>
          <w:rFonts w:hint="eastAsia" w:eastAsia="方正仿宋_GBK" w:cs="仿宋"/>
          <w:spacing w:val="-4"/>
          <w:szCs w:val="32"/>
        </w:rPr>
        <w:t>房建工程报送邮箱ajzfjk@126.com，轨道交通工程报送邮箱ajzgdk@163.com</w:t>
      </w:r>
      <w:r>
        <w:rPr>
          <w:rFonts w:hint="eastAsia" w:eastAsia="方正仿宋_GBK" w:cs="仿宋_GB2312"/>
          <w:szCs w:val="32"/>
        </w:rPr>
        <w:t>）。</w:t>
      </w:r>
    </w:p>
    <w:p>
      <w:pPr>
        <w:pStyle w:val="5"/>
        <w:spacing w:before="0" w:beforeAutospacing="0" w:after="0" w:line="560" w:lineRule="exact"/>
        <w:ind w:left="0" w:leftChars="0" w:firstLine="640"/>
        <w:rPr>
          <w:rFonts w:hint="eastAsia" w:ascii="Times New Roman" w:hAnsi="Times New Roman" w:eastAsia="方正仿宋_GBK" w:cs="仿宋_GB2312"/>
          <w:sz w:val="32"/>
          <w:szCs w:val="32"/>
        </w:rPr>
      </w:pPr>
    </w:p>
    <w:p>
      <w:pPr>
        <w:spacing w:line="560" w:lineRule="exact"/>
        <w:jc w:val="left"/>
        <w:rPr>
          <w:rFonts w:eastAsia="方正仿宋_GBK" w:cs="仿宋_GB2312"/>
          <w:szCs w:val="32"/>
        </w:rPr>
      </w:pPr>
      <w:r>
        <w:rPr>
          <w:rFonts w:hint="eastAsia" w:eastAsia="方正仿宋_GBK" w:cs="仿宋_GB2312"/>
          <w:szCs w:val="32"/>
        </w:rPr>
        <w:t>附件：1.在建工程项目施工单位对照检查清单（4</w:t>
      </w:r>
      <w:r>
        <w:rPr>
          <w:rFonts w:eastAsia="方正仿宋_GBK" w:cs="仿宋_GB2312"/>
          <w:szCs w:val="32"/>
        </w:rPr>
        <w:t>6</w:t>
      </w:r>
      <w:r>
        <w:rPr>
          <w:rFonts w:hint="eastAsia" w:eastAsia="方正仿宋_GBK" w:cs="仿宋_GB2312"/>
          <w:szCs w:val="32"/>
        </w:rPr>
        <w:t>项）</w:t>
      </w:r>
    </w:p>
    <w:p>
      <w:pPr>
        <w:snapToGrid w:val="0"/>
        <w:spacing w:line="590" w:lineRule="exact"/>
        <w:ind w:left="1280" w:hanging="1280" w:hangingChars="400"/>
        <w:jc w:val="left"/>
        <w:rPr>
          <w:rFonts w:hint="eastAsia" w:eastAsia="方正仿宋_GBK" w:cs="仿宋_GB2312"/>
          <w:szCs w:val="32"/>
        </w:rPr>
      </w:pPr>
      <w:r>
        <w:rPr>
          <w:rFonts w:eastAsia="方正仿宋_GBK" w:cs="仿宋_GB2312"/>
          <w:szCs w:val="32"/>
        </w:rPr>
        <w:t xml:space="preserve">      2.</w:t>
      </w:r>
      <w:r>
        <w:rPr>
          <w:rFonts w:hint="eastAsia" w:eastAsia="方正仿宋_GBK" w:cs="仿宋_GB2312"/>
          <w:szCs w:val="32"/>
        </w:rPr>
        <w:t xml:space="preserve"> 《关于印发&lt;进一步深化落实建筑施工企业安全生产主体责任实施方案&gt;的通知》（通住建安〔2021〕70号）</w:t>
      </w:r>
    </w:p>
    <w:p>
      <w:pPr>
        <w:snapToGrid w:val="0"/>
        <w:spacing w:line="560" w:lineRule="exact"/>
        <w:rPr>
          <w:rFonts w:hint="eastAsia" w:eastAsia="方正仿宋_GBK"/>
          <w:szCs w:val="32"/>
        </w:rPr>
        <w:sectPr>
          <w:headerReference r:id="rId5" w:type="default"/>
          <w:footerReference r:id="rId6" w:type="default"/>
          <w:footerReference r:id="rId7" w:type="even"/>
          <w:pgSz w:w="11907" w:h="16840"/>
          <w:pgMar w:top="2098" w:right="1418" w:bottom="1985" w:left="1588" w:header="720" w:footer="1588" w:gutter="0"/>
          <w:cols w:space="720" w:num="1"/>
          <w:docGrid w:type="lines" w:linePitch="579" w:charSpace="-15"/>
        </w:sectPr>
      </w:pPr>
    </w:p>
    <w:p>
      <w:pPr>
        <w:autoSpaceDN w:val="0"/>
        <w:snapToGrid w:val="0"/>
        <w:spacing w:line="560" w:lineRule="exact"/>
        <w:rPr>
          <w:rFonts w:cs="仿宋_GB2312"/>
          <w:szCs w:val="32"/>
        </w:rPr>
      </w:pPr>
      <w:r>
        <w:rPr>
          <w:rFonts w:hint="eastAsia" w:cs="仿宋_GB2312"/>
          <w:szCs w:val="32"/>
        </w:rPr>
        <w:t>附件1：</w:t>
      </w:r>
    </w:p>
    <w:p>
      <w:pPr>
        <w:autoSpaceDN w:val="0"/>
        <w:snapToGrid w:val="0"/>
        <w:spacing w:line="360" w:lineRule="auto"/>
        <w:jc w:val="center"/>
        <w:rPr>
          <w:rFonts w:hint="eastAsia" w:ascii="方正小标宋_GBK" w:eastAsia="方正小标宋_GBK" w:cs="仿宋_GB2312"/>
          <w:sz w:val="44"/>
          <w:szCs w:val="44"/>
        </w:rPr>
      </w:pPr>
      <w:r>
        <w:rPr>
          <w:rFonts w:hint="eastAsia" w:ascii="方正小标宋_GBK" w:eastAsia="方正小标宋_GBK" w:cs="仿宋_GB2312"/>
          <w:sz w:val="44"/>
          <w:szCs w:val="44"/>
        </w:rPr>
        <w:t>在建工程项目施工单位对照检查清单（4</w:t>
      </w:r>
      <w:r>
        <w:rPr>
          <w:rFonts w:ascii="方正小标宋_GBK" w:eastAsia="方正小标宋_GBK" w:cs="仿宋_GB2312"/>
          <w:sz w:val="44"/>
          <w:szCs w:val="44"/>
        </w:rPr>
        <w:t>6</w:t>
      </w:r>
      <w:r>
        <w:rPr>
          <w:rFonts w:hint="eastAsia" w:ascii="方正小标宋_GBK" w:eastAsia="方正小标宋_GBK" w:cs="仿宋_GB2312"/>
          <w:sz w:val="44"/>
          <w:szCs w:val="44"/>
        </w:rPr>
        <w:t>项）</w:t>
      </w:r>
    </w:p>
    <w:p>
      <w:pPr>
        <w:autoSpaceDN w:val="0"/>
        <w:snapToGrid w:val="0"/>
        <w:spacing w:before="240" w:line="560" w:lineRule="exact"/>
        <w:rPr>
          <w:rFonts w:eastAsia="宋体"/>
          <w:sz w:val="21"/>
          <w:szCs w:val="32"/>
          <w:u w:val="single"/>
        </w:rPr>
      </w:pPr>
      <w:r>
        <w:rPr>
          <w:rFonts w:hint="eastAsia" w:cs="仿宋_GB2312"/>
          <w:szCs w:val="32"/>
        </w:rPr>
        <w:t xml:space="preserve">项目名称（盖章）：                     项目经理： </w:t>
      </w:r>
      <w:r>
        <w:rPr>
          <w:rFonts w:cs="仿宋_GB2312"/>
          <w:szCs w:val="32"/>
        </w:rPr>
        <w:t xml:space="preserve">          </w:t>
      </w:r>
      <w:r>
        <w:rPr>
          <w:rFonts w:hint="eastAsia" w:cs="仿宋_GB2312"/>
          <w:szCs w:val="32"/>
        </w:rPr>
        <w:t>时间：     年    月   日</w:t>
      </w:r>
    </w:p>
    <w:tbl>
      <w:tblPr>
        <w:tblStyle w:val="6"/>
        <w:tblW w:w="141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9411"/>
        <w:gridCol w:w="32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tblHeader/>
          <w:jc w:val="center"/>
        </w:trPr>
        <w:tc>
          <w:tcPr>
            <w:tcW w:w="1493" w:type="dxa"/>
            <w:tcBorders>
              <w:top w:val="single" w:color="auto" w:sz="12" w:space="0"/>
              <w:left w:val="single" w:color="auto" w:sz="12" w:space="0"/>
              <w:bottom w:val="single" w:color="auto" w:sz="12" w:space="0"/>
              <w:right w:val="single" w:color="auto" w:sz="4" w:space="0"/>
            </w:tcBorders>
            <w:noWrap/>
            <w:vAlign w:val="center"/>
          </w:tcPr>
          <w:p>
            <w:pPr>
              <w:spacing w:line="560" w:lineRule="exact"/>
              <w:jc w:val="center"/>
              <w:rPr>
                <w:rFonts w:cs="仿宋_GB2312"/>
                <w:kern w:val="2"/>
                <w:sz w:val="24"/>
                <w:szCs w:val="24"/>
              </w:rPr>
            </w:pPr>
            <w:r>
              <w:rPr>
                <w:rFonts w:hint="eastAsia" w:cs="仿宋_GB2312"/>
                <w:sz w:val="24"/>
                <w:szCs w:val="24"/>
              </w:rPr>
              <w:t>工作内容</w:t>
            </w:r>
          </w:p>
        </w:tc>
        <w:tc>
          <w:tcPr>
            <w:tcW w:w="9411" w:type="dxa"/>
            <w:tcBorders>
              <w:top w:val="single" w:color="auto" w:sz="12" w:space="0"/>
              <w:left w:val="single" w:color="auto" w:sz="4" w:space="0"/>
              <w:bottom w:val="single" w:color="auto" w:sz="12" w:space="0"/>
              <w:right w:val="single" w:color="auto" w:sz="4" w:space="0"/>
            </w:tcBorders>
            <w:noWrap/>
            <w:vAlign w:val="center"/>
          </w:tcPr>
          <w:p>
            <w:pPr>
              <w:spacing w:line="560" w:lineRule="exact"/>
              <w:jc w:val="center"/>
              <w:rPr>
                <w:rFonts w:cs="仿宋_GB2312"/>
                <w:kern w:val="2"/>
                <w:sz w:val="24"/>
                <w:szCs w:val="24"/>
              </w:rPr>
            </w:pPr>
            <w:r>
              <w:rPr>
                <w:rFonts w:hint="eastAsia" w:cs="仿宋_GB2312"/>
                <w:sz w:val="24"/>
                <w:szCs w:val="24"/>
              </w:rPr>
              <w:t>标准和要求</w:t>
            </w:r>
          </w:p>
        </w:tc>
        <w:tc>
          <w:tcPr>
            <w:tcW w:w="3249" w:type="dxa"/>
            <w:tcBorders>
              <w:top w:val="single" w:color="auto" w:sz="12" w:space="0"/>
              <w:left w:val="single" w:color="auto" w:sz="4" w:space="0"/>
              <w:bottom w:val="single" w:color="auto" w:sz="12" w:space="0"/>
              <w:right w:val="single" w:color="auto" w:sz="12" w:space="0"/>
            </w:tcBorders>
            <w:noWrap/>
            <w:vAlign w:val="center"/>
          </w:tcPr>
          <w:p>
            <w:pPr>
              <w:spacing w:line="560" w:lineRule="exact"/>
              <w:jc w:val="center"/>
              <w:rPr>
                <w:rFonts w:cs="仿宋_GB2312"/>
                <w:kern w:val="2"/>
                <w:sz w:val="24"/>
                <w:szCs w:val="24"/>
              </w:rPr>
            </w:pPr>
            <w:r>
              <w:rPr>
                <w:rFonts w:hint="eastAsia" w:cs="仿宋_GB2312"/>
                <w:sz w:val="24"/>
                <w:szCs w:val="24"/>
              </w:rPr>
              <w:t>自查问题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93" w:type="dxa"/>
            <w:vMerge w:val="restart"/>
            <w:tcBorders>
              <w:top w:val="single" w:color="auto" w:sz="12" w:space="0"/>
              <w:left w:val="single" w:color="auto" w:sz="12" w:space="0"/>
              <w:right w:val="single" w:color="auto" w:sz="8" w:space="0"/>
            </w:tcBorders>
            <w:noWrap/>
            <w:vAlign w:val="center"/>
          </w:tcPr>
          <w:p>
            <w:pPr>
              <w:spacing w:line="240" w:lineRule="auto"/>
              <w:jc w:val="center"/>
              <w:rPr>
                <w:rFonts w:hint="eastAsia" w:cs="仿宋_GB2312"/>
                <w:sz w:val="24"/>
                <w:szCs w:val="24"/>
              </w:rPr>
            </w:pPr>
            <w:r>
              <w:rPr>
                <w:rFonts w:hint="eastAsia" w:cs="仿宋_GB2312"/>
                <w:sz w:val="24"/>
                <w:szCs w:val="24"/>
              </w:rPr>
              <w:t>开展安全生产教育培训</w:t>
            </w:r>
          </w:p>
        </w:tc>
        <w:tc>
          <w:tcPr>
            <w:tcW w:w="9411" w:type="dxa"/>
            <w:tcBorders>
              <w:top w:val="single" w:color="auto" w:sz="12" w:space="0"/>
              <w:left w:val="single" w:color="auto" w:sz="8" w:space="0"/>
              <w:bottom w:val="single" w:color="auto" w:sz="8" w:space="0"/>
              <w:right w:val="single" w:color="auto" w:sz="8" w:space="0"/>
            </w:tcBorders>
            <w:noWrap/>
            <w:vAlign w:val="center"/>
          </w:tcPr>
          <w:p>
            <w:pPr>
              <w:spacing w:line="240" w:lineRule="auto"/>
              <w:jc w:val="left"/>
              <w:rPr>
                <w:rFonts w:hint="eastAsia" w:cs="仿宋_GB2312"/>
                <w:sz w:val="24"/>
                <w:szCs w:val="24"/>
              </w:rPr>
            </w:pPr>
            <w:r>
              <w:rPr>
                <w:rFonts w:hint="eastAsia" w:cs="仿宋_GB2312"/>
                <w:sz w:val="24"/>
                <w:szCs w:val="24"/>
              </w:rPr>
              <w:t>1</w:t>
            </w:r>
            <w:r>
              <w:rPr>
                <w:rFonts w:cs="仿宋_GB2312"/>
                <w:sz w:val="24"/>
                <w:szCs w:val="24"/>
              </w:rPr>
              <w:t>.</w:t>
            </w:r>
            <w:r>
              <w:rPr>
                <w:rFonts w:hint="eastAsia" w:cs="仿宋_GB2312"/>
                <w:sz w:val="24"/>
                <w:szCs w:val="24"/>
              </w:rPr>
              <w:t>施工单位是否传达贯彻习</w:t>
            </w:r>
            <w:r>
              <w:rPr>
                <w:rFonts w:hint="eastAsia" w:cs="仿宋_GB2312"/>
                <w:sz w:val="24"/>
                <w:szCs w:val="24"/>
                <w:lang w:eastAsia="zh-CN"/>
              </w:rPr>
              <w:t>近平</w:t>
            </w:r>
            <w:r>
              <w:rPr>
                <w:rFonts w:hint="eastAsia" w:cs="仿宋_GB2312"/>
                <w:sz w:val="24"/>
                <w:szCs w:val="24"/>
              </w:rPr>
              <w:t>总书记安全生产重要指示批示精神</w:t>
            </w:r>
          </w:p>
        </w:tc>
        <w:tc>
          <w:tcPr>
            <w:tcW w:w="3249" w:type="dxa"/>
            <w:tcBorders>
              <w:top w:val="single" w:color="auto" w:sz="12" w:space="0"/>
              <w:left w:val="single" w:color="auto" w:sz="8" w:space="0"/>
              <w:bottom w:val="single" w:color="auto" w:sz="8" w:space="0"/>
              <w:right w:val="single" w:color="auto" w:sz="12" w:space="0"/>
            </w:tcBorders>
            <w:noWrap/>
            <w:vAlign w:val="center"/>
          </w:tcPr>
          <w:p>
            <w:pPr>
              <w:spacing w:line="240" w:lineRule="auto"/>
              <w:jc w:val="left"/>
              <w:rPr>
                <w:rFonts w:hint="eastAsia"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93" w:type="dxa"/>
            <w:vMerge w:val="continue"/>
            <w:tcBorders>
              <w:left w:val="single" w:color="auto" w:sz="12" w:space="0"/>
              <w:right w:val="single" w:color="auto" w:sz="8" w:space="0"/>
            </w:tcBorders>
            <w:noWrap/>
            <w:vAlign w:val="center"/>
          </w:tcPr>
          <w:p>
            <w:pPr>
              <w:spacing w:line="240" w:lineRule="auto"/>
              <w:rPr>
                <w:rFonts w:hint="eastAsia" w:cs="仿宋_GB2312"/>
                <w:sz w:val="24"/>
                <w:szCs w:val="24"/>
              </w:rPr>
            </w:pPr>
          </w:p>
        </w:tc>
        <w:tc>
          <w:tcPr>
            <w:tcW w:w="9411" w:type="dxa"/>
            <w:tcBorders>
              <w:top w:val="single" w:color="auto" w:sz="8" w:space="0"/>
              <w:left w:val="single" w:color="auto" w:sz="8" w:space="0"/>
              <w:bottom w:val="single" w:color="auto" w:sz="8" w:space="0"/>
              <w:right w:val="single" w:color="auto" w:sz="8" w:space="0"/>
            </w:tcBorders>
            <w:noWrap/>
            <w:vAlign w:val="center"/>
          </w:tcPr>
          <w:p>
            <w:pPr>
              <w:spacing w:line="240" w:lineRule="auto"/>
              <w:jc w:val="left"/>
              <w:rPr>
                <w:rFonts w:hint="eastAsia" w:cs="仿宋_GB2312"/>
                <w:sz w:val="24"/>
                <w:szCs w:val="24"/>
              </w:rPr>
            </w:pPr>
            <w:r>
              <w:rPr>
                <w:rFonts w:hint="eastAsia" w:cs="仿宋_GB2312"/>
                <w:sz w:val="24"/>
                <w:szCs w:val="24"/>
              </w:rPr>
              <w:t>2</w:t>
            </w:r>
            <w:r>
              <w:rPr>
                <w:rFonts w:cs="仿宋_GB2312"/>
                <w:sz w:val="24"/>
                <w:szCs w:val="24"/>
              </w:rPr>
              <w:t>.</w:t>
            </w:r>
            <w:r>
              <w:rPr>
                <w:rFonts w:hint="eastAsia" w:cs="仿宋_GB2312"/>
                <w:sz w:val="24"/>
                <w:szCs w:val="24"/>
              </w:rPr>
              <w:t>施工单位是否传达布置落实安全生产三年整治深化行动方案</w:t>
            </w:r>
          </w:p>
        </w:tc>
        <w:tc>
          <w:tcPr>
            <w:tcW w:w="3249" w:type="dxa"/>
            <w:tcBorders>
              <w:top w:val="single" w:color="auto" w:sz="8" w:space="0"/>
              <w:left w:val="single" w:color="auto" w:sz="8" w:space="0"/>
              <w:bottom w:val="single" w:color="auto" w:sz="8" w:space="0"/>
              <w:right w:val="single" w:color="auto" w:sz="12" w:space="0"/>
            </w:tcBorders>
            <w:noWrap/>
            <w:vAlign w:val="center"/>
          </w:tcPr>
          <w:p>
            <w:pPr>
              <w:spacing w:line="240" w:lineRule="auto"/>
              <w:jc w:val="left"/>
              <w:rPr>
                <w:rFonts w:hint="eastAsia"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93" w:type="dxa"/>
            <w:vMerge w:val="continue"/>
            <w:tcBorders>
              <w:left w:val="single" w:color="auto" w:sz="12" w:space="0"/>
              <w:right w:val="single" w:color="auto" w:sz="8" w:space="0"/>
            </w:tcBorders>
            <w:noWrap/>
            <w:vAlign w:val="center"/>
          </w:tcPr>
          <w:p>
            <w:pPr>
              <w:spacing w:line="240" w:lineRule="auto"/>
              <w:rPr>
                <w:rFonts w:hint="eastAsia" w:cs="仿宋_GB2312"/>
                <w:sz w:val="24"/>
                <w:szCs w:val="24"/>
              </w:rPr>
            </w:pPr>
          </w:p>
        </w:tc>
        <w:tc>
          <w:tcPr>
            <w:tcW w:w="9411" w:type="dxa"/>
            <w:tcBorders>
              <w:top w:val="single" w:color="auto" w:sz="8" w:space="0"/>
              <w:left w:val="single" w:color="auto" w:sz="8" w:space="0"/>
              <w:bottom w:val="single" w:color="auto" w:sz="8" w:space="0"/>
              <w:right w:val="single" w:color="auto" w:sz="8" w:space="0"/>
            </w:tcBorders>
            <w:noWrap/>
            <w:vAlign w:val="center"/>
          </w:tcPr>
          <w:p>
            <w:pPr>
              <w:spacing w:line="240" w:lineRule="auto"/>
              <w:jc w:val="left"/>
              <w:rPr>
                <w:rFonts w:hint="eastAsia" w:cs="仿宋_GB2312"/>
                <w:sz w:val="24"/>
                <w:szCs w:val="24"/>
              </w:rPr>
            </w:pPr>
            <w:r>
              <w:rPr>
                <w:rFonts w:hint="eastAsia" w:cs="仿宋_GB2312"/>
                <w:sz w:val="24"/>
                <w:szCs w:val="24"/>
              </w:rPr>
              <w:t>3</w:t>
            </w:r>
            <w:r>
              <w:rPr>
                <w:rFonts w:cs="仿宋_GB2312"/>
                <w:sz w:val="24"/>
                <w:szCs w:val="24"/>
              </w:rPr>
              <w:t>.</w:t>
            </w:r>
            <w:r>
              <w:rPr>
                <w:rFonts w:hint="eastAsia" w:cs="仿宋_GB2312"/>
                <w:sz w:val="24"/>
                <w:szCs w:val="24"/>
              </w:rPr>
              <w:t>施工单位是否传达布置、制定和落实相关行业主管部门专项行动方案</w:t>
            </w:r>
          </w:p>
        </w:tc>
        <w:tc>
          <w:tcPr>
            <w:tcW w:w="3249" w:type="dxa"/>
            <w:tcBorders>
              <w:top w:val="single" w:color="auto" w:sz="8" w:space="0"/>
              <w:left w:val="single" w:color="auto" w:sz="8" w:space="0"/>
              <w:bottom w:val="single" w:color="auto" w:sz="8" w:space="0"/>
              <w:right w:val="single" w:color="auto" w:sz="12" w:space="0"/>
            </w:tcBorders>
            <w:noWrap/>
            <w:vAlign w:val="center"/>
          </w:tcPr>
          <w:p>
            <w:pPr>
              <w:spacing w:line="240" w:lineRule="auto"/>
              <w:jc w:val="left"/>
              <w:rPr>
                <w:rFonts w:hint="eastAsia"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93" w:type="dxa"/>
            <w:vMerge w:val="continue"/>
            <w:tcBorders>
              <w:left w:val="single" w:color="auto" w:sz="12" w:space="0"/>
              <w:right w:val="single" w:color="auto" w:sz="8" w:space="0"/>
            </w:tcBorders>
            <w:noWrap/>
            <w:vAlign w:val="center"/>
          </w:tcPr>
          <w:p>
            <w:pPr>
              <w:spacing w:line="240" w:lineRule="auto"/>
              <w:rPr>
                <w:rFonts w:cs="仿宋_GB2312"/>
                <w:kern w:val="2"/>
                <w:sz w:val="24"/>
                <w:szCs w:val="24"/>
              </w:rPr>
            </w:pPr>
          </w:p>
        </w:tc>
        <w:tc>
          <w:tcPr>
            <w:tcW w:w="9411" w:type="dxa"/>
            <w:tcBorders>
              <w:top w:val="single" w:color="auto" w:sz="8" w:space="0"/>
              <w:left w:val="single" w:color="auto" w:sz="8" w:space="0"/>
              <w:bottom w:val="single" w:color="auto" w:sz="8" w:space="0"/>
              <w:right w:val="single" w:color="auto" w:sz="8" w:space="0"/>
            </w:tcBorders>
            <w:noWrap/>
            <w:vAlign w:val="center"/>
          </w:tcPr>
          <w:p>
            <w:pPr>
              <w:spacing w:line="240" w:lineRule="auto"/>
              <w:rPr>
                <w:rFonts w:cs="仿宋_GB2312"/>
                <w:kern w:val="2"/>
                <w:sz w:val="24"/>
                <w:szCs w:val="24"/>
              </w:rPr>
            </w:pPr>
            <w:r>
              <w:rPr>
                <w:rFonts w:cs="仿宋_GB2312"/>
                <w:sz w:val="24"/>
                <w:szCs w:val="24"/>
              </w:rPr>
              <w:t>4</w:t>
            </w:r>
            <w:r>
              <w:rPr>
                <w:rFonts w:hint="eastAsia" w:cs="仿宋_GB2312"/>
                <w:sz w:val="24"/>
                <w:szCs w:val="24"/>
              </w:rPr>
              <w:t>.项目部对新进工人三级教育是否到位，待岗转岗换岗工人岗前安全培训教育是否到位。</w:t>
            </w:r>
          </w:p>
        </w:tc>
        <w:tc>
          <w:tcPr>
            <w:tcW w:w="3249" w:type="dxa"/>
            <w:tcBorders>
              <w:top w:val="single" w:color="auto" w:sz="8" w:space="0"/>
              <w:left w:val="single" w:color="auto" w:sz="8" w:space="0"/>
              <w:bottom w:val="single" w:color="auto" w:sz="8"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left w:val="single" w:color="auto" w:sz="12" w:space="0"/>
              <w:right w:val="single" w:color="auto" w:sz="8" w:space="0"/>
            </w:tcBorders>
            <w:noWrap w:val="0"/>
            <w:vAlign w:val="center"/>
          </w:tcPr>
          <w:p>
            <w:pPr>
              <w:widowControl/>
              <w:spacing w:line="240" w:lineRule="auto"/>
              <w:rPr>
                <w:rFonts w:cs="仿宋_GB2312"/>
                <w:kern w:val="2"/>
                <w:sz w:val="24"/>
                <w:szCs w:val="24"/>
              </w:rPr>
            </w:pPr>
          </w:p>
        </w:tc>
        <w:tc>
          <w:tcPr>
            <w:tcW w:w="9411" w:type="dxa"/>
            <w:tcBorders>
              <w:top w:val="single" w:color="auto" w:sz="8" w:space="0"/>
              <w:left w:val="single" w:color="auto" w:sz="8" w:space="0"/>
              <w:bottom w:val="single" w:color="auto" w:sz="8" w:space="0"/>
              <w:right w:val="single" w:color="auto" w:sz="8" w:space="0"/>
            </w:tcBorders>
            <w:noWrap/>
            <w:vAlign w:val="center"/>
          </w:tcPr>
          <w:p>
            <w:pPr>
              <w:spacing w:line="240" w:lineRule="auto"/>
              <w:rPr>
                <w:rFonts w:cs="仿宋_GB2312"/>
                <w:kern w:val="2"/>
                <w:sz w:val="24"/>
                <w:szCs w:val="24"/>
              </w:rPr>
            </w:pPr>
            <w:r>
              <w:rPr>
                <w:rFonts w:cs="仿宋_GB2312"/>
                <w:sz w:val="24"/>
                <w:szCs w:val="24"/>
              </w:rPr>
              <w:t>5</w:t>
            </w:r>
            <w:r>
              <w:rPr>
                <w:rFonts w:hint="eastAsia" w:cs="仿宋_GB2312"/>
                <w:sz w:val="24"/>
                <w:szCs w:val="24"/>
              </w:rPr>
              <w:t>.施工安全技术交底是否到位。</w:t>
            </w:r>
          </w:p>
        </w:tc>
        <w:tc>
          <w:tcPr>
            <w:tcW w:w="3249" w:type="dxa"/>
            <w:tcBorders>
              <w:top w:val="single" w:color="auto" w:sz="8" w:space="0"/>
              <w:left w:val="single" w:color="auto" w:sz="8" w:space="0"/>
              <w:bottom w:val="single" w:color="auto" w:sz="8"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left w:val="single" w:color="auto" w:sz="12" w:space="0"/>
              <w:right w:val="single" w:color="auto" w:sz="8" w:space="0"/>
            </w:tcBorders>
            <w:noWrap w:val="0"/>
            <w:vAlign w:val="center"/>
          </w:tcPr>
          <w:p>
            <w:pPr>
              <w:widowControl/>
              <w:spacing w:line="240" w:lineRule="auto"/>
              <w:rPr>
                <w:rFonts w:cs="仿宋_GB2312"/>
                <w:kern w:val="2"/>
                <w:sz w:val="24"/>
                <w:szCs w:val="24"/>
              </w:rPr>
            </w:pPr>
          </w:p>
        </w:tc>
        <w:tc>
          <w:tcPr>
            <w:tcW w:w="9411" w:type="dxa"/>
            <w:tcBorders>
              <w:top w:val="single" w:color="auto" w:sz="8" w:space="0"/>
              <w:left w:val="single" w:color="auto" w:sz="8" w:space="0"/>
              <w:bottom w:val="single" w:color="auto" w:sz="8" w:space="0"/>
              <w:right w:val="single" w:color="auto" w:sz="8" w:space="0"/>
            </w:tcBorders>
            <w:noWrap/>
            <w:vAlign w:val="center"/>
          </w:tcPr>
          <w:p>
            <w:pPr>
              <w:spacing w:line="240" w:lineRule="auto"/>
              <w:rPr>
                <w:rFonts w:cs="仿宋_GB2312"/>
                <w:kern w:val="2"/>
                <w:sz w:val="24"/>
                <w:szCs w:val="24"/>
              </w:rPr>
            </w:pPr>
            <w:r>
              <w:rPr>
                <w:rFonts w:cs="仿宋_GB2312"/>
                <w:sz w:val="24"/>
                <w:szCs w:val="24"/>
              </w:rPr>
              <w:t>6</w:t>
            </w:r>
            <w:r>
              <w:rPr>
                <w:rFonts w:hint="eastAsia" w:cs="仿宋_GB2312"/>
                <w:sz w:val="24"/>
                <w:szCs w:val="24"/>
              </w:rPr>
              <w:t>.施工项目部是否进行每日晨会教育交底，班组3个5分钟安全交底会和岗前1分钟培训制度</w:t>
            </w:r>
          </w:p>
        </w:tc>
        <w:tc>
          <w:tcPr>
            <w:tcW w:w="3249" w:type="dxa"/>
            <w:tcBorders>
              <w:top w:val="single" w:color="auto" w:sz="8" w:space="0"/>
              <w:left w:val="single" w:color="auto" w:sz="8" w:space="0"/>
              <w:bottom w:val="single" w:color="auto" w:sz="8"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0" w:type="auto"/>
            <w:vMerge w:val="continue"/>
            <w:tcBorders>
              <w:left w:val="single" w:color="auto" w:sz="12" w:space="0"/>
              <w:right w:val="single" w:color="auto" w:sz="8" w:space="0"/>
            </w:tcBorders>
            <w:noWrap w:val="0"/>
            <w:vAlign w:val="center"/>
          </w:tcPr>
          <w:p>
            <w:pPr>
              <w:widowControl/>
              <w:spacing w:line="240" w:lineRule="auto"/>
              <w:rPr>
                <w:rFonts w:cs="仿宋_GB2312"/>
                <w:kern w:val="2"/>
                <w:sz w:val="24"/>
                <w:szCs w:val="24"/>
              </w:rPr>
            </w:pPr>
          </w:p>
        </w:tc>
        <w:tc>
          <w:tcPr>
            <w:tcW w:w="9411" w:type="dxa"/>
            <w:tcBorders>
              <w:top w:val="single" w:color="auto" w:sz="8" w:space="0"/>
              <w:left w:val="single" w:color="auto" w:sz="8" w:space="0"/>
              <w:bottom w:val="single" w:color="auto" w:sz="4" w:space="0"/>
              <w:right w:val="single" w:color="auto" w:sz="8" w:space="0"/>
            </w:tcBorders>
            <w:noWrap/>
            <w:vAlign w:val="center"/>
          </w:tcPr>
          <w:p>
            <w:pPr>
              <w:spacing w:line="240" w:lineRule="auto"/>
              <w:rPr>
                <w:rFonts w:cs="仿宋_GB2312"/>
                <w:kern w:val="2"/>
                <w:sz w:val="24"/>
                <w:szCs w:val="24"/>
              </w:rPr>
            </w:pPr>
            <w:r>
              <w:rPr>
                <w:rFonts w:cs="仿宋_GB2312"/>
                <w:sz w:val="24"/>
                <w:szCs w:val="24"/>
              </w:rPr>
              <w:t>7</w:t>
            </w:r>
            <w:r>
              <w:rPr>
                <w:rFonts w:hint="eastAsia" w:cs="仿宋_GB2312"/>
                <w:sz w:val="24"/>
                <w:szCs w:val="24"/>
              </w:rPr>
              <w:t>.特殊作业人员是否按期培训、持证上岗。</w:t>
            </w:r>
          </w:p>
        </w:tc>
        <w:tc>
          <w:tcPr>
            <w:tcW w:w="3249" w:type="dxa"/>
            <w:tcBorders>
              <w:top w:val="single" w:color="auto" w:sz="8" w:space="0"/>
              <w:left w:val="single" w:color="auto" w:sz="8"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0" w:type="auto"/>
            <w:vMerge w:val="continue"/>
            <w:tcBorders>
              <w:left w:val="single" w:color="auto" w:sz="12" w:space="0"/>
              <w:bottom w:val="single" w:color="auto" w:sz="12" w:space="0"/>
              <w:right w:val="single" w:color="auto" w:sz="8" w:space="0"/>
            </w:tcBorders>
            <w:noWrap w:val="0"/>
            <w:vAlign w:val="center"/>
          </w:tcPr>
          <w:p>
            <w:pPr>
              <w:widowControl/>
              <w:spacing w:line="240" w:lineRule="auto"/>
              <w:rPr>
                <w:rFonts w:cs="仿宋_GB2312"/>
                <w:kern w:val="2"/>
                <w:sz w:val="24"/>
                <w:szCs w:val="24"/>
              </w:rPr>
            </w:pPr>
          </w:p>
        </w:tc>
        <w:tc>
          <w:tcPr>
            <w:tcW w:w="9411" w:type="dxa"/>
            <w:tcBorders>
              <w:top w:val="single" w:color="auto" w:sz="4" w:space="0"/>
              <w:left w:val="single" w:color="auto" w:sz="8" w:space="0"/>
              <w:bottom w:val="single" w:color="auto" w:sz="12" w:space="0"/>
              <w:right w:val="single" w:color="auto" w:sz="4" w:space="0"/>
            </w:tcBorders>
            <w:noWrap/>
            <w:vAlign w:val="center"/>
          </w:tcPr>
          <w:p>
            <w:pPr>
              <w:spacing w:line="240" w:lineRule="auto"/>
              <w:rPr>
                <w:rFonts w:cs="仿宋_GB2312"/>
                <w:kern w:val="2"/>
                <w:sz w:val="24"/>
                <w:szCs w:val="24"/>
              </w:rPr>
            </w:pPr>
            <w:r>
              <w:rPr>
                <w:rFonts w:cs="仿宋_GB2312"/>
                <w:sz w:val="24"/>
                <w:szCs w:val="24"/>
              </w:rPr>
              <w:t>8</w:t>
            </w:r>
            <w:r>
              <w:rPr>
                <w:rFonts w:hint="eastAsia" w:cs="仿宋_GB2312"/>
                <w:sz w:val="24"/>
                <w:szCs w:val="24"/>
              </w:rPr>
              <w:t>.是否对工人进行案例分析和警示教育、安全知识教育、专项安全技能培训。</w:t>
            </w:r>
          </w:p>
        </w:tc>
        <w:tc>
          <w:tcPr>
            <w:tcW w:w="3249" w:type="dxa"/>
            <w:tcBorders>
              <w:top w:val="single" w:color="auto" w:sz="4" w:space="0"/>
              <w:left w:val="single" w:color="auto" w:sz="4" w:space="0"/>
              <w:bottom w:val="single" w:color="auto" w:sz="12"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93" w:type="dxa"/>
            <w:vMerge w:val="restart"/>
            <w:tcBorders>
              <w:top w:val="single" w:color="auto" w:sz="12"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加强危大工程安全管控</w:t>
            </w:r>
          </w:p>
        </w:tc>
        <w:tc>
          <w:tcPr>
            <w:tcW w:w="9411" w:type="dxa"/>
            <w:tcBorders>
              <w:top w:val="single" w:color="auto" w:sz="12"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9</w:t>
            </w:r>
            <w:r>
              <w:rPr>
                <w:rFonts w:hint="eastAsia" w:cs="仿宋_GB2312"/>
                <w:sz w:val="24"/>
                <w:szCs w:val="24"/>
              </w:rPr>
              <w:t>.施工单位是否按规定对危大工程安全专项施工方案进行编制、审核、论证，是否按方案实施。</w:t>
            </w:r>
          </w:p>
        </w:tc>
        <w:tc>
          <w:tcPr>
            <w:tcW w:w="3249" w:type="dxa"/>
            <w:tcBorders>
              <w:top w:val="single" w:color="auto" w:sz="12"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10</w:t>
            </w:r>
            <w:r>
              <w:rPr>
                <w:rFonts w:hint="eastAsia" w:cs="仿宋_GB2312"/>
                <w:sz w:val="24"/>
                <w:szCs w:val="24"/>
              </w:rPr>
              <w:t>.施工单位、项目部负责人是否在超过一定规模的危险性较大分部分项工程施工时到场带班检查。</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3" w:type="dxa"/>
            <w:vMerge w:val="restart"/>
            <w:tcBorders>
              <w:top w:val="single" w:color="auto" w:sz="4"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严格按照标准化施工</w:t>
            </w: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11</w:t>
            </w:r>
            <w:r>
              <w:rPr>
                <w:rFonts w:hint="eastAsia" w:cs="仿宋_GB2312"/>
                <w:sz w:val="24"/>
                <w:szCs w:val="24"/>
              </w:rPr>
              <w:t>.施工现场应设置大门和门卫值班室，应标有施工项目部名称和企业标识，主要出入口明显处应设置标志标牌，大门及主要出入口硬化到位并保持干净整洁。</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12</w:t>
            </w:r>
            <w:r>
              <w:rPr>
                <w:rFonts w:hint="eastAsia" w:cs="仿宋_GB2312"/>
                <w:sz w:val="24"/>
                <w:szCs w:val="24"/>
              </w:rPr>
              <w:t>.施工现场的各种材料应按照施工平面图指定的位置布置就位，堆放区地坪应做硬化处理，材料堆放整齐。</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1</w:t>
            </w:r>
            <w:r>
              <w:rPr>
                <w:rFonts w:cs="仿宋_GB2312"/>
                <w:sz w:val="24"/>
                <w:szCs w:val="24"/>
              </w:rPr>
              <w:t>3</w:t>
            </w:r>
            <w:r>
              <w:rPr>
                <w:rFonts w:hint="eastAsia" w:cs="仿宋_GB2312"/>
                <w:sz w:val="24"/>
                <w:szCs w:val="24"/>
              </w:rPr>
              <w:t>.建立健全扬尘防治责任制，编制扬尘防治专项方案，加强扬尘防治检查，建立扬尘预警响应机制。</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14</w:t>
            </w:r>
            <w:r>
              <w:rPr>
                <w:rFonts w:hint="eastAsia" w:cs="仿宋_GB2312"/>
                <w:sz w:val="24"/>
                <w:szCs w:val="24"/>
              </w:rPr>
              <w:t>.施工现场应实行封闭管理，采用硬质围挡。工地围挡市区主要路段高度不应低于2.5米，一般路段不低于1.8米。</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1</w:t>
            </w:r>
            <w:r>
              <w:rPr>
                <w:rFonts w:cs="仿宋_GB2312"/>
                <w:sz w:val="24"/>
                <w:szCs w:val="24"/>
              </w:rPr>
              <w:t>5.</w:t>
            </w:r>
            <w:r>
              <w:rPr>
                <w:rFonts w:hint="eastAsia" w:cs="仿宋_GB2312"/>
                <w:sz w:val="24"/>
                <w:szCs w:val="24"/>
              </w:rPr>
              <w:t>施工工地出入口应设置定型化车辆冲洗设施，并有配套的排水和泥浆沉淀设施；冲洗设施须正常使用，运输车辆在除泥、冲洗干净后，方可驶出施工工地，出口路面见本色。</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cs="仿宋_GB2312"/>
                <w:sz w:val="24"/>
                <w:szCs w:val="24"/>
              </w:rPr>
            </w:pPr>
            <w:r>
              <w:rPr>
                <w:rFonts w:hint="eastAsia" w:cs="仿宋_GB2312"/>
                <w:sz w:val="24"/>
                <w:szCs w:val="24"/>
              </w:rPr>
              <w:t>1</w:t>
            </w:r>
            <w:r>
              <w:rPr>
                <w:rFonts w:cs="仿宋_GB2312"/>
                <w:sz w:val="24"/>
                <w:szCs w:val="24"/>
              </w:rPr>
              <w:t>6.</w:t>
            </w:r>
            <w:r>
              <w:rPr>
                <w:rFonts w:hint="eastAsia" w:cs="仿宋_GB2312"/>
                <w:sz w:val="24"/>
                <w:szCs w:val="24"/>
              </w:rPr>
              <w:t>施工现场应设置建筑垃圾（工程渣土）临时集中堆放场，严密覆盖，及时清运。</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cs="仿宋_GB2312"/>
                <w:sz w:val="24"/>
                <w:szCs w:val="24"/>
              </w:rPr>
            </w:pPr>
            <w:r>
              <w:rPr>
                <w:rFonts w:hint="eastAsia" w:cs="仿宋_GB2312"/>
                <w:sz w:val="24"/>
                <w:szCs w:val="24"/>
              </w:rPr>
              <w:t>1</w:t>
            </w:r>
            <w:r>
              <w:rPr>
                <w:rFonts w:cs="仿宋_GB2312"/>
                <w:sz w:val="24"/>
                <w:szCs w:val="24"/>
              </w:rPr>
              <w:t>7.</w:t>
            </w:r>
            <w:r>
              <w:rPr>
                <w:rFonts w:hint="eastAsia" w:cs="仿宋_GB2312"/>
                <w:sz w:val="24"/>
                <w:szCs w:val="24"/>
              </w:rPr>
              <w:t>在建筑物、脚手架及卸料平台上运送散装物料和建筑垃圾采用密闭方式清运，禁止高空抛洒</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cs="仿宋_GB2312"/>
                <w:sz w:val="24"/>
                <w:szCs w:val="24"/>
              </w:rPr>
            </w:pPr>
            <w:r>
              <w:rPr>
                <w:rFonts w:hint="eastAsia" w:cs="仿宋_GB2312"/>
                <w:sz w:val="24"/>
                <w:szCs w:val="24"/>
              </w:rPr>
              <w:t>1</w:t>
            </w:r>
            <w:r>
              <w:rPr>
                <w:rFonts w:cs="仿宋_GB2312"/>
                <w:sz w:val="24"/>
                <w:szCs w:val="24"/>
              </w:rPr>
              <w:t>8.</w:t>
            </w:r>
            <w:r>
              <w:rPr>
                <w:rFonts w:hint="eastAsia" w:cs="仿宋_GB2312"/>
                <w:sz w:val="24"/>
                <w:szCs w:val="24"/>
              </w:rPr>
              <w:t>国有资金投资的新开工建筑工程有无全面使用盘扣式支撑体系，非国有资金投资的属于危大工程的模板支撑工程有无使用盘扣式支撑体系。</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1</w:t>
            </w:r>
            <w:r>
              <w:rPr>
                <w:rFonts w:cs="仿宋_GB2312"/>
                <w:sz w:val="24"/>
                <w:szCs w:val="24"/>
              </w:rPr>
              <w:t>9</w:t>
            </w:r>
            <w:r>
              <w:rPr>
                <w:rFonts w:hint="eastAsia" w:cs="仿宋_GB2312"/>
                <w:sz w:val="24"/>
                <w:szCs w:val="24"/>
              </w:rPr>
              <w:t>.施工现场氧气、乙炔等危险化学品是否规范存储和使用，动火作业是否落实审批、过程巡视、旁站监督。</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vMerge w:val="continue"/>
            <w:tcBorders>
              <w:top w:val="single" w:color="auto" w:sz="4" w:space="0"/>
              <w:left w:val="single" w:color="auto" w:sz="12" w:space="0"/>
              <w:bottom w:val="single" w:color="auto" w:sz="12"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12" w:space="0"/>
              <w:right w:val="single" w:color="auto" w:sz="4" w:space="0"/>
            </w:tcBorders>
            <w:noWrap/>
            <w:vAlign w:val="center"/>
          </w:tcPr>
          <w:p>
            <w:pPr>
              <w:spacing w:line="240" w:lineRule="auto"/>
              <w:rPr>
                <w:rFonts w:cs="仿宋_GB2312"/>
                <w:kern w:val="2"/>
                <w:sz w:val="24"/>
                <w:szCs w:val="24"/>
              </w:rPr>
            </w:pPr>
            <w:r>
              <w:rPr>
                <w:rFonts w:cs="仿宋_GB2312"/>
                <w:sz w:val="24"/>
                <w:szCs w:val="24"/>
              </w:rPr>
              <w:t>20</w:t>
            </w:r>
            <w:r>
              <w:rPr>
                <w:rFonts w:hint="eastAsia" w:cs="仿宋_GB2312"/>
                <w:sz w:val="24"/>
                <w:szCs w:val="24"/>
              </w:rPr>
              <w:t>.现场的消防通道、消防水源、灭火器等消防器材是否规范设置。</w:t>
            </w:r>
          </w:p>
        </w:tc>
        <w:tc>
          <w:tcPr>
            <w:tcW w:w="3249" w:type="dxa"/>
            <w:tcBorders>
              <w:top w:val="single" w:color="auto" w:sz="4" w:space="0"/>
              <w:left w:val="single" w:color="auto" w:sz="4" w:space="0"/>
              <w:bottom w:val="single" w:color="auto" w:sz="12"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93" w:type="dxa"/>
            <w:vMerge w:val="restart"/>
            <w:tcBorders>
              <w:top w:val="single" w:color="auto" w:sz="12"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整治“三违”现象</w:t>
            </w:r>
          </w:p>
        </w:tc>
        <w:tc>
          <w:tcPr>
            <w:tcW w:w="9411" w:type="dxa"/>
            <w:tcBorders>
              <w:top w:val="single" w:color="auto" w:sz="12"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21</w:t>
            </w:r>
            <w:r>
              <w:rPr>
                <w:rFonts w:hint="eastAsia" w:cs="仿宋_GB2312"/>
                <w:sz w:val="24"/>
                <w:szCs w:val="24"/>
              </w:rPr>
              <w:t>.是否制定反“三违”工作方案，开展反“三违”自查自纠工作，并对隐患实施清单管理，逐项销号。</w:t>
            </w:r>
          </w:p>
        </w:tc>
        <w:tc>
          <w:tcPr>
            <w:tcW w:w="3249" w:type="dxa"/>
            <w:tcBorders>
              <w:top w:val="single" w:color="auto" w:sz="12"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22</w:t>
            </w:r>
            <w:r>
              <w:rPr>
                <w:rFonts w:hint="eastAsia" w:cs="仿宋_GB2312"/>
                <w:sz w:val="24"/>
                <w:szCs w:val="24"/>
              </w:rPr>
              <w:t>.是否开展反“三违”教育培训，使作业人员充分认识到“三违”行为的危害。</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23</w:t>
            </w:r>
            <w:r>
              <w:rPr>
                <w:rFonts w:hint="eastAsia" w:cs="仿宋_GB2312"/>
                <w:sz w:val="24"/>
                <w:szCs w:val="24"/>
              </w:rPr>
              <w:t>.建立反“三违”奖惩制度，有无奖惩台账和罚款收据，是否按制度实施。</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24.</w:t>
            </w:r>
            <w:r>
              <w:rPr>
                <w:rFonts w:hint="eastAsia" w:cs="仿宋_GB2312"/>
                <w:sz w:val="24"/>
                <w:szCs w:val="24"/>
              </w:rPr>
              <w:t>是否落实领导带班制度。</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25</w:t>
            </w:r>
            <w:r>
              <w:rPr>
                <w:rFonts w:hint="eastAsia" w:cs="仿宋_GB2312"/>
                <w:sz w:val="24"/>
                <w:szCs w:val="24"/>
              </w:rPr>
              <w:t>.是否提高安全防护标准化、工具化、定型化水平。</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93" w:type="dxa"/>
            <w:vMerge w:val="restart"/>
            <w:tcBorders>
              <w:top w:val="single" w:color="auto" w:sz="4"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加强分包单位的安全管理</w:t>
            </w: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26</w:t>
            </w:r>
            <w:r>
              <w:rPr>
                <w:rFonts w:hint="eastAsia" w:cs="仿宋_GB2312"/>
                <w:sz w:val="24"/>
                <w:szCs w:val="24"/>
              </w:rPr>
              <w:t>.分包单位进场前，是否将资质报送监理单位审查合格后，签订分包合同。</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2</w:t>
            </w:r>
            <w:r>
              <w:rPr>
                <w:rFonts w:cs="仿宋_GB2312"/>
                <w:sz w:val="24"/>
                <w:szCs w:val="24"/>
              </w:rPr>
              <w:t>7</w:t>
            </w:r>
            <w:r>
              <w:rPr>
                <w:rFonts w:hint="eastAsia" w:cs="仿宋_GB2312"/>
                <w:sz w:val="24"/>
                <w:szCs w:val="24"/>
              </w:rPr>
              <w:t>.总包单位和分包单位是否签订安全生产协议书，明确安全生产责任。</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2</w:t>
            </w:r>
            <w:r>
              <w:rPr>
                <w:rFonts w:cs="仿宋_GB2312"/>
                <w:sz w:val="24"/>
                <w:szCs w:val="24"/>
              </w:rPr>
              <w:t>8</w:t>
            </w:r>
            <w:r>
              <w:rPr>
                <w:rFonts w:hint="eastAsia" w:cs="仿宋_GB2312"/>
                <w:sz w:val="24"/>
                <w:szCs w:val="24"/>
              </w:rPr>
              <w:t>.总包单位对分包单位现场管理人员施工期间到岗情况是否进行监督。</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2</w:t>
            </w:r>
            <w:r>
              <w:rPr>
                <w:rFonts w:cs="仿宋_GB2312"/>
                <w:sz w:val="24"/>
                <w:szCs w:val="24"/>
              </w:rPr>
              <w:t>9</w:t>
            </w:r>
            <w:r>
              <w:rPr>
                <w:rFonts w:hint="eastAsia" w:cs="仿宋_GB2312"/>
                <w:sz w:val="24"/>
                <w:szCs w:val="24"/>
              </w:rPr>
              <w:t>.总包单位是否向分包单位开展安全生产技术交底，并监督检查。</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Borders>
              <w:top w:val="single" w:color="auto" w:sz="4" w:space="0"/>
              <w:left w:val="single" w:color="auto" w:sz="12" w:space="0"/>
              <w:bottom w:val="single" w:color="auto" w:sz="12"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12" w:space="0"/>
              <w:right w:val="single" w:color="auto" w:sz="4" w:space="0"/>
            </w:tcBorders>
            <w:noWrap/>
            <w:vAlign w:val="center"/>
          </w:tcPr>
          <w:p>
            <w:pPr>
              <w:spacing w:line="240" w:lineRule="auto"/>
              <w:rPr>
                <w:rFonts w:cs="仿宋_GB2312"/>
                <w:kern w:val="2"/>
                <w:sz w:val="24"/>
                <w:szCs w:val="24"/>
              </w:rPr>
            </w:pPr>
            <w:r>
              <w:rPr>
                <w:rFonts w:cs="仿宋_GB2312"/>
                <w:sz w:val="24"/>
                <w:szCs w:val="24"/>
              </w:rPr>
              <w:t>30</w:t>
            </w:r>
            <w:r>
              <w:rPr>
                <w:rFonts w:hint="eastAsia" w:cs="仿宋_GB2312"/>
                <w:sz w:val="24"/>
                <w:szCs w:val="24"/>
              </w:rPr>
              <w:t>.总包单位对分包单位在施工过程中违反安全规定的行为，是否采取相关措施。</w:t>
            </w:r>
          </w:p>
        </w:tc>
        <w:tc>
          <w:tcPr>
            <w:tcW w:w="3249" w:type="dxa"/>
            <w:tcBorders>
              <w:top w:val="single" w:color="auto" w:sz="4" w:space="0"/>
              <w:left w:val="single" w:color="auto" w:sz="4" w:space="0"/>
              <w:bottom w:val="single" w:color="auto" w:sz="12"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93" w:type="dxa"/>
            <w:vMerge w:val="restart"/>
            <w:tcBorders>
              <w:top w:val="single" w:color="auto" w:sz="12"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严格落实岗位责任</w:t>
            </w:r>
          </w:p>
        </w:tc>
        <w:tc>
          <w:tcPr>
            <w:tcW w:w="9411" w:type="dxa"/>
            <w:tcBorders>
              <w:top w:val="single" w:color="auto" w:sz="12"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31</w:t>
            </w:r>
            <w:r>
              <w:rPr>
                <w:rFonts w:hint="eastAsia" w:cs="仿宋_GB2312"/>
                <w:sz w:val="24"/>
                <w:szCs w:val="24"/>
              </w:rPr>
              <w:t>.是否签订安全生产主体责任承诺书并公示。</w:t>
            </w:r>
          </w:p>
        </w:tc>
        <w:tc>
          <w:tcPr>
            <w:tcW w:w="3249" w:type="dxa"/>
            <w:tcBorders>
              <w:top w:val="single" w:color="auto" w:sz="12"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32</w:t>
            </w:r>
            <w:r>
              <w:rPr>
                <w:rFonts w:hint="eastAsia" w:cs="仿宋_GB2312"/>
                <w:sz w:val="24"/>
                <w:szCs w:val="24"/>
              </w:rPr>
              <w:t>.施工单位安全文明措施投入是否到位，是否建立台账。</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33</w:t>
            </w:r>
            <w:r>
              <w:rPr>
                <w:rFonts w:hint="eastAsia" w:cs="仿宋_GB2312"/>
                <w:sz w:val="24"/>
                <w:szCs w:val="24"/>
              </w:rPr>
              <w:t>.施工单位现场安全文明技术措施、技术交底及设备实施是否齐全、完好。</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34</w:t>
            </w:r>
            <w:r>
              <w:rPr>
                <w:rFonts w:hint="eastAsia" w:cs="仿宋_GB2312"/>
                <w:sz w:val="24"/>
                <w:szCs w:val="24"/>
              </w:rPr>
              <w:t>.施工单位是否按要求编制各类安全生产制度，安全管理人员是否配备到位并持证上岗。</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12" w:space="0"/>
              <w:bottom w:val="single" w:color="auto" w:sz="12"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12" w:space="0"/>
              <w:right w:val="single" w:color="auto" w:sz="4" w:space="0"/>
            </w:tcBorders>
            <w:noWrap/>
            <w:vAlign w:val="center"/>
          </w:tcPr>
          <w:p>
            <w:pPr>
              <w:spacing w:line="240" w:lineRule="auto"/>
              <w:rPr>
                <w:rFonts w:cs="仿宋_GB2312"/>
                <w:kern w:val="2"/>
                <w:sz w:val="24"/>
                <w:szCs w:val="24"/>
              </w:rPr>
            </w:pPr>
            <w:r>
              <w:rPr>
                <w:rFonts w:cs="仿宋_GB2312"/>
                <w:sz w:val="24"/>
                <w:szCs w:val="24"/>
              </w:rPr>
              <w:t>35</w:t>
            </w:r>
            <w:r>
              <w:rPr>
                <w:rFonts w:hint="eastAsia" w:cs="仿宋_GB2312"/>
                <w:sz w:val="24"/>
                <w:szCs w:val="24"/>
              </w:rPr>
              <w:t>.是否开展各类安全检查和隐患整改。</w:t>
            </w:r>
          </w:p>
        </w:tc>
        <w:tc>
          <w:tcPr>
            <w:tcW w:w="3249" w:type="dxa"/>
            <w:tcBorders>
              <w:top w:val="single" w:color="auto" w:sz="4" w:space="0"/>
              <w:left w:val="single" w:color="auto" w:sz="4" w:space="0"/>
              <w:bottom w:val="single" w:color="auto" w:sz="12"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vMerge w:val="restart"/>
            <w:tcBorders>
              <w:top w:val="single" w:color="auto" w:sz="12"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强化轨道交通隐患排查和专项治理</w:t>
            </w:r>
          </w:p>
        </w:tc>
        <w:tc>
          <w:tcPr>
            <w:tcW w:w="9411" w:type="dxa"/>
            <w:tcBorders>
              <w:top w:val="single" w:color="auto" w:sz="12"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36</w:t>
            </w:r>
            <w:r>
              <w:rPr>
                <w:rFonts w:hint="eastAsia" w:cs="仿宋_GB2312"/>
                <w:sz w:val="24"/>
                <w:szCs w:val="24"/>
              </w:rPr>
              <w:t>.施工单位是否开展安全风险全过程辨识、分级管控、隐患排查治理、关键节点施工前安全条件核查；</w:t>
            </w:r>
          </w:p>
        </w:tc>
        <w:tc>
          <w:tcPr>
            <w:tcW w:w="3249" w:type="dxa"/>
            <w:tcBorders>
              <w:top w:val="single" w:color="auto" w:sz="12"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37</w:t>
            </w:r>
            <w:r>
              <w:rPr>
                <w:rFonts w:hint="eastAsia" w:cs="仿宋_GB2312"/>
                <w:sz w:val="24"/>
                <w:szCs w:val="24"/>
              </w:rPr>
              <w:t>.高风险工程项目的专项勘察、专项设计、专项施工管理是否到位，交底是否流于形式、不规范、不到位；</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3</w:t>
            </w:r>
            <w:r>
              <w:rPr>
                <w:rFonts w:cs="仿宋_GB2312"/>
                <w:sz w:val="24"/>
                <w:szCs w:val="24"/>
              </w:rPr>
              <w:t>8</w:t>
            </w:r>
            <w:r>
              <w:rPr>
                <w:rFonts w:hint="eastAsia" w:cs="仿宋_GB2312"/>
                <w:sz w:val="24"/>
                <w:szCs w:val="24"/>
              </w:rPr>
              <w:t>.是否落实非正常作业时段、节日期间工程停（复）工安全检查制度，应急管理体系是否健全；</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3</w:t>
            </w:r>
            <w:r>
              <w:rPr>
                <w:rFonts w:cs="仿宋_GB2312"/>
                <w:sz w:val="24"/>
                <w:szCs w:val="24"/>
              </w:rPr>
              <w:t>9</w:t>
            </w:r>
            <w:r>
              <w:rPr>
                <w:rFonts w:hint="eastAsia" w:cs="仿宋_GB2312"/>
                <w:sz w:val="24"/>
                <w:szCs w:val="24"/>
              </w:rPr>
              <w:t>.地铁盾构施工安全风险识别、分析、控制等措施是否到位；</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40</w:t>
            </w:r>
            <w:r>
              <w:rPr>
                <w:rFonts w:hint="eastAsia" w:cs="仿宋_GB2312"/>
                <w:sz w:val="24"/>
                <w:szCs w:val="24"/>
              </w:rPr>
              <w:t>.施工安全管理人员到岗履职情况。</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vMerge w:val="restart"/>
            <w:tcBorders>
              <w:top w:val="single" w:color="auto" w:sz="4"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运用信息化提升监管能力</w:t>
            </w: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41</w:t>
            </w:r>
            <w:r>
              <w:rPr>
                <w:rFonts w:hint="eastAsia" w:cs="仿宋_GB2312"/>
                <w:sz w:val="24"/>
                <w:szCs w:val="24"/>
              </w:rPr>
              <w:t>.施工单位要定期开展安全生产自查，并在“江苏省建筑施工安全管理系统”中完成项目安全生产自查和标准化自评记录（每月）和项目部检查记录（12个月不少于3次）等数据上传工作，在省安管系统中及时提交整改安全生产监督问题。</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jc w:val="center"/>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42</w:t>
            </w:r>
            <w:r>
              <w:rPr>
                <w:rFonts w:hint="eastAsia" w:cs="仿宋_GB2312"/>
                <w:sz w:val="24"/>
                <w:szCs w:val="24"/>
              </w:rPr>
              <w:t>.企业安全总监是否运用“江苏省建筑施工安全管理系统”加强在建工程项目安全管理工作。</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vMerge w:val="restart"/>
            <w:tcBorders>
              <w:top w:val="single" w:color="auto" w:sz="4" w:space="0"/>
              <w:left w:val="single" w:color="auto" w:sz="12" w:space="0"/>
              <w:bottom w:val="single" w:color="auto" w:sz="4" w:space="0"/>
              <w:right w:val="single" w:color="auto" w:sz="4" w:space="0"/>
            </w:tcBorders>
            <w:noWrap/>
            <w:vAlign w:val="center"/>
          </w:tcPr>
          <w:p>
            <w:pPr>
              <w:spacing w:line="240" w:lineRule="auto"/>
              <w:jc w:val="center"/>
              <w:rPr>
                <w:rFonts w:cs="仿宋_GB2312"/>
                <w:kern w:val="2"/>
                <w:sz w:val="24"/>
                <w:szCs w:val="24"/>
              </w:rPr>
            </w:pPr>
            <w:r>
              <w:rPr>
                <w:rFonts w:hint="eastAsia" w:cs="仿宋_GB2312"/>
                <w:sz w:val="24"/>
                <w:szCs w:val="24"/>
              </w:rPr>
              <w:t>完善应急救援体系</w:t>
            </w: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43</w:t>
            </w:r>
            <w:r>
              <w:rPr>
                <w:rFonts w:hint="eastAsia" w:cs="仿宋_GB2312"/>
                <w:sz w:val="24"/>
                <w:szCs w:val="24"/>
              </w:rPr>
              <w:t>.是否开展施工过程存在的安全生产风险辨识，建立安全生产隐患清单并及时更新。</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44</w:t>
            </w:r>
            <w:r>
              <w:rPr>
                <w:rFonts w:hint="eastAsia" w:cs="仿宋_GB2312"/>
                <w:sz w:val="24"/>
                <w:szCs w:val="24"/>
              </w:rPr>
              <w:t>.是否建立健全应急救援体系，科学制定高坠、坍塌、物体打击、消防等各类事故应急预案和计划，配备应急救援物资。</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rPr>
                <w:rFonts w:cs="仿宋_GB2312"/>
                <w:kern w:val="2"/>
                <w:sz w:val="24"/>
                <w:szCs w:val="24"/>
              </w:rPr>
            </w:pPr>
          </w:p>
        </w:tc>
        <w:tc>
          <w:tcPr>
            <w:tcW w:w="9411"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cs="仿宋_GB2312"/>
                <w:kern w:val="2"/>
                <w:sz w:val="24"/>
                <w:szCs w:val="24"/>
              </w:rPr>
            </w:pPr>
            <w:r>
              <w:rPr>
                <w:rFonts w:cs="仿宋_GB2312"/>
                <w:sz w:val="24"/>
                <w:szCs w:val="24"/>
              </w:rPr>
              <w:t>45</w:t>
            </w:r>
            <w:r>
              <w:rPr>
                <w:rFonts w:hint="eastAsia" w:cs="仿宋_GB2312"/>
                <w:sz w:val="24"/>
                <w:szCs w:val="24"/>
              </w:rPr>
              <w:t>.应急救援体系中的部门、人员责任是否落实。</w:t>
            </w:r>
          </w:p>
        </w:tc>
        <w:tc>
          <w:tcPr>
            <w:tcW w:w="3249" w:type="dxa"/>
            <w:tcBorders>
              <w:top w:val="single" w:color="auto" w:sz="4" w:space="0"/>
              <w:left w:val="single" w:color="auto" w:sz="4" w:space="0"/>
              <w:bottom w:val="single" w:color="auto" w:sz="4" w:space="0"/>
              <w:right w:val="single" w:color="auto" w:sz="12" w:space="0"/>
            </w:tcBorders>
            <w:noWrap/>
            <w:vAlign w:val="center"/>
          </w:tcPr>
          <w:p>
            <w:pPr>
              <w:spacing w:line="240" w:lineRule="auto"/>
              <w:rPr>
                <w:rFonts w:cs="仿宋_GB2312"/>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12" w:space="0"/>
              <w:bottom w:val="single" w:color="auto" w:sz="12" w:space="0"/>
              <w:right w:val="single" w:color="auto" w:sz="4" w:space="0"/>
            </w:tcBorders>
            <w:noWrap w:val="0"/>
            <w:vAlign w:val="center"/>
          </w:tcPr>
          <w:p>
            <w:pPr>
              <w:widowControl/>
              <w:spacing w:line="240" w:lineRule="auto"/>
              <w:rPr>
                <w:rFonts w:cs="仿宋_GB2312"/>
                <w:kern w:val="2"/>
                <w:sz w:val="24"/>
                <w:szCs w:val="24"/>
              </w:rPr>
            </w:pPr>
          </w:p>
        </w:tc>
        <w:tc>
          <w:tcPr>
            <w:tcW w:w="9411" w:type="dxa"/>
            <w:tcBorders>
              <w:top w:val="single" w:color="auto" w:sz="4" w:space="0"/>
              <w:left w:val="single" w:color="auto" w:sz="4" w:space="0"/>
              <w:bottom w:val="single" w:color="auto" w:sz="12" w:space="0"/>
              <w:right w:val="single" w:color="auto" w:sz="4" w:space="0"/>
            </w:tcBorders>
            <w:noWrap/>
            <w:vAlign w:val="center"/>
          </w:tcPr>
          <w:p>
            <w:pPr>
              <w:spacing w:line="240" w:lineRule="auto"/>
              <w:rPr>
                <w:rFonts w:cs="仿宋_GB2312"/>
                <w:kern w:val="2"/>
                <w:sz w:val="24"/>
                <w:szCs w:val="24"/>
              </w:rPr>
            </w:pPr>
            <w:r>
              <w:rPr>
                <w:rFonts w:hint="eastAsia" w:cs="仿宋_GB2312"/>
                <w:sz w:val="24"/>
                <w:szCs w:val="24"/>
              </w:rPr>
              <w:t>4</w:t>
            </w:r>
            <w:r>
              <w:rPr>
                <w:rFonts w:cs="仿宋_GB2312"/>
                <w:sz w:val="24"/>
                <w:szCs w:val="24"/>
              </w:rPr>
              <w:t>6</w:t>
            </w:r>
            <w:r>
              <w:rPr>
                <w:rFonts w:hint="eastAsia" w:cs="仿宋_GB2312"/>
                <w:sz w:val="24"/>
                <w:szCs w:val="24"/>
              </w:rPr>
              <w:t>.是否及时组织开展预案学习、培训，定期按计划组织开展应急救援演练。</w:t>
            </w:r>
          </w:p>
        </w:tc>
        <w:tc>
          <w:tcPr>
            <w:tcW w:w="3249" w:type="dxa"/>
            <w:tcBorders>
              <w:top w:val="single" w:color="auto" w:sz="4" w:space="0"/>
              <w:left w:val="single" w:color="auto" w:sz="4" w:space="0"/>
              <w:bottom w:val="single" w:color="auto" w:sz="12" w:space="0"/>
              <w:right w:val="single" w:color="auto" w:sz="12" w:space="0"/>
            </w:tcBorders>
            <w:noWrap/>
            <w:vAlign w:val="center"/>
          </w:tcPr>
          <w:p>
            <w:pPr>
              <w:spacing w:line="240" w:lineRule="auto"/>
              <w:rPr>
                <w:rFonts w:cs="仿宋_GB2312"/>
                <w:kern w:val="2"/>
                <w:sz w:val="24"/>
                <w:szCs w:val="24"/>
              </w:rPr>
            </w:pPr>
          </w:p>
        </w:tc>
      </w:tr>
    </w:tbl>
    <w:p>
      <w:pPr>
        <w:snapToGrid w:val="0"/>
        <w:spacing w:line="560" w:lineRule="exact"/>
        <w:rPr>
          <w:rFonts w:eastAsia="方正仿宋_GBK"/>
          <w:sz w:val="28"/>
          <w:szCs w:val="28"/>
        </w:rPr>
      </w:pPr>
    </w:p>
    <w:tbl>
      <w:tblPr>
        <w:tblStyle w:val="6"/>
        <w:tblW w:w="14176" w:type="dxa"/>
        <w:tblInd w:w="-6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9213"/>
        <w:gridCol w:w="3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1702" w:type="dxa"/>
            <w:shd w:val="clear" w:color="auto" w:fill="auto"/>
            <w:noWrap w:val="0"/>
            <w:vAlign w:val="center"/>
          </w:tcPr>
          <w:p>
            <w:pPr>
              <w:spacing w:line="240" w:lineRule="auto"/>
              <w:jc w:val="center"/>
              <w:rPr>
                <w:rFonts w:cs="仿宋_GB2312"/>
                <w:sz w:val="24"/>
                <w:szCs w:val="24"/>
              </w:rPr>
            </w:pPr>
            <w:r>
              <w:rPr>
                <w:rFonts w:hint="eastAsia" w:cs="仿宋_GB2312"/>
                <w:sz w:val="24"/>
                <w:szCs w:val="24"/>
              </w:rPr>
              <w:t>项目部</w:t>
            </w:r>
          </w:p>
          <w:p>
            <w:pPr>
              <w:spacing w:line="240" w:lineRule="auto"/>
              <w:jc w:val="center"/>
              <w:rPr>
                <w:rFonts w:hint="eastAsia" w:cs="仿宋_GB2312"/>
                <w:sz w:val="24"/>
                <w:szCs w:val="24"/>
              </w:rPr>
            </w:pPr>
            <w:r>
              <w:rPr>
                <w:rFonts w:hint="eastAsia" w:cs="仿宋_GB2312"/>
                <w:sz w:val="24"/>
                <w:szCs w:val="24"/>
              </w:rPr>
              <w:t>自查情况</w:t>
            </w:r>
          </w:p>
        </w:tc>
        <w:tc>
          <w:tcPr>
            <w:tcW w:w="9213" w:type="dxa"/>
            <w:shd w:val="clear" w:color="auto" w:fill="auto"/>
            <w:noWrap w:val="0"/>
            <w:vAlign w:val="top"/>
          </w:tcPr>
          <w:p>
            <w:pPr>
              <w:spacing w:line="240" w:lineRule="auto"/>
              <w:rPr>
                <w:rFonts w:hint="eastAsia" w:cs="仿宋_GB2312"/>
                <w:sz w:val="24"/>
                <w:szCs w:val="24"/>
              </w:rPr>
            </w:pPr>
            <w:r>
              <w:rPr>
                <w:rFonts w:hint="eastAsia" w:cs="仿宋_GB2312"/>
                <w:sz w:val="24"/>
                <w:szCs w:val="24"/>
              </w:rPr>
              <w:t>存在问题：</w:t>
            </w:r>
          </w:p>
        </w:tc>
        <w:tc>
          <w:tcPr>
            <w:tcW w:w="3261" w:type="dxa"/>
            <w:shd w:val="clear" w:color="auto" w:fill="auto"/>
            <w:noWrap w:val="0"/>
            <w:vAlign w:val="top"/>
          </w:tcPr>
          <w:p>
            <w:pPr>
              <w:spacing w:line="240" w:lineRule="auto"/>
              <w:jc w:val="left"/>
              <w:rPr>
                <w:rFonts w:hint="eastAsia" w:cs="仿宋_GB2312"/>
                <w:sz w:val="24"/>
                <w:szCs w:val="24"/>
              </w:rPr>
            </w:pPr>
            <w:r>
              <w:rPr>
                <w:rFonts w:hint="eastAsia" w:cs="仿宋_GB2312"/>
                <w:sz w:val="24"/>
                <w:szCs w:val="24"/>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702" w:type="dxa"/>
            <w:shd w:val="clear" w:color="auto" w:fill="auto"/>
            <w:noWrap w:val="0"/>
            <w:vAlign w:val="center"/>
          </w:tcPr>
          <w:p>
            <w:pPr>
              <w:spacing w:line="240" w:lineRule="auto"/>
              <w:jc w:val="center"/>
              <w:rPr>
                <w:rFonts w:hint="eastAsia" w:cs="仿宋_GB2312"/>
                <w:sz w:val="24"/>
                <w:szCs w:val="24"/>
              </w:rPr>
            </w:pPr>
            <w:r>
              <w:rPr>
                <w:rFonts w:hint="eastAsia" w:cs="仿宋_GB2312"/>
                <w:sz w:val="24"/>
                <w:szCs w:val="24"/>
              </w:rPr>
              <w:t>企业安全总监复查情况</w:t>
            </w:r>
          </w:p>
        </w:tc>
        <w:tc>
          <w:tcPr>
            <w:tcW w:w="9213" w:type="dxa"/>
            <w:shd w:val="clear" w:color="auto" w:fill="auto"/>
            <w:noWrap w:val="0"/>
            <w:vAlign w:val="top"/>
          </w:tcPr>
          <w:p>
            <w:pPr>
              <w:spacing w:line="240" w:lineRule="auto"/>
              <w:rPr>
                <w:rFonts w:hint="eastAsia" w:cs="仿宋_GB2312"/>
                <w:sz w:val="24"/>
                <w:szCs w:val="24"/>
              </w:rPr>
            </w:pPr>
          </w:p>
        </w:tc>
        <w:tc>
          <w:tcPr>
            <w:tcW w:w="3261" w:type="dxa"/>
            <w:shd w:val="clear" w:color="auto" w:fill="auto"/>
            <w:noWrap w:val="0"/>
            <w:vAlign w:val="top"/>
          </w:tcPr>
          <w:p>
            <w:pPr>
              <w:spacing w:line="240" w:lineRule="auto"/>
              <w:jc w:val="left"/>
              <w:rPr>
                <w:rFonts w:hint="eastAsia" w:cs="仿宋_GB2312"/>
                <w:sz w:val="24"/>
                <w:szCs w:val="24"/>
              </w:rPr>
            </w:pPr>
            <w:r>
              <w:rPr>
                <w:rFonts w:hint="eastAsia" w:cs="仿宋_GB2312"/>
                <w:sz w:val="24"/>
                <w:szCs w:val="24"/>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702" w:type="dxa"/>
            <w:shd w:val="clear" w:color="auto" w:fill="auto"/>
            <w:noWrap w:val="0"/>
            <w:vAlign w:val="center"/>
          </w:tcPr>
          <w:p>
            <w:pPr>
              <w:spacing w:line="240" w:lineRule="auto"/>
              <w:jc w:val="center"/>
              <w:rPr>
                <w:rFonts w:hint="eastAsia" w:cs="仿宋_GB2312"/>
                <w:sz w:val="24"/>
                <w:szCs w:val="24"/>
              </w:rPr>
            </w:pPr>
            <w:r>
              <w:rPr>
                <w:rFonts w:hint="eastAsia" w:cs="仿宋_GB2312"/>
                <w:sz w:val="24"/>
                <w:szCs w:val="24"/>
              </w:rPr>
              <w:t>总监理工程师复核情况</w:t>
            </w:r>
          </w:p>
        </w:tc>
        <w:tc>
          <w:tcPr>
            <w:tcW w:w="9213" w:type="dxa"/>
            <w:shd w:val="clear" w:color="auto" w:fill="auto"/>
            <w:noWrap w:val="0"/>
            <w:vAlign w:val="top"/>
          </w:tcPr>
          <w:p>
            <w:pPr>
              <w:spacing w:line="240" w:lineRule="auto"/>
              <w:rPr>
                <w:rFonts w:hint="eastAsia" w:cs="仿宋_GB2312"/>
                <w:sz w:val="24"/>
                <w:szCs w:val="24"/>
              </w:rPr>
            </w:pPr>
          </w:p>
        </w:tc>
        <w:tc>
          <w:tcPr>
            <w:tcW w:w="3261" w:type="dxa"/>
            <w:shd w:val="clear" w:color="auto" w:fill="auto"/>
            <w:noWrap w:val="0"/>
            <w:vAlign w:val="top"/>
          </w:tcPr>
          <w:p>
            <w:pPr>
              <w:spacing w:line="240" w:lineRule="auto"/>
              <w:jc w:val="left"/>
              <w:rPr>
                <w:rFonts w:hint="eastAsia" w:cs="仿宋_GB2312"/>
                <w:sz w:val="24"/>
                <w:szCs w:val="24"/>
              </w:rPr>
            </w:pPr>
            <w:r>
              <w:rPr>
                <w:rFonts w:hint="eastAsia" w:cs="仿宋_GB2312"/>
                <w:sz w:val="24"/>
                <w:szCs w:val="24"/>
              </w:rPr>
              <w:t>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702" w:type="dxa"/>
            <w:shd w:val="clear" w:color="auto" w:fill="auto"/>
            <w:noWrap w:val="0"/>
            <w:vAlign w:val="center"/>
          </w:tcPr>
          <w:p>
            <w:pPr>
              <w:spacing w:line="240" w:lineRule="auto"/>
              <w:jc w:val="center"/>
              <w:rPr>
                <w:rFonts w:hint="eastAsia" w:cs="仿宋_GB2312"/>
                <w:sz w:val="24"/>
                <w:szCs w:val="24"/>
              </w:rPr>
            </w:pPr>
            <w:r>
              <w:rPr>
                <w:rFonts w:hint="eastAsia" w:cs="仿宋_GB2312"/>
                <w:sz w:val="24"/>
                <w:szCs w:val="24"/>
              </w:rPr>
              <w:t>建设单位负责人抽查复核情况</w:t>
            </w:r>
          </w:p>
        </w:tc>
        <w:tc>
          <w:tcPr>
            <w:tcW w:w="9213" w:type="dxa"/>
            <w:shd w:val="clear" w:color="auto" w:fill="auto"/>
            <w:noWrap w:val="0"/>
            <w:vAlign w:val="top"/>
          </w:tcPr>
          <w:p>
            <w:pPr>
              <w:spacing w:line="240" w:lineRule="auto"/>
              <w:rPr>
                <w:rFonts w:hint="eastAsia" w:cs="仿宋_GB2312"/>
                <w:sz w:val="24"/>
                <w:szCs w:val="24"/>
              </w:rPr>
            </w:pPr>
          </w:p>
        </w:tc>
        <w:tc>
          <w:tcPr>
            <w:tcW w:w="3261" w:type="dxa"/>
            <w:shd w:val="clear" w:color="auto" w:fill="auto"/>
            <w:noWrap w:val="0"/>
            <w:vAlign w:val="top"/>
          </w:tcPr>
          <w:p>
            <w:pPr>
              <w:spacing w:line="240" w:lineRule="auto"/>
              <w:jc w:val="left"/>
              <w:rPr>
                <w:rFonts w:hint="eastAsia" w:cs="仿宋_GB2312"/>
                <w:sz w:val="24"/>
                <w:szCs w:val="24"/>
              </w:rPr>
            </w:pPr>
            <w:r>
              <w:rPr>
                <w:rFonts w:hint="eastAsia" w:cs="仿宋_GB2312"/>
                <w:sz w:val="24"/>
                <w:szCs w:val="24"/>
              </w:rPr>
              <w:t>签字</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8" w:rightChars="90"/>
      <w:jc w:val="right"/>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sz w:val="32"/>
                              <w:szCs w:val="32"/>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2/zfUAAAABw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pPr>
                      <w:pStyle w:val="3"/>
                      <w:rPr>
                        <w:rFonts w:hint="eastAsia"/>
                      </w:rPr>
                    </w:pPr>
                    <w:r>
                      <w:rPr>
                        <w:rFonts w:hint="eastAsia"/>
                        <w:sz w:val="32"/>
                        <w:szCs w:val="32"/>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08" w:firstLineChars="110"/>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EyMDVkNWE2Mzk0YTFjOTViYWE5YmNmZWI1NjIifQ=="/>
  </w:docVars>
  <w:rsids>
    <w:rsidRoot w:val="71FF6D29"/>
    <w:rsid w:val="24595193"/>
    <w:rsid w:val="5AFD52B0"/>
    <w:rsid w:val="71FF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仿宋_GB2312" w:cs="Times New Roman"/>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Body Text First Indent 2"/>
    <w:basedOn w:val="2"/>
    <w:unhideWhenUsed/>
    <w:uiPriority w:val="99"/>
    <w:pPr>
      <w:adjustRightInd/>
      <w:spacing w:before="100" w:beforeAutospacing="1" w:line="240" w:lineRule="auto"/>
      <w:ind w:firstLine="420" w:firstLineChars="200"/>
      <w:textAlignment w:val="auto"/>
    </w:pPr>
    <w:rPr>
      <w:rFonts w:ascii="Calibri" w:hAnsi="Calibri" w:eastAsia="宋体"/>
      <w:kern w:val="2"/>
      <w:sz w:val="21"/>
      <w:szCs w:val="21"/>
    </w:rPr>
  </w:style>
  <w:style w:type="paragraph" w:styleId="8">
    <w:name w:val="List Paragraph"/>
    <w:basedOn w:val="1"/>
    <w:qFormat/>
    <w:uiPriority w:val="99"/>
    <w:pPr>
      <w:adjustRightInd/>
      <w:spacing w:line="240" w:lineRule="auto"/>
      <w:ind w:firstLine="420" w:firstLineChars="200"/>
      <w:textAlignment w:val="auto"/>
    </w:pPr>
    <w:rPr>
      <w:rFonts w:ascii="Calibri" w:hAnsi="Calibri" w:eastAsia="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4576</Words>
  <Characters>4730</Characters>
  <Lines>0</Lines>
  <Paragraphs>0</Paragraphs>
  <TotalTime>5</TotalTime>
  <ScaleCrop>false</ScaleCrop>
  <LinksUpToDate>false</LinksUpToDate>
  <CharactersWithSpaces>4782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2021-04-20T06:42:00Z</dcterms:created>
  <dc:creator>唂唂</dc:creator>
  <cp:lastModifiedBy>user</cp:lastModifiedBy>
  <dcterms:modified xsi:type="dcterms:W3CDTF">2022-12-13T08:26:42Z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8487CF4194F343F9B73DFBCE6BD38FF9</vt:lpwstr>
  </property>
</Properties>
</file>