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stheme="majorEastAsia"/>
          <w:sz w:val="20"/>
          <w:szCs w:val="20"/>
        </w:rPr>
      </w:pPr>
    </w:p>
    <w:p>
      <w:pPr>
        <w:rPr>
          <w:rFonts w:asciiTheme="majorEastAsia" w:hAnsiTheme="majorEastAsia" w:eastAsiaTheme="majorEastAsia" w:cstheme="majorEastAsia"/>
          <w:sz w:val="20"/>
          <w:szCs w:val="20"/>
        </w:rPr>
      </w:pPr>
    </w:p>
    <w:p>
      <w:pPr>
        <w:rPr>
          <w:rFonts w:asciiTheme="majorEastAsia" w:hAnsiTheme="majorEastAsia" w:eastAsiaTheme="majorEastAsia" w:cstheme="majorEastAsia"/>
          <w:sz w:val="20"/>
          <w:szCs w:val="20"/>
        </w:rPr>
      </w:pPr>
    </w:p>
    <w:p>
      <w:pPr>
        <w:pStyle w:val="3"/>
        <w:spacing w:before="118" w:line="475" w:lineRule="auto"/>
        <w:ind w:left="0"/>
        <w:jc w:val="both"/>
        <w:rPr>
          <w:rFonts w:asciiTheme="majorEastAsia" w:hAnsiTheme="majorEastAsia" w:eastAsiaTheme="majorEastAsia" w:cstheme="majorEastAsia"/>
          <w:w w:val="99"/>
          <w:sz w:val="44"/>
          <w:szCs w:val="44"/>
          <w:lang w:eastAsia="zh-CN"/>
        </w:rPr>
      </w:pPr>
    </w:p>
    <w:p>
      <w:pPr>
        <w:pStyle w:val="3"/>
        <w:spacing w:before="118" w:line="475" w:lineRule="auto"/>
        <w:ind w:left="0"/>
        <w:jc w:val="center"/>
        <w:rPr>
          <w:rFonts w:asciiTheme="majorEastAsia" w:hAnsiTheme="majorEastAsia" w:eastAsiaTheme="majorEastAsia" w:cstheme="majorEastAsia"/>
          <w:b w:val="0"/>
          <w:bCs w:val="0"/>
          <w:sz w:val="48"/>
          <w:szCs w:val="48"/>
          <w:lang w:eastAsia="zh-CN"/>
        </w:rPr>
      </w:pPr>
      <w:r>
        <w:rPr>
          <w:rFonts w:hint="eastAsia" w:asciiTheme="majorEastAsia" w:hAnsiTheme="majorEastAsia" w:eastAsiaTheme="majorEastAsia" w:cstheme="majorEastAsia"/>
          <w:w w:val="99"/>
          <w:sz w:val="44"/>
          <w:szCs w:val="44"/>
          <w:lang w:eastAsia="zh-CN"/>
        </w:rPr>
        <w:t>2020年-2025年度南通市直管公房管理中心房屋修缮（简装）工程结算审核</w:t>
      </w:r>
      <w:r>
        <w:rPr>
          <w:rFonts w:hint="eastAsia" w:asciiTheme="majorEastAsia" w:hAnsiTheme="majorEastAsia" w:eastAsiaTheme="majorEastAsia" w:cstheme="majorEastAsia"/>
          <w:spacing w:val="-8"/>
          <w:sz w:val="44"/>
          <w:szCs w:val="44"/>
          <w:lang w:eastAsia="zh-CN"/>
        </w:rPr>
        <w:t>服务</w:t>
      </w:r>
    </w:p>
    <w:p>
      <w:pPr>
        <w:spacing w:before="112" w:line="468" w:lineRule="exact"/>
        <w:ind w:left="329"/>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w w:val="99"/>
          <w:sz w:val="36"/>
          <w:lang w:eastAsia="zh-CN"/>
        </w:rPr>
        <w:t xml:space="preserve"> </w:t>
      </w:r>
    </w:p>
    <w:p>
      <w:pPr>
        <w:spacing w:line="467" w:lineRule="exact"/>
        <w:ind w:left="329"/>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w w:val="99"/>
          <w:sz w:val="36"/>
          <w:lang w:eastAsia="zh-CN"/>
        </w:rPr>
        <w:t xml:space="preserve"> </w:t>
      </w:r>
    </w:p>
    <w:p>
      <w:pPr>
        <w:spacing w:line="467" w:lineRule="exact"/>
        <w:ind w:left="329"/>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w w:val="99"/>
          <w:sz w:val="36"/>
          <w:lang w:eastAsia="zh-CN"/>
        </w:rPr>
        <w:t xml:space="preserve"> </w:t>
      </w:r>
    </w:p>
    <w:p>
      <w:pPr>
        <w:spacing w:line="467" w:lineRule="exact"/>
        <w:ind w:left="329"/>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w w:val="99"/>
          <w:sz w:val="36"/>
          <w:lang w:eastAsia="zh-CN"/>
        </w:rPr>
        <w:t xml:space="preserve"> </w:t>
      </w:r>
    </w:p>
    <w:p>
      <w:pPr>
        <w:spacing w:line="428" w:lineRule="exact"/>
        <w:ind w:left="329"/>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w w:val="99"/>
          <w:sz w:val="36"/>
          <w:lang w:eastAsia="zh-CN"/>
        </w:rPr>
        <w:t xml:space="preserve"> </w:t>
      </w:r>
    </w:p>
    <w:p>
      <w:pPr>
        <w:spacing w:line="1059" w:lineRule="exact"/>
        <w:ind w:left="146"/>
        <w:jc w:val="center"/>
        <w:rPr>
          <w:rFonts w:asciiTheme="majorEastAsia" w:hAnsiTheme="majorEastAsia" w:eastAsiaTheme="majorEastAsia" w:cstheme="majorEastAsia"/>
          <w:sz w:val="84"/>
          <w:szCs w:val="84"/>
          <w:lang w:eastAsia="zh-CN"/>
        </w:rPr>
      </w:pPr>
      <w:r>
        <w:rPr>
          <w:rFonts w:hint="eastAsia" w:asciiTheme="majorEastAsia" w:hAnsiTheme="majorEastAsia" w:eastAsiaTheme="majorEastAsia" w:cstheme="majorEastAsia"/>
          <w:b/>
          <w:bCs/>
          <w:spacing w:val="3"/>
          <w:sz w:val="84"/>
          <w:szCs w:val="84"/>
          <w:lang w:eastAsia="zh-CN"/>
        </w:rPr>
        <w:t xml:space="preserve">招 </w:t>
      </w:r>
      <w:r>
        <w:rPr>
          <w:rFonts w:hint="eastAsia" w:asciiTheme="majorEastAsia" w:hAnsiTheme="majorEastAsia" w:eastAsiaTheme="majorEastAsia" w:cstheme="majorEastAsia"/>
          <w:b/>
          <w:bCs/>
          <w:spacing w:val="4"/>
          <w:sz w:val="84"/>
          <w:szCs w:val="84"/>
          <w:lang w:eastAsia="zh-CN"/>
        </w:rPr>
        <w:t xml:space="preserve">标 </w:t>
      </w:r>
      <w:r>
        <w:rPr>
          <w:rFonts w:hint="eastAsia" w:asciiTheme="majorEastAsia" w:hAnsiTheme="majorEastAsia" w:eastAsiaTheme="majorEastAsia" w:cstheme="majorEastAsia"/>
          <w:b/>
          <w:bCs/>
          <w:spacing w:val="5"/>
          <w:sz w:val="84"/>
          <w:szCs w:val="84"/>
          <w:lang w:eastAsia="zh-CN"/>
        </w:rPr>
        <w:t>文</w:t>
      </w:r>
      <w:r>
        <w:rPr>
          <w:rFonts w:hint="eastAsia" w:asciiTheme="majorEastAsia" w:hAnsiTheme="majorEastAsia" w:eastAsiaTheme="majorEastAsia" w:cstheme="majorEastAsia"/>
          <w:b/>
          <w:bCs/>
          <w:spacing w:val="-29"/>
          <w:sz w:val="84"/>
          <w:szCs w:val="84"/>
          <w:lang w:eastAsia="zh-CN"/>
        </w:rPr>
        <w:t xml:space="preserve"> </w:t>
      </w:r>
      <w:r>
        <w:rPr>
          <w:rFonts w:hint="eastAsia" w:asciiTheme="majorEastAsia" w:hAnsiTheme="majorEastAsia" w:eastAsiaTheme="majorEastAsia" w:cstheme="majorEastAsia"/>
          <w:b/>
          <w:bCs/>
          <w:sz w:val="84"/>
          <w:szCs w:val="84"/>
          <w:lang w:eastAsia="zh-CN"/>
        </w:rPr>
        <w:t>件</w:t>
      </w: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rPr>
          <w:rFonts w:asciiTheme="majorEastAsia" w:hAnsiTheme="majorEastAsia" w:eastAsiaTheme="majorEastAsia" w:cstheme="majorEastAsia"/>
          <w:b/>
          <w:bCs/>
          <w:sz w:val="20"/>
          <w:szCs w:val="20"/>
          <w:lang w:eastAsia="zh-CN"/>
        </w:rPr>
      </w:pPr>
    </w:p>
    <w:p>
      <w:pPr>
        <w:spacing w:before="11"/>
        <w:rPr>
          <w:rFonts w:asciiTheme="majorEastAsia" w:hAnsiTheme="majorEastAsia" w:eastAsiaTheme="majorEastAsia" w:cstheme="majorEastAsia"/>
          <w:b/>
          <w:bCs/>
          <w:sz w:val="29"/>
          <w:szCs w:val="29"/>
          <w:lang w:eastAsia="zh-CN"/>
        </w:rPr>
      </w:pPr>
    </w:p>
    <w:p>
      <w:pPr>
        <w:pStyle w:val="3"/>
        <w:spacing w:line="475" w:lineRule="auto"/>
        <w:ind w:left="1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招  标</w:t>
      </w:r>
      <w:r>
        <w:rPr>
          <w:rFonts w:hint="eastAsia" w:asciiTheme="majorEastAsia" w:hAnsiTheme="majorEastAsia" w:eastAsiaTheme="majorEastAsia" w:cstheme="majorEastAsia"/>
          <w:spacing w:val="179"/>
          <w:lang w:eastAsia="zh-CN"/>
        </w:rPr>
        <w:t xml:space="preserve"> </w:t>
      </w:r>
      <w:r>
        <w:rPr>
          <w:rFonts w:hint="eastAsia" w:asciiTheme="majorEastAsia" w:hAnsiTheme="majorEastAsia" w:eastAsiaTheme="majorEastAsia" w:cstheme="majorEastAsia"/>
          <w:lang w:eastAsia="zh-CN"/>
        </w:rPr>
        <w:t>人：南通市住房保障发展中心</w:t>
      </w:r>
    </w:p>
    <w:p>
      <w:pPr>
        <w:pStyle w:val="3"/>
        <w:spacing w:line="475" w:lineRule="auto"/>
        <w:ind w:left="100" w:firstLine="1988" w:firstLineChars="550"/>
        <w:rPr>
          <w:rFonts w:asciiTheme="majorEastAsia" w:hAnsiTheme="majorEastAsia" w:eastAsiaTheme="majorEastAsia" w:cstheme="majorEastAsia"/>
          <w:w w:val="99"/>
          <w:lang w:eastAsia="zh-CN"/>
        </w:rPr>
      </w:pPr>
      <w:r>
        <w:rPr>
          <w:rFonts w:hint="eastAsia" w:asciiTheme="majorEastAsia" w:hAnsiTheme="majorEastAsia" w:eastAsiaTheme="majorEastAsia" w:cstheme="majorEastAsia"/>
          <w:lang w:eastAsia="zh-CN"/>
        </w:rPr>
        <w:t>（南通市直管公房管理中心）</w:t>
      </w:r>
    </w:p>
    <w:p>
      <w:pPr>
        <w:pStyle w:val="3"/>
        <w:spacing w:line="475" w:lineRule="auto"/>
        <w:ind w:left="100"/>
        <w:rPr>
          <w:rFonts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lang w:eastAsia="zh-CN"/>
        </w:rPr>
        <w:t>招标代理人：江苏中房工程咨询有限公司</w:t>
      </w:r>
    </w:p>
    <w:p>
      <w:pPr>
        <w:spacing w:before="109"/>
        <w:ind w:left="100"/>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bCs/>
          <w:sz w:val="36"/>
          <w:szCs w:val="36"/>
          <w:lang w:eastAsia="zh-CN"/>
        </w:rPr>
        <w:t xml:space="preserve">日    </w:t>
      </w:r>
      <w:r>
        <w:rPr>
          <w:rFonts w:hint="eastAsia" w:asciiTheme="majorEastAsia" w:hAnsiTheme="majorEastAsia" w:eastAsiaTheme="majorEastAsia" w:cstheme="majorEastAsia"/>
          <w:b/>
          <w:bCs/>
          <w:spacing w:val="169"/>
          <w:sz w:val="36"/>
          <w:szCs w:val="36"/>
          <w:lang w:eastAsia="zh-CN"/>
        </w:rPr>
        <w:t xml:space="preserve"> </w:t>
      </w:r>
      <w:r>
        <w:rPr>
          <w:rFonts w:hint="eastAsia" w:asciiTheme="majorEastAsia" w:hAnsiTheme="majorEastAsia" w:eastAsiaTheme="majorEastAsia" w:cstheme="majorEastAsia"/>
          <w:b/>
          <w:bCs/>
          <w:sz w:val="36"/>
          <w:szCs w:val="36"/>
          <w:lang w:eastAsia="zh-CN"/>
        </w:rPr>
        <w:t>期：2020年9月11日</w:t>
      </w:r>
      <w:r>
        <w:rPr>
          <w:rFonts w:hint="eastAsia" w:asciiTheme="majorEastAsia" w:hAnsiTheme="majorEastAsia" w:eastAsiaTheme="majorEastAsia" w:cstheme="majorEastAsia"/>
          <w:b/>
          <w:bCs/>
          <w:w w:val="99"/>
          <w:sz w:val="36"/>
          <w:szCs w:val="36"/>
          <w:lang w:eastAsia="zh-CN"/>
        </w:rPr>
        <w:t xml:space="preserve"> </w:t>
      </w:r>
    </w:p>
    <w:p>
      <w:pPr>
        <w:rPr>
          <w:rFonts w:asciiTheme="majorEastAsia" w:hAnsiTheme="majorEastAsia" w:eastAsiaTheme="majorEastAsia" w:cstheme="majorEastAsia"/>
          <w:sz w:val="36"/>
          <w:szCs w:val="36"/>
          <w:lang w:eastAsia="zh-CN"/>
        </w:rPr>
        <w:sectPr>
          <w:type w:val="continuous"/>
          <w:pgSz w:w="11910" w:h="16840"/>
          <w:pgMar w:top="1440" w:right="1800" w:bottom="1440" w:left="1800" w:header="720" w:footer="720" w:gutter="0"/>
          <w:cols w:space="720" w:num="1"/>
        </w:sectPr>
      </w:pPr>
    </w:p>
    <w:p>
      <w:pPr>
        <w:pStyle w:val="2"/>
        <w:ind w:left="272" w:right="125"/>
        <w:jc w:val="center"/>
        <w:rPr>
          <w:rFonts w:ascii="方正小标宋简体" w:hAnsi="方正小标宋简体" w:eastAsia="方正小标宋简体" w:cs="方正小标宋简体"/>
          <w:b w:val="0"/>
          <w:bCs w:val="0"/>
          <w:lang w:eastAsia="zh-CN"/>
        </w:rPr>
      </w:pPr>
      <w:r>
        <w:rPr>
          <w:rFonts w:hint="eastAsia" w:ascii="方正小标宋简体" w:hAnsi="方正小标宋简体" w:eastAsia="方正小标宋简体" w:cs="方正小标宋简体"/>
          <w:b w:val="0"/>
          <w:bCs w:val="0"/>
          <w:spacing w:val="2"/>
          <w:lang w:eastAsia="zh-CN"/>
        </w:rPr>
        <w:t>第一章</w:t>
      </w:r>
      <w:r>
        <w:rPr>
          <w:rFonts w:hint="eastAsia" w:ascii="方正小标宋简体" w:hAnsi="方正小标宋简体" w:eastAsia="方正小标宋简体" w:cs="方正小标宋简体"/>
          <w:b w:val="0"/>
          <w:bCs w:val="0"/>
          <w:spacing w:val="202"/>
          <w:lang w:eastAsia="zh-CN"/>
        </w:rPr>
        <w:t xml:space="preserve"> </w:t>
      </w:r>
      <w:r>
        <w:rPr>
          <w:rFonts w:hint="eastAsia" w:ascii="方正小标宋简体" w:hAnsi="方正小标宋简体" w:eastAsia="方正小标宋简体" w:cs="方正小标宋简体"/>
          <w:b w:val="0"/>
          <w:bCs w:val="0"/>
          <w:lang w:eastAsia="zh-CN"/>
        </w:rPr>
        <w:t>投标人须知及投标人须知前附表</w:t>
      </w:r>
    </w:p>
    <w:p>
      <w:pPr>
        <w:spacing w:before="240" w:beforeLines="100" w:after="240" w:afterLines="100"/>
        <w:jc w:val="center"/>
        <w:rPr>
          <w:rFonts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b/>
          <w:bCs/>
          <w:sz w:val="32"/>
          <w:szCs w:val="32"/>
          <w:lang w:eastAsia="zh-CN"/>
        </w:rPr>
        <w:t>一、投标人须知前附表</w:t>
      </w:r>
      <w:r>
        <w:rPr>
          <w:rFonts w:hint="eastAsia" w:asciiTheme="majorEastAsia" w:hAnsiTheme="majorEastAsia" w:eastAsiaTheme="majorEastAsia" w:cstheme="majorEastAsia"/>
          <w:b/>
          <w:bCs/>
          <w:w w:val="98"/>
          <w:sz w:val="32"/>
          <w:szCs w:val="32"/>
          <w:lang w:eastAsia="zh-CN"/>
        </w:rPr>
        <w:t xml:space="preserve"> </w:t>
      </w:r>
    </w:p>
    <w:p>
      <w:pPr>
        <w:spacing w:before="9"/>
        <w:rPr>
          <w:rFonts w:asciiTheme="majorEastAsia" w:hAnsiTheme="majorEastAsia" w:eastAsiaTheme="majorEastAsia" w:cstheme="majorEastAsia"/>
          <w:b/>
          <w:bCs/>
          <w:sz w:val="23"/>
          <w:szCs w:val="23"/>
          <w:lang w:eastAsia="zh-CN"/>
        </w:rPr>
      </w:pPr>
    </w:p>
    <w:tbl>
      <w:tblPr>
        <w:tblStyle w:val="16"/>
        <w:tblW w:w="8680" w:type="dxa"/>
        <w:tblInd w:w="114" w:type="dxa"/>
        <w:tblLayout w:type="fixed"/>
        <w:tblCellMar>
          <w:top w:w="0" w:type="dxa"/>
          <w:left w:w="0" w:type="dxa"/>
          <w:bottom w:w="0" w:type="dxa"/>
          <w:right w:w="0" w:type="dxa"/>
        </w:tblCellMar>
      </w:tblPr>
      <w:tblGrid>
        <w:gridCol w:w="708"/>
        <w:gridCol w:w="1702"/>
        <w:gridCol w:w="6270"/>
      </w:tblGrid>
      <w:tr>
        <w:tblPrEx>
          <w:tblCellMar>
            <w:top w:w="0" w:type="dxa"/>
            <w:left w:w="0" w:type="dxa"/>
            <w:bottom w:w="0" w:type="dxa"/>
            <w:right w:w="0" w:type="dxa"/>
          </w:tblCellMar>
        </w:tblPrEx>
        <w:trPr>
          <w:trHeight w:val="684"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序号</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名</w:t>
            </w:r>
            <w:r>
              <w:rPr>
                <w:rFonts w:hint="eastAsia" w:asciiTheme="majorEastAsia" w:hAnsiTheme="majorEastAsia" w:eastAsiaTheme="majorEastAsia" w:cstheme="majorEastAsia"/>
                <w:b/>
                <w:bCs/>
                <w:sz w:val="24"/>
                <w:szCs w:val="24"/>
                <w:lang w:eastAsia="zh-CN"/>
              </w:rPr>
              <w:t xml:space="preserve">  </w:t>
            </w:r>
            <w:r>
              <w:rPr>
                <w:rFonts w:hint="eastAsia" w:asciiTheme="majorEastAsia" w:hAnsiTheme="majorEastAsia" w:eastAsiaTheme="majorEastAsia" w:cstheme="majorEastAsia"/>
                <w:b/>
                <w:bCs/>
                <w:sz w:val="24"/>
                <w:szCs w:val="24"/>
              </w:rPr>
              <w:t>称</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内      容</w:t>
            </w:r>
          </w:p>
        </w:tc>
      </w:tr>
      <w:tr>
        <w:tblPrEx>
          <w:tblCellMar>
            <w:top w:w="0" w:type="dxa"/>
            <w:left w:w="0" w:type="dxa"/>
            <w:bottom w:w="0" w:type="dxa"/>
            <w:right w:w="0" w:type="dxa"/>
          </w:tblCellMar>
        </w:tblPrEx>
        <w:trPr>
          <w:trHeight w:val="844"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pacing w:val="-3"/>
                <w:sz w:val="24"/>
                <w:szCs w:val="24"/>
                <w:lang w:eastAsia="zh-CN"/>
              </w:rPr>
            </w:pPr>
            <w:r>
              <w:rPr>
                <w:rFonts w:hint="eastAsia" w:asciiTheme="majorEastAsia" w:hAnsiTheme="majorEastAsia" w:eastAsiaTheme="majorEastAsia" w:cstheme="majorEastAsia"/>
                <w:spacing w:val="-3"/>
                <w:sz w:val="24"/>
                <w:szCs w:val="24"/>
                <w:lang w:eastAsia="zh-CN"/>
              </w:rPr>
              <w:t>项目名称</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12" w:lineRule="exact"/>
              <w:ind w:firstLine="36"/>
              <w:jc w:val="both"/>
              <w:rPr>
                <w:rFonts w:asciiTheme="majorEastAsia" w:hAnsiTheme="majorEastAsia" w:eastAsiaTheme="majorEastAsia" w:cstheme="majorEastAsia"/>
                <w:spacing w:val="-3"/>
                <w:sz w:val="24"/>
                <w:szCs w:val="24"/>
                <w:lang w:eastAsia="zh-CN"/>
              </w:rPr>
            </w:pPr>
            <w:r>
              <w:rPr>
                <w:rFonts w:hint="eastAsia" w:asciiTheme="majorEastAsia" w:hAnsiTheme="majorEastAsia" w:eastAsiaTheme="majorEastAsia" w:cstheme="majorEastAsia"/>
                <w:spacing w:val="-3"/>
                <w:sz w:val="24"/>
                <w:szCs w:val="24"/>
                <w:lang w:eastAsia="zh-CN"/>
              </w:rPr>
              <w:t>2020年-2025年度直管公房修缮与维护工程结算审核服务</w:t>
            </w:r>
          </w:p>
        </w:tc>
      </w:tr>
      <w:tr>
        <w:trPr>
          <w:trHeight w:val="830"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2</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标段划分</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237" w:lineRule="auto"/>
              <w:ind w:firstLine="2"/>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3"/>
                <w:sz w:val="24"/>
                <w:szCs w:val="24"/>
                <w:lang w:eastAsia="zh-CN"/>
              </w:rPr>
              <w:t>本项目共分为壹个标段，2020年-2025年度直管公房修缮与维护工程结算审核服务</w:t>
            </w:r>
            <w:r>
              <w:rPr>
                <w:rFonts w:hint="eastAsia" w:asciiTheme="majorEastAsia" w:hAnsiTheme="majorEastAsia" w:eastAsiaTheme="majorEastAsia" w:cstheme="majorEastAsia"/>
                <w:sz w:val="24"/>
                <w:szCs w:val="24"/>
                <w:lang w:eastAsia="zh-CN"/>
              </w:rPr>
              <w:t xml:space="preserve">。 </w:t>
            </w:r>
          </w:p>
        </w:tc>
      </w:tr>
      <w:tr>
        <w:tblPrEx>
          <w:tblCellMar>
            <w:top w:w="0" w:type="dxa"/>
            <w:left w:w="0" w:type="dxa"/>
            <w:bottom w:w="0" w:type="dxa"/>
            <w:right w:w="0" w:type="dxa"/>
          </w:tblCellMar>
        </w:tblPrEx>
        <w:trPr>
          <w:trHeight w:val="704"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3</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pacing w:val="-3"/>
                <w:sz w:val="24"/>
                <w:szCs w:val="24"/>
                <w:lang w:eastAsia="zh-CN"/>
              </w:rPr>
            </w:pPr>
            <w:r>
              <w:rPr>
                <w:rFonts w:hint="eastAsia" w:asciiTheme="majorEastAsia" w:hAnsiTheme="majorEastAsia" w:eastAsiaTheme="majorEastAsia" w:cstheme="majorEastAsia"/>
                <w:spacing w:val="-3"/>
                <w:sz w:val="24"/>
                <w:szCs w:val="24"/>
                <w:lang w:eastAsia="zh-CN"/>
              </w:rPr>
              <w:t>工程地点</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237" w:lineRule="auto"/>
              <w:ind w:firstLine="2"/>
              <w:jc w:val="both"/>
              <w:rPr>
                <w:rFonts w:asciiTheme="majorEastAsia" w:hAnsiTheme="majorEastAsia" w:eastAsiaTheme="majorEastAsia" w:cstheme="majorEastAsia"/>
                <w:spacing w:val="-3"/>
                <w:sz w:val="24"/>
                <w:szCs w:val="24"/>
                <w:lang w:eastAsia="zh-CN"/>
              </w:rPr>
            </w:pPr>
            <w:r>
              <w:rPr>
                <w:rFonts w:hint="eastAsia" w:asciiTheme="majorEastAsia" w:hAnsiTheme="majorEastAsia" w:eastAsiaTheme="majorEastAsia" w:cstheme="majorEastAsia"/>
                <w:spacing w:val="-3"/>
                <w:sz w:val="24"/>
                <w:szCs w:val="24"/>
                <w:lang w:eastAsia="zh-CN"/>
              </w:rPr>
              <w:t>以实际审核服务为准</w:t>
            </w:r>
          </w:p>
        </w:tc>
      </w:tr>
      <w:tr>
        <w:tblPrEx>
          <w:tblCellMar>
            <w:top w:w="0" w:type="dxa"/>
            <w:left w:w="0" w:type="dxa"/>
            <w:bottom w:w="0" w:type="dxa"/>
            <w:right w:w="0" w:type="dxa"/>
          </w:tblCellMar>
        </w:tblPrEx>
        <w:trPr>
          <w:trHeight w:val="648"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4</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工程规模</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2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5"/>
                <w:sz w:val="24"/>
                <w:szCs w:val="24"/>
                <w:lang w:eastAsia="zh-CN"/>
              </w:rPr>
              <w:t>以实际审核服务为准</w:t>
            </w:r>
          </w:p>
        </w:tc>
      </w:tr>
      <w:tr>
        <w:tblPrEx>
          <w:tblCellMar>
            <w:top w:w="0" w:type="dxa"/>
            <w:left w:w="0" w:type="dxa"/>
            <w:bottom w:w="0" w:type="dxa"/>
            <w:right w:w="0" w:type="dxa"/>
          </w:tblCellMar>
        </w:tblPrEx>
        <w:trPr>
          <w:trHeight w:val="1834"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5</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招标范围</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237" w:lineRule="auto"/>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3"/>
                <w:sz w:val="24"/>
                <w:szCs w:val="24"/>
                <w:lang w:eastAsia="zh-CN"/>
              </w:rPr>
              <w:t>完成2020年-2025年度直管公房日常小零修、中修、专项、应急抢险维修工程及公共租赁房屋简装工程等结算审核，出具审计报告，并按招标人的要求编写相关的审计文书、移交相关审计资料。</w:t>
            </w:r>
          </w:p>
        </w:tc>
      </w:tr>
      <w:tr>
        <w:tblPrEx>
          <w:tblCellMar>
            <w:top w:w="0" w:type="dxa"/>
            <w:left w:w="0" w:type="dxa"/>
            <w:bottom w:w="0" w:type="dxa"/>
            <w:right w:w="0" w:type="dxa"/>
          </w:tblCellMar>
        </w:tblPrEx>
        <w:trPr>
          <w:trHeight w:val="809"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6</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服务期</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服务期限为五年，2020年</w:t>
            </w:r>
            <w:r>
              <w:rPr>
                <w:rFonts w:asciiTheme="majorEastAsia" w:hAnsiTheme="majorEastAsia" w:eastAsiaTheme="majorEastAsia" w:cstheme="majorEastAsia"/>
                <w:sz w:val="24"/>
                <w:szCs w:val="24"/>
                <w:lang w:eastAsia="zh-CN"/>
              </w:rPr>
              <w:t>10</w:t>
            </w:r>
            <w:r>
              <w:rPr>
                <w:rFonts w:hint="eastAsia" w:asciiTheme="majorEastAsia" w:hAnsiTheme="majorEastAsia" w:eastAsiaTheme="majorEastAsia" w:cstheme="majorEastAsia"/>
                <w:sz w:val="24"/>
                <w:szCs w:val="24"/>
                <w:lang w:eastAsia="zh-CN"/>
              </w:rPr>
              <w:t>月至2025年</w:t>
            </w:r>
            <w:r>
              <w:rPr>
                <w:rFonts w:asciiTheme="majorEastAsia" w:hAnsiTheme="majorEastAsia" w:eastAsiaTheme="majorEastAsia" w:cstheme="majorEastAsia"/>
                <w:sz w:val="24"/>
                <w:szCs w:val="24"/>
                <w:lang w:eastAsia="zh-CN"/>
              </w:rPr>
              <w:t>9</w:t>
            </w:r>
            <w:r>
              <w:rPr>
                <w:rFonts w:hint="eastAsia" w:asciiTheme="majorEastAsia" w:hAnsiTheme="majorEastAsia" w:eastAsiaTheme="majorEastAsia" w:cstheme="majorEastAsia"/>
                <w:sz w:val="24"/>
                <w:szCs w:val="24"/>
                <w:lang w:eastAsia="zh-CN"/>
              </w:rPr>
              <w:t>月。每年经招标人考核合格后签订次年合同。</w:t>
            </w:r>
          </w:p>
        </w:tc>
      </w:tr>
      <w:tr>
        <w:tblPrEx>
          <w:tblCellMar>
            <w:top w:w="0" w:type="dxa"/>
            <w:left w:w="0" w:type="dxa"/>
            <w:bottom w:w="0" w:type="dxa"/>
            <w:right w:w="0" w:type="dxa"/>
          </w:tblCellMar>
        </w:tblPrEx>
        <w:trPr>
          <w:trHeight w:val="982"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7</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质量要求</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1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pacing w:val="-4"/>
                <w:sz w:val="24"/>
                <w:szCs w:val="24"/>
                <w:lang w:eastAsia="zh-CN"/>
              </w:rPr>
              <w:t>咨询工作应符合国家及行业现行相关标准和规范，应确保成果资料</w:t>
            </w:r>
            <w:r>
              <w:rPr>
                <w:rFonts w:hint="eastAsia" w:asciiTheme="majorEastAsia" w:hAnsiTheme="majorEastAsia" w:eastAsiaTheme="majorEastAsia" w:cstheme="majorEastAsia"/>
                <w:spacing w:val="-93"/>
                <w:sz w:val="24"/>
                <w:szCs w:val="24"/>
                <w:lang w:eastAsia="zh-CN"/>
              </w:rPr>
              <w:t xml:space="preserve"> </w:t>
            </w:r>
            <w:r>
              <w:rPr>
                <w:rFonts w:hint="eastAsia" w:asciiTheme="majorEastAsia" w:hAnsiTheme="majorEastAsia" w:eastAsiaTheme="majorEastAsia" w:cstheme="majorEastAsia"/>
                <w:sz w:val="24"/>
                <w:szCs w:val="24"/>
                <w:lang w:eastAsia="zh-CN"/>
              </w:rPr>
              <w:t xml:space="preserve">完整、真实准确、清晰有据。 </w:t>
            </w:r>
          </w:p>
        </w:tc>
      </w:tr>
      <w:tr>
        <w:tblPrEx>
          <w:tblCellMar>
            <w:top w:w="0" w:type="dxa"/>
            <w:left w:w="0" w:type="dxa"/>
            <w:bottom w:w="0" w:type="dxa"/>
            <w:right w:w="0" w:type="dxa"/>
          </w:tblCellMar>
        </w:tblPrEx>
        <w:trPr>
          <w:trHeight w:val="806"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8</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招标方式</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公开</w:t>
            </w:r>
            <w:r>
              <w:rPr>
                <w:rFonts w:hint="eastAsia" w:asciiTheme="majorEastAsia" w:hAnsiTheme="majorEastAsia" w:eastAsiaTheme="majorEastAsia" w:cstheme="majorEastAsia"/>
                <w:sz w:val="24"/>
                <w:szCs w:val="24"/>
              </w:rPr>
              <w:t xml:space="preserve">招标 </w:t>
            </w:r>
          </w:p>
        </w:tc>
      </w:tr>
      <w:tr>
        <w:tblPrEx>
          <w:tblCellMar>
            <w:top w:w="0" w:type="dxa"/>
            <w:left w:w="0" w:type="dxa"/>
            <w:bottom w:w="0" w:type="dxa"/>
            <w:right w:w="0" w:type="dxa"/>
          </w:tblCellMar>
        </w:tblPrEx>
        <w:trPr>
          <w:trHeight w:val="809"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9</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资金来源</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CN"/>
              </w:rPr>
              <w:t>财政</w:t>
            </w:r>
            <w:r>
              <w:rPr>
                <w:rFonts w:hint="eastAsia" w:asciiTheme="majorEastAsia" w:hAnsiTheme="majorEastAsia" w:eastAsiaTheme="majorEastAsia" w:cstheme="majorEastAsia"/>
                <w:sz w:val="24"/>
                <w:szCs w:val="24"/>
              </w:rPr>
              <w:t xml:space="preserve">资金 </w:t>
            </w:r>
          </w:p>
        </w:tc>
      </w:tr>
      <w:tr>
        <w:tblPrEx>
          <w:tblCellMar>
            <w:top w:w="0" w:type="dxa"/>
            <w:left w:w="0" w:type="dxa"/>
            <w:bottom w:w="0" w:type="dxa"/>
            <w:right w:w="0" w:type="dxa"/>
          </w:tblCellMar>
        </w:tblPrEx>
        <w:trPr>
          <w:trHeight w:val="809"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10</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投标保证金</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人民币</w:t>
            </w:r>
            <w:r>
              <w:rPr>
                <w:rFonts w:hint="eastAsia" w:asciiTheme="majorEastAsia" w:hAnsiTheme="majorEastAsia" w:eastAsiaTheme="majorEastAsia" w:cstheme="majorEastAsia"/>
                <w:b/>
                <w:sz w:val="24"/>
                <w:szCs w:val="24"/>
                <w:u w:val="single" w:color="000000"/>
                <w:lang w:eastAsia="zh-CN"/>
              </w:rPr>
              <w:t xml:space="preserve"> 10000 </w:t>
            </w:r>
            <w:r>
              <w:rPr>
                <w:rFonts w:hint="eastAsia" w:asciiTheme="majorEastAsia" w:hAnsiTheme="majorEastAsia" w:eastAsiaTheme="majorEastAsia" w:cstheme="majorEastAsia"/>
                <w:b/>
                <w:sz w:val="24"/>
                <w:szCs w:val="24"/>
                <w:lang w:eastAsia="zh-CN"/>
              </w:rPr>
              <w:t>元</w:t>
            </w:r>
            <w:r>
              <w:rPr>
                <w:rFonts w:hint="eastAsia" w:asciiTheme="majorEastAsia" w:hAnsiTheme="majorEastAsia" w:eastAsiaTheme="majorEastAsia" w:cstheme="majorEastAsia"/>
                <w:b/>
                <w:bCs/>
                <w:w w:val="99"/>
                <w:sz w:val="24"/>
                <w:szCs w:val="24"/>
                <w:lang w:eastAsia="zh-CN"/>
              </w:rPr>
              <w:t xml:space="preserve"> （递交形式：现金）</w:t>
            </w:r>
          </w:p>
        </w:tc>
      </w:tr>
      <w:tr>
        <w:tblPrEx>
          <w:tblCellMar>
            <w:top w:w="0" w:type="dxa"/>
            <w:left w:w="0" w:type="dxa"/>
            <w:bottom w:w="0" w:type="dxa"/>
            <w:right w:w="0" w:type="dxa"/>
          </w:tblCellMar>
        </w:tblPrEx>
        <w:trPr>
          <w:trHeight w:val="807"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11</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投标文件份数</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正本</w:t>
            </w:r>
            <w:r>
              <w:rPr>
                <w:rFonts w:hint="eastAsia" w:asciiTheme="majorEastAsia" w:hAnsiTheme="majorEastAsia" w:eastAsiaTheme="majorEastAsia" w:cstheme="majorEastAsia"/>
                <w:sz w:val="24"/>
                <w:szCs w:val="24"/>
                <w:u w:val="single" w:color="000000"/>
                <w:lang w:eastAsia="zh-CN"/>
              </w:rPr>
              <w:t>壹</w:t>
            </w:r>
            <w:r>
              <w:rPr>
                <w:rFonts w:hint="eastAsia" w:asciiTheme="majorEastAsia" w:hAnsiTheme="majorEastAsia" w:eastAsiaTheme="majorEastAsia" w:cstheme="majorEastAsia"/>
                <w:sz w:val="24"/>
                <w:szCs w:val="24"/>
                <w:lang w:eastAsia="zh-CN"/>
              </w:rPr>
              <w:t>份，副本</w:t>
            </w:r>
            <w:r>
              <w:rPr>
                <w:rFonts w:hint="eastAsia" w:asciiTheme="majorEastAsia" w:hAnsiTheme="majorEastAsia" w:eastAsiaTheme="majorEastAsia" w:cstheme="majorEastAsia"/>
                <w:sz w:val="24"/>
                <w:szCs w:val="24"/>
                <w:u w:val="single" w:color="000000"/>
                <w:lang w:eastAsia="zh-CN"/>
              </w:rPr>
              <w:t>贰</w:t>
            </w:r>
            <w:r>
              <w:rPr>
                <w:rFonts w:hint="eastAsia" w:asciiTheme="majorEastAsia" w:hAnsiTheme="majorEastAsia" w:eastAsiaTheme="majorEastAsia" w:cstheme="majorEastAsia"/>
                <w:sz w:val="24"/>
                <w:szCs w:val="24"/>
                <w:lang w:eastAsia="zh-CN"/>
              </w:rPr>
              <w:t>份，共</w:t>
            </w:r>
            <w:r>
              <w:rPr>
                <w:rFonts w:hint="eastAsia" w:asciiTheme="majorEastAsia" w:hAnsiTheme="majorEastAsia" w:eastAsiaTheme="majorEastAsia" w:cstheme="majorEastAsia"/>
                <w:sz w:val="24"/>
                <w:szCs w:val="24"/>
                <w:u w:val="single" w:color="000000"/>
                <w:lang w:eastAsia="zh-CN"/>
              </w:rPr>
              <w:t>叁</w:t>
            </w:r>
            <w:r>
              <w:rPr>
                <w:rFonts w:hint="eastAsia" w:asciiTheme="majorEastAsia" w:hAnsiTheme="majorEastAsia" w:eastAsiaTheme="majorEastAsia" w:cstheme="majorEastAsia"/>
                <w:sz w:val="24"/>
                <w:szCs w:val="24"/>
                <w:lang w:eastAsia="zh-CN"/>
              </w:rPr>
              <w:t xml:space="preserve">份 </w:t>
            </w:r>
          </w:p>
        </w:tc>
      </w:tr>
      <w:tr>
        <w:tblPrEx>
          <w:tblCellMar>
            <w:top w:w="0" w:type="dxa"/>
            <w:left w:w="0" w:type="dxa"/>
            <w:bottom w:w="0" w:type="dxa"/>
            <w:right w:w="0" w:type="dxa"/>
          </w:tblCellMar>
        </w:tblPrEx>
        <w:trPr>
          <w:trHeight w:val="946"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12</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spacing w:line="275" w:lineRule="exact"/>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投标文件递交地点及开标地点</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1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南通市崇川区（原港闸区）江海财富大厦A座7楼702会议室</w:t>
            </w:r>
          </w:p>
        </w:tc>
      </w:tr>
      <w:tr>
        <w:tblPrEx>
          <w:tblCellMar>
            <w:top w:w="0" w:type="dxa"/>
            <w:left w:w="0" w:type="dxa"/>
            <w:bottom w:w="0" w:type="dxa"/>
            <w:right w:w="0" w:type="dxa"/>
          </w:tblCellMar>
        </w:tblPrEx>
        <w:trPr>
          <w:trHeight w:val="1082"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13</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spacing w:line="237" w:lineRule="auto"/>
              <w:ind w:hanging="120"/>
              <w:jc w:val="center"/>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投标文件递交截止时间及开标时间</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jc w:val="both"/>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20</w:t>
            </w:r>
            <w:r>
              <w:rPr>
                <w:rFonts w:hint="eastAsia" w:asciiTheme="majorEastAsia" w:hAnsiTheme="majorEastAsia" w:eastAsiaTheme="majorEastAsia" w:cstheme="majorEastAsia"/>
                <w:sz w:val="24"/>
                <w:szCs w:val="24"/>
                <w:lang w:eastAsia="zh-CN"/>
              </w:rPr>
              <w:t>20</w:t>
            </w:r>
            <w:r>
              <w:rPr>
                <w:rFonts w:hint="eastAsia" w:asciiTheme="majorEastAsia" w:hAnsiTheme="majorEastAsia" w:eastAsiaTheme="majorEastAsia" w:cstheme="majorEastAsia"/>
                <w:sz w:val="24"/>
                <w:szCs w:val="24"/>
              </w:rPr>
              <w:t>年</w:t>
            </w:r>
            <w:r>
              <w:rPr>
                <w:rFonts w:hint="eastAsia" w:asciiTheme="majorEastAsia" w:hAnsiTheme="majorEastAsia" w:eastAsiaTheme="majorEastAsia" w:cstheme="majorEastAsia"/>
                <w:sz w:val="24"/>
                <w:szCs w:val="24"/>
                <w:lang w:eastAsia="zh-CN"/>
              </w:rPr>
              <w:t>9</w:t>
            </w:r>
            <w:r>
              <w:rPr>
                <w:rFonts w:hint="eastAsia" w:asciiTheme="majorEastAsia" w:hAnsiTheme="majorEastAsia" w:eastAsiaTheme="majorEastAsia" w:cstheme="majorEastAsia"/>
                <w:sz w:val="24"/>
                <w:szCs w:val="24"/>
              </w:rPr>
              <w:t>月</w:t>
            </w:r>
            <w:r>
              <w:rPr>
                <w:rFonts w:hint="eastAsia" w:asciiTheme="majorEastAsia" w:hAnsiTheme="majorEastAsia" w:eastAsiaTheme="majorEastAsia" w:cstheme="majorEastAsia"/>
                <w:sz w:val="24"/>
                <w:szCs w:val="24"/>
                <w:lang w:eastAsia="zh-CN"/>
              </w:rPr>
              <w:t>22</w:t>
            </w:r>
            <w:r>
              <w:rPr>
                <w:rFonts w:hint="eastAsia" w:asciiTheme="majorEastAsia" w:hAnsiTheme="majorEastAsia" w:eastAsiaTheme="majorEastAsia" w:cstheme="majorEastAsia"/>
                <w:sz w:val="24"/>
                <w:szCs w:val="24"/>
              </w:rPr>
              <w:t>日</w:t>
            </w:r>
            <w:r>
              <w:rPr>
                <w:rFonts w:hint="eastAsia" w:asciiTheme="majorEastAsia" w:hAnsiTheme="majorEastAsia" w:eastAsiaTheme="majorEastAsia" w:cstheme="majorEastAsia"/>
                <w:sz w:val="24"/>
                <w:szCs w:val="24"/>
                <w:lang w:eastAsia="zh-CN"/>
              </w:rPr>
              <w:t>上午09</w:t>
            </w:r>
            <w:r>
              <w:rPr>
                <w:rFonts w:hint="eastAsia" w:asciiTheme="majorEastAsia" w:hAnsiTheme="majorEastAsia" w:eastAsiaTheme="majorEastAsia" w:cstheme="majorEastAsia"/>
                <w:sz w:val="24"/>
                <w:szCs w:val="24"/>
              </w:rPr>
              <w:t xml:space="preserve">时30分 </w:t>
            </w:r>
          </w:p>
        </w:tc>
      </w:tr>
      <w:tr>
        <w:tblPrEx>
          <w:tblCellMar>
            <w:top w:w="0" w:type="dxa"/>
            <w:left w:w="0" w:type="dxa"/>
            <w:bottom w:w="0" w:type="dxa"/>
            <w:right w:w="0" w:type="dxa"/>
          </w:tblCellMar>
        </w:tblPrEx>
        <w:trPr>
          <w:trHeight w:val="1702"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eastAsia="zh-CN"/>
              </w:rPr>
              <w:t>4</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招标人</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名称：南通市住房保障发展中心（南通市直管公房管理中心）</w:t>
            </w:r>
          </w:p>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联系人：祝智卿</w:t>
            </w:r>
          </w:p>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电话：</w:t>
            </w:r>
            <w:r>
              <w:rPr>
                <w:rFonts w:asciiTheme="majorEastAsia" w:hAnsiTheme="majorEastAsia" w:eastAsiaTheme="majorEastAsia" w:cstheme="majorEastAsia"/>
                <w:sz w:val="24"/>
                <w:szCs w:val="24"/>
                <w:lang w:eastAsia="zh-CN"/>
              </w:rPr>
              <w:t>0513-85529294 18888055205</w:t>
            </w:r>
          </w:p>
        </w:tc>
      </w:tr>
      <w:tr>
        <w:tblPrEx>
          <w:tblCellMar>
            <w:top w:w="0" w:type="dxa"/>
            <w:left w:w="0" w:type="dxa"/>
            <w:bottom w:w="0" w:type="dxa"/>
            <w:right w:w="0" w:type="dxa"/>
          </w:tblCellMar>
        </w:tblPrEx>
        <w:trPr>
          <w:trHeight w:val="2649"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eastAsia="zh-CN"/>
              </w:rPr>
              <w:t>5</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招标代理人</w:t>
            </w:r>
          </w:p>
        </w:tc>
        <w:tc>
          <w:tcPr>
            <w:tcW w:w="6270" w:type="dxa"/>
            <w:tcBorders>
              <w:top w:val="single" w:color="000000" w:sz="4" w:space="0"/>
              <w:left w:val="single" w:color="000000" w:sz="4" w:space="0"/>
              <w:bottom w:val="single" w:color="000000" w:sz="4" w:space="0"/>
              <w:right w:val="single" w:color="000000" w:sz="4" w:space="0"/>
            </w:tcBorders>
            <w:vAlign w:val="center"/>
          </w:tcPr>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名称：江苏中房工程咨询有限公司 </w:t>
            </w:r>
          </w:p>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地址：南通市崇川区江海大道817号江海财富大厦A座704-2办公室                                                   </w:t>
            </w:r>
          </w:p>
          <w:p>
            <w:pPr>
              <w:pStyle w:val="18"/>
              <w:spacing w:line="310"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联系人：陶兰 </w:t>
            </w:r>
          </w:p>
          <w:p>
            <w:pPr>
              <w:pStyle w:val="18"/>
              <w:spacing w:line="31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电话：0513-85523366 </w:t>
            </w:r>
          </w:p>
          <w:p>
            <w:pPr>
              <w:pStyle w:val="18"/>
              <w:spacing w:line="31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传真：0513-68002662</w:t>
            </w:r>
          </w:p>
          <w:p>
            <w:pPr>
              <w:pStyle w:val="18"/>
              <w:spacing w:line="282"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邮箱：</w:t>
            </w:r>
            <w:r>
              <w:rPr>
                <w:rFonts w:hint="eastAsia"/>
              </w:rPr>
              <w:fldChar w:fldCharType="begin"/>
            </w:r>
            <w:r>
              <w:rPr>
                <w:rFonts w:hint="eastAsia" w:asciiTheme="majorEastAsia" w:hAnsiTheme="majorEastAsia" w:eastAsiaTheme="majorEastAsia" w:cstheme="majorEastAsia"/>
              </w:rPr>
              <w:instrText xml:space="preserve"> HYPERLINK "mailto:362580477@qq.com" </w:instrText>
            </w:r>
            <w:r>
              <w:rPr>
                <w:rFonts w:hint="eastAsia"/>
              </w:rPr>
              <w:fldChar w:fldCharType="separate"/>
            </w:r>
            <w:r>
              <w:rPr>
                <w:rStyle w:val="15"/>
                <w:rFonts w:hint="eastAsia" w:asciiTheme="majorEastAsia" w:hAnsiTheme="majorEastAsia" w:eastAsiaTheme="majorEastAsia" w:cstheme="majorEastAsia"/>
                <w:color w:val="auto"/>
                <w:sz w:val="24"/>
                <w:szCs w:val="24"/>
                <w:lang w:eastAsia="zh-CN"/>
              </w:rPr>
              <w:t>362580477@qq.com</w:t>
            </w:r>
            <w:r>
              <w:rPr>
                <w:rStyle w:val="15"/>
                <w:rFonts w:hint="eastAsia" w:asciiTheme="majorEastAsia" w:hAnsiTheme="majorEastAsia" w:eastAsiaTheme="majorEastAsia" w:cstheme="majorEastAsia"/>
                <w:color w:val="auto"/>
                <w:sz w:val="24"/>
                <w:szCs w:val="24"/>
                <w:lang w:eastAsia="zh-CN"/>
              </w:rPr>
              <w:fldChar w:fldCharType="end"/>
            </w:r>
            <w:r>
              <w:rPr>
                <w:rFonts w:hint="eastAsia" w:asciiTheme="majorEastAsia" w:hAnsiTheme="majorEastAsia" w:eastAsiaTheme="majorEastAsia" w:cstheme="majorEastAsia"/>
                <w:sz w:val="24"/>
                <w:szCs w:val="24"/>
                <w:lang w:eastAsia="zh-CN"/>
              </w:rPr>
              <w:t xml:space="preserve"> </w:t>
            </w:r>
          </w:p>
        </w:tc>
      </w:tr>
      <w:tr>
        <w:tblPrEx>
          <w:tblCellMar>
            <w:top w:w="0" w:type="dxa"/>
            <w:left w:w="0" w:type="dxa"/>
            <w:bottom w:w="0" w:type="dxa"/>
            <w:right w:w="0" w:type="dxa"/>
          </w:tblCellMar>
        </w:tblPrEx>
        <w:trPr>
          <w:trHeight w:val="8265" w:hRule="exact"/>
        </w:trPr>
        <w:tc>
          <w:tcPr>
            <w:tcW w:w="708"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16</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18"/>
              <w:jc w:val="center"/>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特别提醒</w:t>
            </w:r>
          </w:p>
        </w:tc>
        <w:tc>
          <w:tcPr>
            <w:tcW w:w="627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1、项目情况：维修房源相当分散，无成片管理小区，大多数在老城区小街小巷，均是老旧房屋，部分属解放前建造。工程施工主要特点：</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1）根据公房户报修需求和中心维修计划实施，维修宗数多，每宗工程量少。公房维修小到换一块玻璃、一个活页、屋顶补漏、换木桁、窗门、厕所漏水等，这些维修宗数多，但工程量造价普遍在几十元到几千元不等。</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（2）维修点范围广，跨度大。现我中心的公房零散分布在崇川区各处，大多为年代较长的平房。</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（3）周边环境复杂，运送材料困难。公房大多处于老城区，小街小巷到处是乱搭乱建，运输车辆进出不便，材料运送主要靠人工手提肩挑板车拖。</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4）房屋结构多样，维修的难度大。公房结构复杂，有框架、砖混、砖木几种结构，其中砖混、砖木结构较多；楼板采用预制构件、现浇构件、木制等，由于建筑年代久，又没有图纸，管道走向不明，维修难度大。</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（5）相邻的关系复杂，即多数直管公房均和私房混杂，有的甚至是一栋小楼楼下是公房楼上是私房，在维修中要协调多处关系。</w:t>
            </w:r>
          </w:p>
          <w:p>
            <w:pPr>
              <w:adjustRightInd w:val="0"/>
              <w:snapToGrid w:val="0"/>
              <w:rPr>
                <w:rFonts w:asciiTheme="majorEastAsia" w:hAnsiTheme="majorEastAsia" w:eastAsiaTheme="majorEastAsia" w:cstheme="majorEastAsia"/>
                <w:b/>
                <w:sz w:val="24"/>
                <w:szCs w:val="24"/>
                <w:lang w:eastAsia="zh-CN"/>
              </w:rPr>
            </w:pPr>
            <w:r>
              <w:rPr>
                <w:rFonts w:hint="eastAsia" w:asciiTheme="majorEastAsia" w:hAnsiTheme="majorEastAsia" w:eastAsiaTheme="majorEastAsia" w:cstheme="majorEastAsia"/>
                <w:b/>
                <w:sz w:val="24"/>
                <w:szCs w:val="24"/>
                <w:lang w:eastAsia="zh-CN"/>
              </w:rPr>
              <w:t>（6）多数具有突发性，必须及时抢修。相当部分公房老旧，水管、电线等设施和房屋公共设施较陈旧，一旦发生损坏对住房和周边群众生活影响大，必须保证设立24小时值班平台，确保报修渠道畅通，并能立即抢修。</w:t>
            </w:r>
          </w:p>
          <w:p>
            <w:pPr>
              <w:pStyle w:val="18"/>
              <w:spacing w:line="313" w:lineRule="exact"/>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b/>
                <w:sz w:val="24"/>
                <w:szCs w:val="24"/>
                <w:lang w:eastAsia="zh-CN"/>
              </w:rPr>
              <w:t>2、综合上述（1）-（6）的施工现状情况，请各投标人审慎投标及报价。</w:t>
            </w:r>
          </w:p>
        </w:tc>
      </w:tr>
    </w:tbl>
    <w:p>
      <w:pPr>
        <w:spacing w:line="282" w:lineRule="exact"/>
        <w:rPr>
          <w:rFonts w:asciiTheme="majorEastAsia" w:hAnsiTheme="majorEastAsia" w:eastAsiaTheme="majorEastAsia" w:cstheme="majorEastAsia"/>
          <w:sz w:val="24"/>
          <w:szCs w:val="24"/>
          <w:lang w:eastAsia="zh-CN"/>
        </w:rPr>
        <w:sectPr>
          <w:footerReference r:id="rId3" w:type="default"/>
          <w:pgSz w:w="11910" w:h="16840"/>
          <w:pgMar w:top="1440" w:right="1800" w:bottom="1440" w:left="1800" w:header="0" w:footer="953" w:gutter="0"/>
          <w:cols w:space="720" w:num="1"/>
        </w:sectPr>
      </w:pP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二、投标人须知 </w:t>
      </w:r>
    </w:p>
    <w:p>
      <w:pPr>
        <w:pStyle w:val="4"/>
        <w:spacing w:before="240" w:beforeLines="100" w:after="240" w:afterLines="100"/>
        <w:ind w:left="0"/>
        <w:jc w:val="center"/>
        <w:rPr>
          <w:rFonts w:asciiTheme="majorEastAsia" w:hAnsiTheme="majorEastAsia" w:eastAsiaTheme="majorEastAsia" w:cstheme="majorEastAsia"/>
          <w:sz w:val="13"/>
          <w:szCs w:val="13"/>
          <w:lang w:eastAsia="zh-CN"/>
        </w:rPr>
      </w:pPr>
      <w:r>
        <w:rPr>
          <w:rFonts w:hint="eastAsia" w:asciiTheme="majorEastAsia" w:hAnsiTheme="majorEastAsia" w:eastAsiaTheme="majorEastAsia" w:cstheme="majorEastAsia"/>
          <w:lang w:eastAsia="zh-CN"/>
        </w:rPr>
        <w:t xml:space="preserve">(一)总 则 </w:t>
      </w:r>
    </w:p>
    <w:p>
      <w:pPr>
        <w:spacing w:line="360" w:lineRule="auto"/>
        <w:ind w:firstLine="560" w:firstLineChars="200"/>
        <w:rPr>
          <w:rFonts w:ascii="黑体" w:hAnsi="黑体" w:eastAsia="黑体" w:cs="黑体"/>
          <w:sz w:val="32"/>
          <w:szCs w:val="32"/>
          <w:lang w:eastAsia="zh-CN"/>
        </w:rPr>
      </w:pPr>
      <w:r>
        <w:rPr>
          <w:rFonts w:hint="eastAsia" w:ascii="黑体" w:hAnsi="黑体" w:eastAsia="黑体" w:cs="黑体"/>
          <w:sz w:val="28"/>
          <w:szCs w:val="28"/>
          <w:lang w:eastAsia="zh-CN"/>
        </w:rPr>
        <w:t>1.招标项目情况说明</w:t>
      </w:r>
      <w:r>
        <w:rPr>
          <w:rFonts w:hint="eastAsia" w:ascii="黑体" w:hAnsi="黑体" w:eastAsia="黑体" w:cs="黑体"/>
          <w:sz w:val="32"/>
          <w:szCs w:val="32"/>
          <w:lang w:eastAsia="zh-CN"/>
        </w:rPr>
        <w:t xml:space="preserve"> </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1.1  建设规模：详见投标人须知前附表第4项。</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1.2  服务内容：详见投标人须知前附表第5项。 </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2.投标人的资格要求 </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2.1 投标人应具有独立法人资格，且具有中华人民共和国住房和城乡建设部颁发的工程造价咨询甲级资质，并在有效期内。</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2.2 投标人必须为“南通市审计局、南通市财政局2018年至2021年政府投资项目协审中介机构资源库”的入库成员。</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2.3投标人信用良好(近三年获得过市级优秀企业称号)。</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2.4项目负责人：项目负责人为投标人正式员工，注册年限为15年及以上的国家注册造价工程师，取得高级工程师10年及以上，近三年获得过市优秀造价师称号，自2017年1月1日以来在投标企业任职期间（以合同签订日期为准）有审核政府投资项目（国有投资项目）的业绩（编标或平行编标或结算审核）（提供合同及业主证明材料）。</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2.5拟投入土建主审1人且为投标人正式员工，注册年限为5年及以上的注册工程造价师（须为土建专业，无法反映土建专业的，须同时提供能反映专业的造价工程师执业资格证书或中级及以上造价员资格证书），从事造价工作年限10年及以上，近三年获得过市优秀造价师称号，自2017年1月1日以来在投标企业任职期间（以合同签订日期为准）有审核政府投资项目（国有投资项目）的业绩（编标或平行编标或结算审核）（提供合同及业主证明材料）。</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2.6拟投入安装主审1人且为投标人正式员工，注册年限为10年及以上的注册工程造价师（须为安装专业，无法反映安装专业的，须同时提供能反映专业的造价工程师执业资格证书或中级及以上造价员资格证书），从事造价工作年限15年及以上，近三年获得过市优秀造价师称号，自2017年1月1日以来在投标企业任职期间（以合同签订日期为准）有审核政府投资项目（国有投资项目）的业绩（编标或平行编标或结算审核）（提供合同及业主证明材料）。</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2.7投标人在南通市区须有固定办公地点，且办公地在40分钟内能赶到现场进行审计服务的。</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2.8企业未处于被责令停业、投标资格被取消或者财产被接管、冻结和破产状态，没有因骗取中标或者严重违约以及发生重大工程质量、安全生产事故等问题，被有关部门暂停投标资格并在暂停期内的。 </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2.9本项目不接受联合体投标。 </w:t>
      </w:r>
    </w:p>
    <w:p>
      <w:pPr>
        <w:spacing w:line="360" w:lineRule="auto"/>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注：土建主审、安装主审及项目负责人不能是同一人。</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3.结算服务要求详见合同条款。 </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4.投标费用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4.1  投标人在提交投标文件的同时提交300元（现金）招标文件相关费用，无论是否中标，该费用不予退还。</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4.2  中标人领取中标通知书前需向江苏中房工程咨询有限公司招标代理部缴付评标费，评标费按实结算。</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4.3  投标人应承担其编制投标文件以及递交投标文件所涉及的一切费用（包含评标专家费）。无论投标结果如何，招标人对上述费用不负任何责任。</w:t>
      </w: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(二)招标文件 </w:t>
      </w:r>
    </w:p>
    <w:p>
      <w:pPr>
        <w:pStyle w:val="8"/>
        <w:spacing w:before="0" w:line="360" w:lineRule="auto"/>
        <w:ind w:left="0" w:firstLine="560" w:firstLineChars="200"/>
        <w:rPr>
          <w:rFonts w:asciiTheme="majorEastAsia" w:hAnsiTheme="majorEastAsia" w:eastAsiaTheme="majorEastAsia" w:cstheme="majorEastAsia"/>
          <w:lang w:eastAsia="zh-CN"/>
        </w:rPr>
      </w:pPr>
      <w:r>
        <w:rPr>
          <w:rFonts w:hint="eastAsia" w:ascii="黑体" w:hAnsi="黑体" w:eastAsia="黑体" w:cs="黑体"/>
          <w:sz w:val="28"/>
          <w:szCs w:val="28"/>
          <w:lang w:eastAsia="zh-CN"/>
        </w:rPr>
        <w:t>5.招标文件的组成</w:t>
      </w:r>
      <w:r>
        <w:rPr>
          <w:rFonts w:hint="eastAsia" w:asciiTheme="majorEastAsia" w:hAnsiTheme="majorEastAsia" w:eastAsiaTheme="majorEastAsia" w:cstheme="majorEastAsia"/>
          <w:lang w:eastAsia="zh-CN"/>
        </w:rPr>
        <w:t xml:space="preserve">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5.1  招标文件包括下列内容： </w:t>
      </w:r>
    </w:p>
    <w:p>
      <w:pPr>
        <w:pStyle w:val="8"/>
        <w:spacing w:before="0" w:line="360" w:lineRule="auto"/>
        <w:ind w:firstLine="960" w:firstLineChars="4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第一章  投标人须知及投标人须知前附表 </w:t>
      </w:r>
    </w:p>
    <w:p>
      <w:pPr>
        <w:pStyle w:val="8"/>
        <w:spacing w:before="0" w:line="360" w:lineRule="auto"/>
        <w:ind w:firstLine="960" w:firstLineChars="4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第二章  评标办法 </w:t>
      </w:r>
    </w:p>
    <w:p>
      <w:pPr>
        <w:pStyle w:val="8"/>
        <w:spacing w:before="0" w:line="360" w:lineRule="auto"/>
        <w:ind w:firstLine="960" w:firstLineChars="4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第三章  合同条款 </w:t>
      </w:r>
    </w:p>
    <w:p>
      <w:pPr>
        <w:pStyle w:val="8"/>
        <w:spacing w:before="0" w:line="360" w:lineRule="auto"/>
        <w:ind w:firstLine="960" w:firstLineChars="4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第四章  投标文件格式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5.2  除上述内容外，招标人以书面形式发出的对招标文件的澄清或修改内容，均为招标文件的组成部分，对招标人和投标人起约束作用。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5.3  投标人获取招标文件后，应认真审核招标文件中所有的事项、格式、条款和规范要求等，若投标人的投标文件没有按招标文件要求提交全部资料，或投标文件没有对</w:t>
      </w:r>
      <w:r>
        <w:rPr>
          <w:rFonts w:hint="eastAsia" w:asciiTheme="majorEastAsia" w:hAnsiTheme="majorEastAsia" w:eastAsiaTheme="majorEastAsia" w:cstheme="majorEastAsia"/>
          <w:spacing w:val="-93"/>
          <w:lang w:eastAsia="zh-CN"/>
        </w:rPr>
        <w:t xml:space="preserve"> </w:t>
      </w:r>
      <w:r>
        <w:rPr>
          <w:rFonts w:hint="eastAsia" w:asciiTheme="majorEastAsia" w:hAnsiTheme="majorEastAsia" w:eastAsiaTheme="majorEastAsia" w:cstheme="majorEastAsia"/>
          <w:lang w:eastAsia="zh-CN"/>
        </w:rPr>
        <w:t>招标文件做出实质性响应，其风险由投标人自行承担，并根据有关条款规定，该标书有</w:t>
      </w:r>
      <w:r>
        <w:rPr>
          <w:rFonts w:hint="eastAsia" w:asciiTheme="majorEastAsia" w:hAnsiTheme="majorEastAsia" w:eastAsiaTheme="majorEastAsia" w:cstheme="majorEastAsia"/>
          <w:spacing w:val="-93"/>
          <w:lang w:eastAsia="zh-CN"/>
        </w:rPr>
        <w:t xml:space="preserve"> </w:t>
      </w:r>
      <w:r>
        <w:rPr>
          <w:rFonts w:hint="eastAsia" w:asciiTheme="majorEastAsia" w:hAnsiTheme="majorEastAsia" w:eastAsiaTheme="majorEastAsia" w:cstheme="majorEastAsia"/>
          <w:lang w:eastAsia="zh-CN"/>
        </w:rPr>
        <w:t xml:space="preserve">可能被拒绝。 </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6.招标文件的澄清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6.1  投标人如有疑问需要澄清，应于2020年9月15日17时前以电子邮件的方式向代理公司专用邮箱（</w:t>
      </w:r>
      <w:r>
        <w:fldChar w:fldCharType="begin"/>
      </w:r>
      <w:r>
        <w:rPr>
          <w:lang w:eastAsia="zh-CN"/>
        </w:rPr>
        <w:instrText xml:space="preserve"> HYPERLINK "mailto:362580477@qq.com" </w:instrText>
      </w:r>
      <w:r>
        <w:fldChar w:fldCharType="separate"/>
      </w:r>
      <w:r>
        <w:rPr>
          <w:rFonts w:hint="eastAsia" w:asciiTheme="majorEastAsia" w:hAnsiTheme="majorEastAsia" w:eastAsiaTheme="majorEastAsia" w:cstheme="majorEastAsia"/>
          <w:lang w:eastAsia="zh-CN"/>
        </w:rPr>
        <w:t>362580477@qq.com</w:t>
      </w:r>
      <w:r>
        <w:rPr>
          <w:rFonts w:asciiTheme="majorEastAsia" w:hAnsiTheme="majorEastAsia" w:eastAsiaTheme="majorEastAsia" w:cstheme="majorEastAsia"/>
          <w:lang w:eastAsia="zh-CN"/>
        </w:rPr>
        <w:fldChar w:fldCharType="end"/>
      </w:r>
      <w:r>
        <w:rPr>
          <w:rFonts w:hint="eastAsia" w:asciiTheme="majorEastAsia" w:hAnsiTheme="majorEastAsia" w:eastAsiaTheme="majorEastAsia" w:cstheme="majorEastAsia"/>
          <w:lang w:eastAsia="zh-CN"/>
        </w:rPr>
        <w:t xml:space="preserve">）提出（逾期提出疑问的，招标人可不予解答），招标人在2020年9月17日17时后予以解答，解答内容（若有）以电子文档上传至“南通市住房和城乡建设局（http://fgj.nantong.gov.cn/）”，请各潜在投标人在“南通市住房和城乡建设局（http://fgj.nantong.gov.cn/）”自行下载。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6.2  投标人对招标人提供的招标文件所做出的推论、解释和结论，招标人概不负责。投标人由于对招标文件的任何推论和误解以及招标人对有关问题的口头解释所造成的后果，均由投标人自负。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6.3  在开标截止时间前，投标人未以书面、电子文件形式提出疑问（质疑）的，视为投标人接受招标文件所注全部条款。开标后投标人再对招标文件等提出质疑或投诉的，招标人有理由不予受理，由此引起的损失由投标人自行承担。</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7.招标文件的修改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7.1  投标截止时间3日前，确需对招标文件进行修改的，招标人以招标文件澄清、答疑方式，经“南通市住房和城乡建设局（http://fgj.nantong.gov.cn/）”向所有投标人公示。</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7.2  当招标文件、招标文件的澄清、修改、补充等在同一内容的表述上不一致时，以最后发布为准。投标人应密切关注招标人发布的招标文件澄清、修改、补充、答疑等相关信息，招标人不承担因投标人未能全面掌握全部招标信息而产生的所有后果。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7.3  为使投标人在编制投标文件时，将补充通知修改的内容考虑进去，招标人可以延长投标截止时间(延长时间在补充通知中写明)。</w:t>
      </w: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(三)投标报价</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 xml:space="preserve">8.投标报价要求 </w:t>
      </w:r>
    </w:p>
    <w:p>
      <w:pPr>
        <w:pStyle w:val="8"/>
        <w:spacing w:before="0" w:line="360" w:lineRule="auto"/>
        <w:ind w:left="0" w:right="107"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8.1</w:t>
      </w:r>
      <w:r>
        <w:rPr>
          <w:rFonts w:hint="eastAsia" w:asciiTheme="majorEastAsia" w:hAnsiTheme="majorEastAsia" w:eastAsiaTheme="majorEastAsia" w:cstheme="majorEastAsia"/>
          <w:spacing w:val="14"/>
          <w:lang w:eastAsia="zh-CN"/>
        </w:rPr>
        <w:t xml:space="preserve">  </w:t>
      </w:r>
      <w:r>
        <w:rPr>
          <w:rFonts w:hint="eastAsia" w:asciiTheme="majorEastAsia" w:hAnsiTheme="majorEastAsia" w:eastAsiaTheme="majorEastAsia" w:cstheme="majorEastAsia"/>
          <w:spacing w:val="-4"/>
          <w:lang w:eastAsia="zh-CN"/>
        </w:rPr>
        <w:t>投标报价应包括完成合同范围内人工费（按合同中约定的要求驻场）、办公费、</w:t>
      </w:r>
      <w:r>
        <w:rPr>
          <w:rFonts w:hint="eastAsia" w:asciiTheme="majorEastAsia" w:hAnsiTheme="majorEastAsia" w:eastAsiaTheme="majorEastAsia" w:cstheme="majorEastAsia"/>
          <w:spacing w:val="-3"/>
          <w:lang w:eastAsia="zh-CN"/>
        </w:rPr>
        <w:t>餐饮费、住宿费、交通费、通信费、资料费、差旅费、会务费、管理费、利润、税金等所有费用，</w:t>
      </w:r>
      <w:r>
        <w:rPr>
          <w:rFonts w:hint="eastAsia" w:asciiTheme="majorEastAsia" w:hAnsiTheme="majorEastAsia" w:eastAsiaTheme="majorEastAsia" w:cstheme="majorEastAsia"/>
          <w:lang w:eastAsia="zh-CN"/>
        </w:rPr>
        <w:t xml:space="preserve">结算时不予调整。 </w:t>
      </w:r>
    </w:p>
    <w:p>
      <w:pPr>
        <w:pStyle w:val="8"/>
        <w:spacing w:before="0" w:line="360" w:lineRule="auto"/>
        <w:ind w:left="0" w:right="228"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8.2</w:t>
      </w:r>
      <w:r>
        <w:rPr>
          <w:rFonts w:hint="eastAsia" w:asciiTheme="majorEastAsia" w:hAnsiTheme="majorEastAsia" w:eastAsiaTheme="majorEastAsia" w:cstheme="majorEastAsia"/>
          <w:spacing w:val="22"/>
          <w:lang w:eastAsia="zh-CN"/>
        </w:rPr>
        <w:t xml:space="preserve">  </w:t>
      </w:r>
      <w:r>
        <w:rPr>
          <w:rFonts w:hint="eastAsia" w:asciiTheme="majorEastAsia" w:hAnsiTheme="majorEastAsia" w:eastAsiaTheme="majorEastAsia" w:cstheme="majorEastAsia"/>
          <w:lang w:eastAsia="zh-CN"/>
        </w:rPr>
        <w:t>投标报价应包含直管公房修缮与维护工程结算审核服务所发生的所有费用。投标人需自行踏勘现场，了解相关工程的实施情况。投标人在报价时应根据招标文件的要求，充分考虑工作难度、现场复杂程度、由于新型冠状肺炎疫情的影响因卫生防疫要求采取的措施、物资等各方面的风险因素，不得以不了解前期情况为借口向招标人要求增加费用。</w:t>
      </w:r>
    </w:p>
    <w:p>
      <w:pPr>
        <w:pStyle w:val="8"/>
        <w:spacing w:before="0" w:line="360" w:lineRule="auto"/>
        <w:ind w:left="0" w:right="215"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8.3  在合同实施期间，投标报价不随国家政策或法规、标准及市场因素的变化而进行调整。</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9.本次报价方式</w:t>
      </w:r>
    </w:p>
    <w:p>
      <w:pPr>
        <w:pStyle w:val="8"/>
        <w:spacing w:before="0" w:line="360" w:lineRule="auto"/>
        <w:ind w:left="0"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1、本项目为固定下浮率报价，约定下浮率为正数。本项目最高下浮率为100%，高于或等于100%的为无效报价，低于100%的为有效投标。</w:t>
      </w:r>
    </w:p>
    <w:p>
      <w:pPr>
        <w:pStyle w:val="8"/>
        <w:spacing w:before="0" w:line="360" w:lineRule="auto"/>
        <w:ind w:left="0"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2、每个工程的最终结算价为招标人规定的计费标准*（1-中标下浮率）。</w:t>
      </w:r>
    </w:p>
    <w:p>
      <w:pPr>
        <w:pStyle w:val="8"/>
        <w:spacing w:before="0" w:line="360" w:lineRule="auto"/>
        <w:ind w:left="0"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3、计费标准：</w:t>
      </w:r>
    </w:p>
    <w:p>
      <w:pPr>
        <w:pStyle w:val="8"/>
        <w:spacing w:line="360" w:lineRule="auto"/>
        <w:ind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（1）公共租赁房屋简装工程：每个套型1000元，按实际套型数量结算；</w:t>
      </w:r>
    </w:p>
    <w:p>
      <w:pPr>
        <w:pStyle w:val="8"/>
        <w:spacing w:line="360" w:lineRule="auto"/>
        <w:ind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（2）小零修项目：按每两个月合并为一个项目送审，每个项目1500元，按合并后项目数量结算；</w:t>
      </w:r>
    </w:p>
    <w:p>
      <w:pPr>
        <w:pStyle w:val="8"/>
        <w:spacing w:before="0" w:line="360" w:lineRule="auto"/>
        <w:ind w:left="0" w:right="107" w:firstLine="479"/>
        <w:jc w:val="both"/>
        <w:rPr>
          <w:rFonts w:asciiTheme="majorEastAsia" w:hAnsiTheme="majorEastAsia" w:eastAsiaTheme="majorEastAsia" w:cstheme="majorEastAsia"/>
          <w:b/>
          <w:bCs/>
          <w:spacing w:val="-3"/>
          <w:lang w:eastAsia="zh-CN"/>
        </w:rPr>
      </w:pPr>
      <w:r>
        <w:rPr>
          <w:rFonts w:hint="eastAsia" w:asciiTheme="majorEastAsia" w:hAnsiTheme="majorEastAsia" w:eastAsiaTheme="majorEastAsia" w:cstheme="majorEastAsia"/>
          <w:b/>
          <w:bCs/>
          <w:spacing w:val="-3"/>
          <w:lang w:eastAsia="zh-CN"/>
        </w:rPr>
        <w:t>（3）其它项目：工程决算价高于2万元的单体项目，每个项目1000元；工程决算价低于2万元的单体项目，按送审金额合并，超过两万元时，作为一个项目送审，每个项目1000元，按合并后项目数量结算。</w:t>
      </w: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(四)投标文件</w:t>
      </w:r>
    </w:p>
    <w:p>
      <w:pPr>
        <w:pStyle w:val="8"/>
        <w:spacing w:before="0" w:line="360" w:lineRule="auto"/>
        <w:ind w:left="0" w:firstLine="560" w:firstLineChars="200"/>
        <w:rPr>
          <w:rFonts w:ascii="黑体" w:hAnsi="黑体" w:eastAsia="黑体" w:cs="黑体"/>
          <w:sz w:val="28"/>
          <w:szCs w:val="28"/>
          <w:lang w:eastAsia="zh-CN"/>
        </w:rPr>
      </w:pPr>
      <w:r>
        <w:rPr>
          <w:rFonts w:hint="eastAsia" w:ascii="黑体" w:hAnsi="黑体" w:eastAsia="黑体" w:cs="黑体"/>
          <w:sz w:val="28"/>
          <w:szCs w:val="28"/>
          <w:lang w:eastAsia="zh-CN"/>
        </w:rPr>
        <w:t>10.本工程投标文件应包括下列10.1、10.2条内容。</w:t>
      </w:r>
    </w:p>
    <w:p>
      <w:pPr>
        <w:pStyle w:val="7"/>
        <w:spacing w:before="0" w:line="360" w:lineRule="auto"/>
        <w:ind w:right="215" w:firstLine="480" w:firstLineChars="200"/>
        <w:rPr>
          <w:rFonts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b w:val="0"/>
          <w:bCs w:val="0"/>
          <w:lang w:eastAsia="zh-CN"/>
        </w:rPr>
        <w:t>10.1  资格审查文件（1正2副，所有扫描件或复印件均需加盖公章）</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（1）投标人基本情况表、公司简介。</w:t>
      </w:r>
    </w:p>
    <w:p>
      <w:pPr>
        <w:spacing w:line="360" w:lineRule="auto"/>
        <w:ind w:left="582" w:right="215"/>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（2）三证合一的营业执照、造价咨询资质证书的原件扫描件或复印件。</w:t>
      </w:r>
    </w:p>
    <w:p>
      <w:pPr>
        <w:spacing w:line="360" w:lineRule="auto"/>
        <w:ind w:left="100" w:right="228" w:firstLine="499"/>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（3）“南通市审计局、南通市财政局2018年至2021年政府投资项目协审中介机构资源库”的《中标通知书》或《南通市审计局政府投资建设项目组织审计业务协议书》。</w:t>
      </w:r>
    </w:p>
    <w:p>
      <w:pPr>
        <w:spacing w:line="360" w:lineRule="auto"/>
        <w:ind w:left="100" w:right="228" w:firstLine="499"/>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4）项目组成员一览表（必须包含项目负责人、土建主审、安装主审，其他人员投标人自行安排）及相关资格证书、职称证书、工作年限证明、市优秀造价师证明、业绩证明材料、2020年1-8月的社保证明、劳动合同等材料（格式详见第四章）。</w:t>
      </w:r>
    </w:p>
    <w:p>
      <w:pPr>
        <w:spacing w:line="360" w:lineRule="auto"/>
        <w:ind w:left="100" w:right="228" w:firstLine="499"/>
        <w:jc w:val="both"/>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（5）评标办法中所涉及的事项需提供的所有资料。</w:t>
      </w:r>
    </w:p>
    <w:p>
      <w:pPr>
        <w:spacing w:line="360" w:lineRule="auto"/>
        <w:ind w:left="599" w:right="215"/>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（6）</w:t>
      </w:r>
      <w:r>
        <w:rPr>
          <w:rFonts w:hint="eastAsia" w:asciiTheme="majorEastAsia" w:hAnsiTheme="majorEastAsia" w:eastAsiaTheme="majorEastAsia" w:cstheme="majorEastAsia"/>
          <w:lang w:eastAsia="zh-CN"/>
        </w:rPr>
        <w:t>评标办法中未涉及的事项，投标人认为需要提交的其他资料。</w:t>
      </w:r>
    </w:p>
    <w:p>
      <w:pPr>
        <w:pStyle w:val="7"/>
        <w:spacing w:before="0" w:line="360" w:lineRule="auto"/>
        <w:ind w:left="0" w:firstLine="482" w:firstLineChars="200"/>
        <w:rPr>
          <w:rFonts w:asciiTheme="majorEastAsia" w:hAnsiTheme="majorEastAsia" w:eastAsiaTheme="majorEastAsia" w:cstheme="majorEastAsia"/>
          <w:w w:val="99"/>
          <w:lang w:eastAsia="zh-CN"/>
        </w:rPr>
      </w:pPr>
      <w:r>
        <w:rPr>
          <w:rFonts w:hint="eastAsia" w:asciiTheme="majorEastAsia" w:hAnsiTheme="majorEastAsia" w:eastAsiaTheme="majorEastAsia" w:cstheme="majorEastAsia"/>
          <w:lang w:eastAsia="zh-CN"/>
        </w:rPr>
        <w:t>请各投标人根据评标办法及本招标文件要求详细编制资格审查文件，并请按上述顺序装订成册。</w:t>
      </w:r>
      <w:r>
        <w:rPr>
          <w:rFonts w:hint="eastAsia" w:asciiTheme="majorEastAsia" w:hAnsiTheme="majorEastAsia" w:eastAsiaTheme="majorEastAsia" w:cstheme="majorEastAsia"/>
          <w:w w:val="99"/>
          <w:lang w:eastAsia="zh-CN"/>
        </w:rPr>
        <w:t xml:space="preserve"> </w:t>
      </w:r>
    </w:p>
    <w:p>
      <w:pPr>
        <w:pStyle w:val="7"/>
        <w:spacing w:before="0" w:line="360" w:lineRule="auto"/>
        <w:ind w:left="0" w:firstLine="476" w:firstLineChars="200"/>
        <w:rPr>
          <w:rFonts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w w:val="99"/>
          <w:lang w:eastAsia="zh-CN"/>
        </w:rPr>
        <w:t>上述原件开标时带至开标现场备查，如因提供复印件不清楚而投标人未带原件备查的，则一切后果均由投标人自负。</w:t>
      </w:r>
    </w:p>
    <w:p>
      <w:pPr>
        <w:spacing w:before="34" w:line="360" w:lineRule="auto"/>
        <w:ind w:left="580" w:right="215"/>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10.2商务标（1正2副）</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（1）法人代表人身份证明书（格式详见第四章）。 </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（2）授权委托书（格式详见第四章）。 </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（3）投标函（格式详见第四章）。 </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（4）投标人认为有必要提供的其他资料。 </w:t>
      </w:r>
    </w:p>
    <w:p>
      <w:pPr>
        <w:pStyle w:val="7"/>
        <w:spacing w:before="36" w:line="360" w:lineRule="auto"/>
        <w:ind w:left="0" w:right="3886" w:firstLine="560" w:firstLineChars="200"/>
        <w:rPr>
          <w:rFonts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 xml:space="preserve">11.投标保证金 </w:t>
      </w:r>
    </w:p>
    <w:p>
      <w:pPr>
        <w:pStyle w:val="8"/>
        <w:spacing w:before="0" w:line="360" w:lineRule="auto"/>
        <w:ind w:left="100" w:right="92" w:firstLine="479"/>
        <w:jc w:val="both"/>
        <w:rPr>
          <w:rFonts w:asciiTheme="majorEastAsia" w:hAnsiTheme="majorEastAsia" w:eastAsiaTheme="majorEastAsia" w:cstheme="majorEastAsia"/>
          <w:spacing w:val="-3"/>
          <w:lang w:eastAsia="zh-CN"/>
        </w:rPr>
      </w:pPr>
      <w:r>
        <w:rPr>
          <w:rFonts w:hint="eastAsia" w:asciiTheme="majorEastAsia" w:hAnsiTheme="majorEastAsia" w:eastAsiaTheme="majorEastAsia" w:cstheme="majorEastAsia"/>
          <w:lang w:eastAsia="zh-CN"/>
        </w:rPr>
        <w:t>11.1</w:t>
      </w:r>
      <w:r>
        <w:rPr>
          <w:rFonts w:hint="eastAsia" w:asciiTheme="majorEastAsia" w:hAnsiTheme="majorEastAsia" w:eastAsiaTheme="majorEastAsia" w:cstheme="majorEastAsia"/>
          <w:spacing w:val="5"/>
          <w:lang w:eastAsia="zh-CN"/>
        </w:rPr>
        <w:t xml:space="preserve">  </w:t>
      </w:r>
      <w:r>
        <w:rPr>
          <w:rFonts w:hint="eastAsia" w:asciiTheme="majorEastAsia" w:hAnsiTheme="majorEastAsia" w:eastAsiaTheme="majorEastAsia" w:cstheme="majorEastAsia"/>
          <w:spacing w:val="-6"/>
          <w:lang w:eastAsia="zh-CN"/>
        </w:rPr>
        <w:t>本项目投标保证金采用现金形式递交</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spacing w:val="-3"/>
          <w:lang w:eastAsia="zh-CN"/>
        </w:rPr>
        <w:t>投标保证金必须在递交响应文件时间截止前递交。</w:t>
      </w:r>
    </w:p>
    <w:p>
      <w:pPr>
        <w:pStyle w:val="8"/>
        <w:spacing w:before="0" w:line="360" w:lineRule="auto"/>
        <w:ind w:left="100" w:right="92" w:firstLine="479"/>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11.2</w:t>
      </w:r>
      <w:r>
        <w:rPr>
          <w:rFonts w:hint="eastAsia" w:asciiTheme="majorEastAsia" w:hAnsiTheme="majorEastAsia" w:eastAsiaTheme="majorEastAsia" w:cstheme="majorEastAsia"/>
          <w:spacing w:val="1"/>
          <w:lang w:eastAsia="zh-CN"/>
        </w:rPr>
        <w:t xml:space="preserve">  </w:t>
      </w:r>
      <w:r>
        <w:rPr>
          <w:rFonts w:hint="eastAsia" w:asciiTheme="majorEastAsia" w:hAnsiTheme="majorEastAsia" w:eastAsiaTheme="majorEastAsia" w:cstheme="majorEastAsia"/>
          <w:lang w:eastAsia="zh-CN"/>
        </w:rPr>
        <w:t>未按上述要求提交投标保证金的，招标人有权拒绝接收其投标文件。</w:t>
      </w:r>
    </w:p>
    <w:p>
      <w:pPr>
        <w:pStyle w:val="8"/>
        <w:spacing w:before="0" w:line="360" w:lineRule="auto"/>
        <w:ind w:left="100" w:right="92" w:firstLine="479"/>
        <w:jc w:val="both"/>
        <w:rPr>
          <w:rFonts w:asciiTheme="majorEastAsia" w:hAnsiTheme="majorEastAsia" w:eastAsiaTheme="majorEastAsia" w:cstheme="majorEastAsia"/>
          <w:spacing w:val="-9"/>
          <w:lang w:eastAsia="zh-CN"/>
        </w:rPr>
      </w:pPr>
      <w:r>
        <w:rPr>
          <w:rFonts w:hint="eastAsia" w:asciiTheme="majorEastAsia" w:hAnsiTheme="majorEastAsia" w:eastAsiaTheme="majorEastAsia" w:cstheme="majorEastAsia"/>
          <w:lang w:eastAsia="zh-CN"/>
        </w:rPr>
        <w:t>11.3  未中标的投标人的投标保证金，定标后退还，中标人的投标保证金将在招标人</w:t>
      </w:r>
      <w:r>
        <w:rPr>
          <w:rFonts w:hint="eastAsia" w:asciiTheme="majorEastAsia" w:hAnsiTheme="majorEastAsia" w:eastAsiaTheme="majorEastAsia" w:cstheme="majorEastAsia"/>
          <w:spacing w:val="-1"/>
          <w:lang w:eastAsia="zh-CN"/>
        </w:rPr>
        <w:t>与中标人签订的造价咨询合同生效后</w:t>
      </w:r>
      <w:r>
        <w:rPr>
          <w:rFonts w:hint="eastAsia" w:asciiTheme="majorEastAsia" w:hAnsiTheme="majorEastAsia" w:eastAsiaTheme="majorEastAsia" w:cstheme="majorEastAsia"/>
          <w:lang w:eastAsia="zh-CN"/>
        </w:rPr>
        <w:t>5</w:t>
      </w:r>
      <w:r>
        <w:rPr>
          <w:rFonts w:hint="eastAsia" w:asciiTheme="majorEastAsia" w:hAnsiTheme="majorEastAsia" w:eastAsiaTheme="majorEastAsia" w:cstheme="majorEastAsia"/>
          <w:spacing w:val="-9"/>
          <w:lang w:eastAsia="zh-CN"/>
        </w:rPr>
        <w:t>个工作日内予以退还（无息）。</w:t>
      </w:r>
    </w:p>
    <w:p>
      <w:pPr>
        <w:pStyle w:val="8"/>
        <w:spacing w:before="0" w:line="360" w:lineRule="auto"/>
        <w:ind w:left="100" w:right="92" w:firstLine="479"/>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11.4  发生下列情况之一，投标保证金将不予退还： </w:t>
      </w:r>
    </w:p>
    <w:p>
      <w:pPr>
        <w:pStyle w:val="8"/>
        <w:spacing w:before="0" w:line="360" w:lineRule="auto"/>
        <w:ind w:left="110" w:leftChars="50" w:right="1666" w:firstLine="360" w:firstLineChars="15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（1）投标人在投标文件递交截止时间后撤回投标文件的。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（2）投标人在投标文件中提供虚假材料的。 </w:t>
      </w:r>
    </w:p>
    <w:p>
      <w:pPr>
        <w:pStyle w:val="8"/>
        <w:spacing w:before="0" w:line="360" w:lineRule="auto"/>
        <w:ind w:left="0" w:right="229" w:firstLine="472"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spacing w:val="-2"/>
          <w:lang w:eastAsia="zh-CN"/>
        </w:rPr>
        <w:t>（3）除因不可抗力或招标文件认可的情形以外，中标人不按规定缴纳履约保证金或</w:t>
      </w:r>
      <w:r>
        <w:rPr>
          <w:rFonts w:hint="eastAsia" w:asciiTheme="majorEastAsia" w:hAnsiTheme="majorEastAsia" w:eastAsiaTheme="majorEastAsia" w:cstheme="majorEastAsia"/>
          <w:lang w:eastAsia="zh-CN"/>
        </w:rPr>
        <w:t>不与招标人签订合同的，或在签订合同时向招标人提出附加条件或者更改合同实质性内容的。</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（4）投标人恶意串通投标的。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（5）投标人在招投标过程中有违反有关法律法规的行为。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（6）招标文件规定的其他情形的。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12.投标人应当使用本招标文件提供的投标文件表式（第四章），表式可以按同样格式进行扩展。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13．投标文件的签署</w:t>
      </w:r>
    </w:p>
    <w:p>
      <w:pPr>
        <w:pStyle w:val="8"/>
        <w:spacing w:before="0" w:line="360" w:lineRule="auto"/>
        <w:ind w:left="0" w:firstLine="480" w:firstLineChars="200"/>
        <w:jc w:val="both"/>
        <w:rPr>
          <w:rFonts w:asciiTheme="majorEastAsia" w:hAnsiTheme="majorEastAsia" w:eastAsiaTheme="majorEastAsia" w:cstheme="majorEastAsia"/>
          <w:sz w:val="10"/>
          <w:szCs w:val="10"/>
          <w:lang w:eastAsia="zh-CN"/>
        </w:rPr>
      </w:pPr>
      <w:r>
        <w:rPr>
          <w:rFonts w:hint="eastAsia" w:asciiTheme="majorEastAsia" w:hAnsiTheme="majorEastAsia" w:eastAsiaTheme="majorEastAsia" w:cstheme="majorEastAsia"/>
          <w:lang w:eastAsia="zh-CN"/>
        </w:rPr>
        <w:t>投标文件须用不能擦去的蓝色或黑色墨水书写或打印，全套投标文件应无修改和行间插字，除非这些修改是根据“招标文件修改通知”的要求进行的，或者是投标人明显笔误必须修改的。无论何种原因造成的涂改、插字和删除，都应由投标文件签署人加盖印鉴。</w:t>
      </w: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（五）投标文件的递交</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14.投标文件的密封与标志</w:t>
      </w:r>
    </w:p>
    <w:p>
      <w:pPr>
        <w:pStyle w:val="7"/>
        <w:spacing w:before="0" w:line="360" w:lineRule="auto"/>
        <w:ind w:left="100" w:right="226" w:firstLine="482"/>
        <w:jc w:val="both"/>
        <w:rPr>
          <w:rFonts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b w:val="0"/>
          <w:bCs w:val="0"/>
          <w:lang w:eastAsia="zh-CN"/>
        </w:rPr>
        <w:t xml:space="preserve">14.1  投标人的资格审查文件、商务标文件应分别制作、装订，并分别密封在不同的密封袋里，且须在密封袋上标明：项目名称、投标人名称、“资格审查文件”或“商务标文件”字样、日期。所有投标文件的密封袋上均应加盖投标人公章。 </w:t>
      </w:r>
    </w:p>
    <w:p>
      <w:pPr>
        <w:spacing w:line="360" w:lineRule="auto"/>
        <w:ind w:left="100" w:right="156" w:firstLine="479"/>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14.2  投标人应准备叁份“资格审查文件”和“商务标文件”文件，其中： 正本壹份，副本贰份。投标文件的封面应标明“正本”或“副本”。 </w:t>
      </w:r>
    </w:p>
    <w:p>
      <w:pPr>
        <w:spacing w:line="360" w:lineRule="auto"/>
        <w:ind w:left="100" w:right="92" w:firstLine="482"/>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14.3  投标文件的正、副本可以统一密封，也可以密封在不同的封袋内。投标文件正、副本不一致时，以正本为准。 </w:t>
      </w:r>
    </w:p>
    <w:p>
      <w:pPr>
        <w:spacing w:line="360" w:lineRule="auto"/>
        <w:ind w:right="94"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 xml:space="preserve">14.4  投标人未按上述规定提交投标文件，其投标文件将被拒绝，并退还给投标人。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15.投标截止时间 </w:t>
      </w:r>
    </w:p>
    <w:p>
      <w:pPr>
        <w:pStyle w:val="8"/>
        <w:spacing w:before="0" w:line="360" w:lineRule="auto"/>
        <w:ind w:right="215"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15.1  投标人应按投标须知规定的时间和地点将投标文件递交到指定地点。 </w:t>
      </w:r>
    </w:p>
    <w:p>
      <w:pPr>
        <w:pStyle w:val="8"/>
        <w:spacing w:before="0" w:line="360" w:lineRule="auto"/>
        <w:ind w:left="100" w:right="94" w:firstLine="479"/>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15.2  招标人可以按本须知规定以修改通知的方式，酌情延长递交投标文件的截止时间。在上述情况下，招标人与投标人以前的投标截止时间方面的全部权力、责任和义务，将适用于延长后新的投标截止时间。 </w:t>
      </w:r>
    </w:p>
    <w:p>
      <w:pPr>
        <w:pStyle w:val="8"/>
        <w:spacing w:before="0" w:line="360" w:lineRule="auto"/>
        <w:ind w:left="580" w:right="215"/>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15.3  超过投标截止时间送达的投标文件将被拒绝并原封退给投标人。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16.投标文件的修改与撤回 </w:t>
      </w:r>
    </w:p>
    <w:p>
      <w:pPr>
        <w:pStyle w:val="8"/>
        <w:spacing w:before="0" w:line="360" w:lineRule="auto"/>
        <w:ind w:left="100" w:right="94" w:firstLine="479"/>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16.1  投标人可以在递交投标文件以后，在规定的投标截止时间之前，以书面形式向招标人递交修改或撤回其投标文件的通知。在投标截止时间以后，不得更改投标文件。 </w:t>
      </w:r>
    </w:p>
    <w:p>
      <w:pPr>
        <w:pStyle w:val="8"/>
        <w:spacing w:before="0" w:line="360" w:lineRule="auto"/>
        <w:ind w:left="100" w:right="94" w:firstLine="479"/>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16.2  投标人的修改或撤回通知，应按招标文件规定的要求编制、密封、标志和递交（密封袋上应标明“修改”或“撤回”字样）。 </w:t>
      </w:r>
    </w:p>
    <w:p>
      <w:pPr>
        <w:pStyle w:val="8"/>
        <w:spacing w:before="0" w:line="360" w:lineRule="auto"/>
        <w:ind w:left="100" w:right="94" w:firstLine="479"/>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16.3  投标截止时间以后，在投标有效期内，投标人不得撤回其投标文件，否则其投标保证金将不予退还。  </w:t>
      </w:r>
    </w:p>
    <w:p>
      <w:pPr>
        <w:pStyle w:val="4"/>
        <w:spacing w:before="240" w:beforeLines="100" w:after="240" w:afterLines="100"/>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（六）开标、评标、定标</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17.开标 </w:t>
      </w:r>
    </w:p>
    <w:p>
      <w:pPr>
        <w:pStyle w:val="7"/>
        <w:spacing w:before="0" w:line="360" w:lineRule="auto"/>
        <w:ind w:left="0" w:right="215" w:firstLine="480" w:firstLineChars="200"/>
        <w:jc w:val="both"/>
        <w:rPr>
          <w:rFonts w:asciiTheme="majorEastAsia" w:hAnsiTheme="majorEastAsia" w:eastAsiaTheme="majorEastAsia" w:cstheme="majorEastAsia"/>
          <w:b w:val="0"/>
          <w:bCs w:val="0"/>
          <w:lang w:eastAsia="zh-CN"/>
        </w:rPr>
      </w:pPr>
      <w:r>
        <w:rPr>
          <w:rFonts w:hint="eastAsia" w:asciiTheme="majorEastAsia" w:hAnsiTheme="majorEastAsia" w:eastAsiaTheme="majorEastAsia" w:cstheme="majorEastAsia"/>
          <w:b w:val="0"/>
          <w:bCs w:val="0"/>
          <w:lang w:eastAsia="zh-CN"/>
        </w:rPr>
        <w:t xml:space="preserve">17.1  开标由招标人或招标代理人主持，邀请所有递交投标文件的投标人参加。 </w:t>
      </w:r>
    </w:p>
    <w:p>
      <w:pPr>
        <w:pStyle w:val="8"/>
        <w:spacing w:before="0" w:line="360" w:lineRule="auto"/>
        <w:ind w:left="0" w:right="94"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17.2  开标时，由招标人委托的监督机构或投标人代表检查投标文件的密封情况，经确认无误后，由工作人员当众拆封；投标文件未按照招标文件的要求予以密封和标志的，将作为无效投标文件，退回投标人。 </w:t>
      </w:r>
    </w:p>
    <w:p>
      <w:pPr>
        <w:pStyle w:val="8"/>
        <w:spacing w:before="0" w:line="360" w:lineRule="auto"/>
        <w:ind w:left="0" w:right="209"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17.3  招标人在招标文件要求提交投标文件的截止时间前收到的所有投标文件，开标时都将当众予以拆封、宣读、记录。 </w:t>
      </w:r>
    </w:p>
    <w:p>
      <w:pPr>
        <w:pStyle w:val="8"/>
        <w:spacing w:before="0" w:line="360" w:lineRule="auto"/>
        <w:ind w:left="0" w:right="208"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17.4  凡投标文件有下列情况之一的，属于重大偏差，视同未能对招标文件作出实质性响应，按废标处理：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（1）投标人的资格不满足国家有关规定或招标文件载明的投标资格条件。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（2）投标函无投标人公章或无法定代表人或法定代表人授权的代理人签字或盖章。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（3）投标人未按照招标文件的要求提交投标保证金。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（4）投标人递交两份或多份内容不同的投标文件，或在一份投标文件中报有两个或多个报价，且未声明哪一个有效。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（5）投标文件载明的审计任务完成期限超过招标文件规定的期限。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（6）投标文件附有招标人不能接受的条件。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（7）评标委员会发现投标人以他人名义投标或者串通投标或者以行贿手段谋取中标或者在投标活动中弄虚作假。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（8）高于或等于本工程设定的下浮率的。</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（9）投标人的报价方式不符合招标文件规定。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（10）不符合招标文件中规定的其他实质性要求。 </w:t>
      </w:r>
    </w:p>
    <w:p>
      <w:pPr>
        <w:pStyle w:val="8"/>
        <w:spacing w:before="0" w:line="360" w:lineRule="auto"/>
        <w:ind w:left="0" w:right="215"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（11）投标文件关键内容模糊、无法辨认。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18.评标 </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评标、定标工作由招标人依法组建的评标委员会进行。本项目评标办法详见第二章。 </w:t>
      </w:r>
    </w:p>
    <w:p>
      <w:pPr>
        <w:pStyle w:val="8"/>
        <w:spacing w:before="0" w:line="360" w:lineRule="auto"/>
        <w:ind w:left="0" w:right="215" w:firstLine="560" w:firstLineChars="200"/>
        <w:jc w:val="both"/>
        <w:rPr>
          <w:rFonts w:ascii="黑体" w:hAnsi="黑体" w:eastAsia="黑体" w:cs="黑体"/>
          <w:sz w:val="28"/>
          <w:szCs w:val="28"/>
          <w:lang w:eastAsia="zh-CN"/>
        </w:rPr>
      </w:pPr>
      <w:r>
        <w:rPr>
          <w:rFonts w:hint="eastAsia" w:ascii="黑体" w:hAnsi="黑体" w:eastAsia="黑体" w:cs="黑体"/>
          <w:sz w:val="28"/>
          <w:szCs w:val="28"/>
          <w:lang w:eastAsia="zh-CN"/>
        </w:rPr>
        <w:t xml:space="preserve">19.投标文件的澄清 </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19.1  在评标过程中，为有助于投标文件的审查、评价和比较，评标委员会可以以书面形式要求投标人对投标文件含义不明确的内容作必要的澄清或说明，投标人应采用书面形式进行澄清或说明，但不得超出投标文件的范围或改变投标文件的实质性内容。 </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 </w:t>
      </w:r>
    </w:p>
    <w:p>
      <w:pPr>
        <w:pStyle w:val="8"/>
        <w:spacing w:before="0" w:line="360" w:lineRule="auto"/>
        <w:ind w:left="0" w:firstLine="480" w:firstLineChars="20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19.2  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20.在评标过程中，评标委员会若发现投标人以他人的名义投标、串通投标、以行贿手段谋取中标或者以其他弄虚作假方式投标的，该投标人的投标将作无效标处理。</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21.投标人资格条件不符合国家有关规定和招标文件要求的，或者拒不按照要求对投标文件进行澄清、说明或者补正的，评标委员会可以否决其投标。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22.评标委员会将审查每一投标文件是否对招标文件提出的所有实质性要求和条件做出响应。未能在实质上响应招标文件的投标，将作无效标处理。</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23. 评标委员会在评标工作完成后，中标结果在“南通市住房和城乡建设局（http://fgj.nantong.gov.cn/）”公示，公示的时间为三日。</w:t>
      </w:r>
    </w:p>
    <w:p>
      <w:pPr>
        <w:pStyle w:val="4"/>
        <w:spacing w:before="240" w:beforeLines="100" w:after="240" w:afterLines="100" w:line="360" w:lineRule="auto"/>
        <w:ind w:left="0"/>
        <w:jc w:val="center"/>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（七）授予合同</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24.评标结果投诉期满无异议或投诉的，招标人应在15日内以书面形式向中标人发出中标通知书。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25.中标人须在领取中标通知书后、合同签订前足额缴纳履约保证金（递交方式为投标保证金直接转为履约保证金），否则其投标资格将被取消。 </w:t>
      </w:r>
    </w:p>
    <w:p>
      <w:pPr>
        <w:pStyle w:val="8"/>
        <w:spacing w:before="0" w:line="36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26.招标人和中标人应当自中标通知书发出之日起30日内，按照招标文件和中标人的投标文件订立书面合同。招标人和中标人不得再订立背离合同实质性内容的其他协议。 </w:t>
      </w: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spacing w:line="360" w:lineRule="auto"/>
        <w:jc w:val="center"/>
        <w:rPr>
          <w:rFonts w:ascii="方正小标宋简体" w:hAnsi="方正小标宋简体" w:eastAsia="方正小标宋简体" w:cs="方正小标宋简体"/>
          <w:spacing w:val="2"/>
          <w:sz w:val="44"/>
          <w:szCs w:val="44"/>
          <w:lang w:eastAsia="zh-CN"/>
        </w:rPr>
      </w:pPr>
    </w:p>
    <w:p>
      <w:pPr>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2"/>
          <w:sz w:val="44"/>
          <w:szCs w:val="44"/>
          <w:lang w:eastAsia="zh-CN"/>
        </w:rPr>
        <w:t>第二</w:t>
      </w:r>
      <w:r>
        <w:rPr>
          <w:rFonts w:hint="eastAsia" w:ascii="方正小标宋简体" w:hAnsi="方正小标宋简体" w:eastAsia="方正小标宋简体" w:cs="方正小标宋简体"/>
          <w:sz w:val="44"/>
          <w:szCs w:val="44"/>
          <w:lang w:eastAsia="zh-CN"/>
        </w:rPr>
        <w:t>章  评标办法（价格单因素法）</w:t>
      </w:r>
    </w:p>
    <w:p>
      <w:pPr>
        <w:snapToGrid w:val="0"/>
        <w:spacing w:before="120" w:beforeLines="50" w:after="120" w:afterLines="50"/>
        <w:ind w:firstLine="560" w:firstLineChars="200"/>
        <w:rPr>
          <w:rFonts w:ascii="黑体" w:hAnsi="黑体" w:eastAsia="黑体" w:cs="黑体"/>
          <w:bCs/>
          <w:sz w:val="28"/>
          <w:szCs w:val="28"/>
          <w:lang w:val="zh-CN" w:eastAsia="zh-CN"/>
        </w:rPr>
      </w:pPr>
      <w:r>
        <w:rPr>
          <w:rFonts w:hint="eastAsia" w:ascii="黑体" w:hAnsi="黑体" w:eastAsia="黑体" w:cs="黑体"/>
          <w:bCs/>
          <w:sz w:val="28"/>
          <w:szCs w:val="28"/>
          <w:lang w:val="zh-CN" w:eastAsia="zh-CN"/>
        </w:rPr>
        <w:t>一、资格审查</w:t>
      </w:r>
    </w:p>
    <w:p>
      <w:pPr>
        <w:snapToGrid w:val="0"/>
        <w:spacing w:before="120" w:beforeLines="50" w:after="120" w:afterLines="50" w:line="42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1、由本项目评标委员会根据参加资格审查的投标人递交的资格审查文件，并按照本项目招标文件《资格审查必要合格条件标准》对投标人的资格进行评审。只有资格条件评审合格的投标人，才可参加商务标评审。</w:t>
      </w:r>
    </w:p>
    <w:p>
      <w:pPr>
        <w:snapToGrid w:val="0"/>
        <w:spacing w:line="360" w:lineRule="auto"/>
        <w:jc w:val="center"/>
        <w:rPr>
          <w:rFonts w:ascii="宋体" w:hAnsi="宋体"/>
          <w:b/>
          <w:bCs/>
          <w:szCs w:val="21"/>
          <w:lang w:eastAsia="zh-CN"/>
        </w:rPr>
      </w:pPr>
      <w:r>
        <w:rPr>
          <w:rFonts w:hint="eastAsia" w:ascii="宋体" w:hAnsi="宋体"/>
          <w:b/>
          <w:bCs/>
          <w:szCs w:val="21"/>
          <w:lang w:eastAsia="zh-CN"/>
        </w:rPr>
        <w:t>资格审查必要合格条件标准</w:t>
      </w:r>
    </w:p>
    <w:tbl>
      <w:tblPr>
        <w:tblStyle w:val="12"/>
        <w:tblW w:w="9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934"/>
        <w:gridCol w:w="2977"/>
        <w:gridCol w:w="3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jc w:val="center"/>
        </w:trPr>
        <w:tc>
          <w:tcPr>
            <w:tcW w:w="660" w:type="dxa"/>
            <w:vAlign w:val="center"/>
          </w:tcPr>
          <w:p>
            <w:pPr>
              <w:jc w:val="center"/>
              <w:rPr>
                <w:rFonts w:ascii="宋体" w:hAnsi="宋体"/>
                <w:bCs/>
                <w:szCs w:val="21"/>
              </w:rPr>
            </w:pPr>
            <w:r>
              <w:rPr>
                <w:rFonts w:hint="eastAsia" w:ascii="宋体" w:hAnsi="宋体"/>
                <w:bCs/>
                <w:szCs w:val="21"/>
              </w:rPr>
              <w:t>序号</w:t>
            </w:r>
          </w:p>
        </w:tc>
        <w:tc>
          <w:tcPr>
            <w:tcW w:w="1934" w:type="dxa"/>
            <w:vAlign w:val="center"/>
          </w:tcPr>
          <w:p>
            <w:pPr>
              <w:jc w:val="center"/>
              <w:rPr>
                <w:rFonts w:ascii="宋体" w:hAnsi="宋体"/>
                <w:bCs/>
                <w:szCs w:val="21"/>
              </w:rPr>
            </w:pPr>
            <w:r>
              <w:rPr>
                <w:rFonts w:hint="eastAsia" w:ascii="宋体" w:hAnsi="宋体"/>
                <w:bCs/>
                <w:szCs w:val="21"/>
              </w:rPr>
              <w:t>项目内容</w:t>
            </w:r>
          </w:p>
        </w:tc>
        <w:tc>
          <w:tcPr>
            <w:tcW w:w="2977" w:type="dxa"/>
            <w:vAlign w:val="center"/>
          </w:tcPr>
          <w:p>
            <w:pPr>
              <w:jc w:val="center"/>
              <w:rPr>
                <w:rFonts w:ascii="宋体" w:hAnsi="宋体"/>
                <w:bCs/>
                <w:szCs w:val="21"/>
              </w:rPr>
            </w:pPr>
            <w:r>
              <w:rPr>
                <w:rFonts w:hint="eastAsia" w:ascii="宋体" w:hAnsi="宋体"/>
                <w:bCs/>
                <w:szCs w:val="21"/>
              </w:rPr>
              <w:t>合格条件</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投标申请人具备的条件或说明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660" w:type="dxa"/>
            <w:vAlign w:val="center"/>
          </w:tcPr>
          <w:p>
            <w:pPr>
              <w:jc w:val="center"/>
              <w:rPr>
                <w:rFonts w:ascii="宋体" w:hAnsi="宋体"/>
                <w:bCs/>
                <w:szCs w:val="21"/>
              </w:rPr>
            </w:pPr>
            <w:r>
              <w:rPr>
                <w:rFonts w:hint="eastAsia" w:ascii="宋体" w:hAnsi="宋体"/>
                <w:bCs/>
                <w:szCs w:val="21"/>
              </w:rPr>
              <w:t>1</w:t>
            </w:r>
          </w:p>
        </w:tc>
        <w:tc>
          <w:tcPr>
            <w:tcW w:w="1934" w:type="dxa"/>
            <w:vAlign w:val="center"/>
          </w:tcPr>
          <w:p>
            <w:pPr>
              <w:jc w:val="center"/>
              <w:rPr>
                <w:rFonts w:ascii="宋体" w:hAnsi="宋体"/>
                <w:bCs/>
                <w:szCs w:val="21"/>
              </w:rPr>
            </w:pPr>
            <w:r>
              <w:rPr>
                <w:rFonts w:hint="eastAsia" w:ascii="宋体" w:hAnsi="宋体"/>
                <w:bCs/>
                <w:szCs w:val="21"/>
              </w:rPr>
              <w:t>企业法人营业执照</w:t>
            </w:r>
          </w:p>
        </w:tc>
        <w:tc>
          <w:tcPr>
            <w:tcW w:w="2977" w:type="dxa"/>
            <w:vAlign w:val="center"/>
          </w:tcPr>
          <w:p>
            <w:pPr>
              <w:rPr>
                <w:rFonts w:ascii="宋体" w:hAnsi="宋体"/>
                <w:bCs/>
                <w:szCs w:val="21"/>
                <w:lang w:eastAsia="zh-CN"/>
              </w:rPr>
            </w:pPr>
            <w:r>
              <w:rPr>
                <w:rFonts w:hint="eastAsia" w:ascii="宋体" w:hAnsi="宋体"/>
                <w:bCs/>
                <w:szCs w:val="21"/>
                <w:lang w:eastAsia="zh-CN"/>
              </w:rPr>
              <w:t>工商行政管理部门颁发的有效法人营业执照</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提供有效的企业法人营业执照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0" w:type="dxa"/>
            <w:vAlign w:val="center"/>
          </w:tcPr>
          <w:p>
            <w:pPr>
              <w:jc w:val="center"/>
              <w:rPr>
                <w:rFonts w:ascii="宋体" w:hAnsi="宋体"/>
                <w:bCs/>
                <w:szCs w:val="21"/>
              </w:rPr>
            </w:pPr>
            <w:r>
              <w:rPr>
                <w:rFonts w:hint="eastAsia" w:ascii="宋体" w:hAnsi="宋体"/>
                <w:bCs/>
                <w:szCs w:val="21"/>
              </w:rPr>
              <w:t>2</w:t>
            </w:r>
          </w:p>
        </w:tc>
        <w:tc>
          <w:tcPr>
            <w:tcW w:w="1934" w:type="dxa"/>
            <w:vAlign w:val="center"/>
          </w:tcPr>
          <w:p>
            <w:pPr>
              <w:jc w:val="center"/>
              <w:rPr>
                <w:rFonts w:ascii="宋体" w:hAnsi="宋体"/>
                <w:bCs/>
                <w:szCs w:val="21"/>
              </w:rPr>
            </w:pPr>
            <w:r>
              <w:rPr>
                <w:rFonts w:hint="eastAsia" w:ascii="宋体" w:hAnsi="宋体"/>
                <w:bCs/>
                <w:szCs w:val="21"/>
              </w:rPr>
              <w:t>企业资质类别等级</w:t>
            </w:r>
          </w:p>
        </w:tc>
        <w:tc>
          <w:tcPr>
            <w:tcW w:w="2977" w:type="dxa"/>
            <w:vAlign w:val="center"/>
          </w:tcPr>
          <w:p>
            <w:pPr>
              <w:rPr>
                <w:rFonts w:ascii="宋体" w:hAnsi="宋体"/>
                <w:bCs/>
                <w:szCs w:val="21"/>
                <w:lang w:eastAsia="zh-CN"/>
              </w:rPr>
            </w:pPr>
            <w:r>
              <w:rPr>
                <w:rFonts w:hint="eastAsia" w:ascii="宋体" w:hAnsi="宋体"/>
                <w:bCs/>
                <w:szCs w:val="21"/>
                <w:lang w:eastAsia="zh-CN"/>
              </w:rPr>
              <w:t>1、具有中华人民共和国住房和城乡建设部颁发的工程造价咨询甲级资质，并在有效期内。</w:t>
            </w:r>
          </w:p>
          <w:p>
            <w:pPr>
              <w:rPr>
                <w:rFonts w:ascii="宋体" w:hAnsi="宋体"/>
                <w:bCs/>
                <w:szCs w:val="21"/>
                <w:lang w:eastAsia="zh-CN"/>
              </w:rPr>
            </w:pPr>
            <w:r>
              <w:rPr>
                <w:rFonts w:hint="eastAsia" w:ascii="宋体" w:hAnsi="宋体"/>
                <w:bCs/>
                <w:szCs w:val="21"/>
                <w:lang w:eastAsia="zh-CN"/>
              </w:rPr>
              <w:t>2、投标人必须为“南通市审计局、南通市财政局2018年至2021年政府投资项目协审中介机构资源库”的入库成员。</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提供有效的企业资质证书及“南通市审计局、南通市财政局2018年至2021年政府投资项目协审中介机构资源库”的《中标通知书》或《南通市审计局政府投资建设项目组织审计业务协议书》。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0" w:type="dxa"/>
            <w:vAlign w:val="center"/>
          </w:tcPr>
          <w:p>
            <w:pPr>
              <w:jc w:val="center"/>
              <w:rPr>
                <w:rFonts w:ascii="宋体" w:hAnsi="宋体"/>
                <w:bCs/>
                <w:szCs w:val="21"/>
                <w:lang w:eastAsia="zh-CN"/>
              </w:rPr>
            </w:pPr>
            <w:r>
              <w:rPr>
                <w:rFonts w:hint="eastAsia" w:ascii="宋体" w:hAnsi="宋体"/>
                <w:bCs/>
                <w:szCs w:val="21"/>
                <w:lang w:eastAsia="zh-CN"/>
              </w:rPr>
              <w:t>3</w:t>
            </w:r>
          </w:p>
        </w:tc>
        <w:tc>
          <w:tcPr>
            <w:tcW w:w="1934" w:type="dxa"/>
            <w:vAlign w:val="center"/>
          </w:tcPr>
          <w:p>
            <w:pPr>
              <w:jc w:val="center"/>
              <w:rPr>
                <w:rFonts w:ascii="宋体" w:hAnsi="宋体"/>
                <w:bCs/>
                <w:szCs w:val="21"/>
                <w:lang w:eastAsia="zh-CN"/>
              </w:rPr>
            </w:pPr>
            <w:r>
              <w:rPr>
                <w:rFonts w:hint="eastAsia" w:ascii="宋体" w:hAnsi="宋体"/>
                <w:bCs/>
                <w:szCs w:val="21"/>
                <w:lang w:eastAsia="zh-CN"/>
              </w:rPr>
              <w:t>项目负责人</w:t>
            </w:r>
          </w:p>
        </w:tc>
        <w:tc>
          <w:tcPr>
            <w:tcW w:w="2977" w:type="dxa"/>
            <w:vAlign w:val="center"/>
          </w:tcPr>
          <w:p>
            <w:pPr>
              <w:rPr>
                <w:rFonts w:ascii="宋体" w:hAnsi="宋体"/>
                <w:bCs/>
                <w:szCs w:val="21"/>
                <w:lang w:eastAsia="zh-CN"/>
              </w:rPr>
            </w:pPr>
            <w:r>
              <w:rPr>
                <w:rFonts w:hint="eastAsia" w:ascii="宋体" w:hAnsi="宋体"/>
                <w:bCs/>
                <w:szCs w:val="21"/>
                <w:lang w:eastAsia="zh-CN"/>
              </w:rPr>
              <w:t>项目负责人为投标人正式员工，注册年限为15年及以上的国家注册造价工程师，取得高级工程师10年及以上，近三年获得过市优秀造价师称号，自2017年1月1日以来在投标企业任职期间（以合同签订日期为准）有审核政府投资项目（国有投资项目）的业绩（编标或平行编标或结算审核）（提供合同及业主证明材料）。</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相关资格证书、职称证书、工作年限证明、市优秀造价师证明、业绩证明材料（合同及业主证明材料）、2020年1-8月的社保证明、劳动合同等材料。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0" w:type="dxa"/>
            <w:vAlign w:val="center"/>
          </w:tcPr>
          <w:p>
            <w:pPr>
              <w:jc w:val="center"/>
              <w:rPr>
                <w:rFonts w:ascii="宋体" w:hAnsi="宋体"/>
                <w:bCs/>
                <w:szCs w:val="21"/>
                <w:lang w:eastAsia="zh-CN"/>
              </w:rPr>
            </w:pPr>
            <w:r>
              <w:rPr>
                <w:rFonts w:hint="eastAsia" w:ascii="宋体" w:hAnsi="宋体"/>
                <w:bCs/>
                <w:szCs w:val="21"/>
                <w:lang w:eastAsia="zh-CN"/>
              </w:rPr>
              <w:t>4</w:t>
            </w:r>
          </w:p>
        </w:tc>
        <w:tc>
          <w:tcPr>
            <w:tcW w:w="1934" w:type="dxa"/>
            <w:vAlign w:val="center"/>
          </w:tcPr>
          <w:p>
            <w:pPr>
              <w:jc w:val="center"/>
              <w:rPr>
                <w:rFonts w:ascii="宋体" w:hAnsi="宋体"/>
                <w:bCs/>
                <w:szCs w:val="21"/>
                <w:lang w:eastAsia="zh-CN"/>
              </w:rPr>
            </w:pPr>
            <w:r>
              <w:rPr>
                <w:rFonts w:hint="eastAsia" w:ascii="宋体" w:hAnsi="宋体"/>
                <w:bCs/>
                <w:szCs w:val="21"/>
                <w:lang w:eastAsia="zh-CN"/>
              </w:rPr>
              <w:t>项目组成员</w:t>
            </w:r>
          </w:p>
        </w:tc>
        <w:tc>
          <w:tcPr>
            <w:tcW w:w="2977" w:type="dxa"/>
            <w:vAlign w:val="center"/>
          </w:tcPr>
          <w:p>
            <w:pPr>
              <w:rPr>
                <w:rFonts w:ascii="宋体" w:hAnsi="宋体"/>
                <w:bCs/>
                <w:szCs w:val="21"/>
                <w:lang w:eastAsia="zh-CN"/>
              </w:rPr>
            </w:pPr>
            <w:r>
              <w:rPr>
                <w:rFonts w:hint="eastAsia" w:ascii="宋体" w:hAnsi="宋体"/>
                <w:bCs/>
                <w:szCs w:val="21"/>
                <w:lang w:eastAsia="zh-CN"/>
              </w:rPr>
              <w:t>1、拟投入土建主审1人且为投标人正式员工，注册年限为5年及以上的注册工程造价师（须为土建专业，无法反映土建专业的，须同时提供能反映专业的造价工程师执业资格证书或中级及以上造价员资格证书），从事造价工作年限10年及以上，近三年获得过市优秀造价师称号，自2017年1月1日以来在投标企业任职期间（以合同签订日期为准）有审核政府投资项目（国有投资项目）的业绩（编标或平行编标或结算审核）（提供合同及业主证明材料）。</w:t>
            </w:r>
          </w:p>
          <w:p>
            <w:pPr>
              <w:rPr>
                <w:rFonts w:ascii="宋体" w:hAnsi="宋体"/>
                <w:bCs/>
                <w:szCs w:val="21"/>
                <w:lang w:eastAsia="zh-CN"/>
              </w:rPr>
            </w:pPr>
            <w:r>
              <w:rPr>
                <w:rFonts w:hint="eastAsia" w:ascii="宋体" w:hAnsi="宋体"/>
                <w:bCs/>
                <w:szCs w:val="21"/>
                <w:lang w:eastAsia="zh-CN"/>
              </w:rPr>
              <w:t>2、拟投入安装主审1人且为投标人正式员工，注册年限为10年及以上的注册工程造价师（须为安装专业，无法反映安装专业的，须同时提供能反映专业的造价工程师执业资格证书或中级及以上造价员资格证书），从事造价工作年限15年及以上，近三年获得过市优秀造价师称号，自2017年1月1日以来在投标企业任职期间（以合同签订日期为准）有审核政府投资项目（国有投资项目）的业绩（编标或平行编标或结算审核）（提供合同及业主证明材料）。</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相关资格证书、工作年限证明、市优秀造价师证明、业绩证明材料（合同及业主证明材料）、2020年1-8月的社保证明、劳动合同等材料。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0" w:type="dxa"/>
            <w:vAlign w:val="center"/>
          </w:tcPr>
          <w:p>
            <w:pPr>
              <w:jc w:val="center"/>
              <w:rPr>
                <w:rFonts w:ascii="宋体" w:hAnsi="宋体"/>
                <w:bCs/>
                <w:szCs w:val="21"/>
                <w:lang w:eastAsia="zh-CN"/>
              </w:rPr>
            </w:pPr>
            <w:r>
              <w:rPr>
                <w:rFonts w:hint="eastAsia" w:ascii="宋体" w:hAnsi="宋体"/>
                <w:bCs/>
                <w:szCs w:val="21"/>
                <w:lang w:eastAsia="zh-CN"/>
              </w:rPr>
              <w:t>5</w:t>
            </w:r>
          </w:p>
        </w:tc>
        <w:tc>
          <w:tcPr>
            <w:tcW w:w="1934" w:type="dxa"/>
            <w:vAlign w:val="center"/>
          </w:tcPr>
          <w:p>
            <w:pPr>
              <w:jc w:val="center"/>
              <w:rPr>
                <w:rFonts w:ascii="宋体" w:hAnsi="宋体"/>
                <w:bCs/>
                <w:szCs w:val="21"/>
                <w:lang w:eastAsia="zh-CN"/>
              </w:rPr>
            </w:pPr>
            <w:r>
              <w:rPr>
                <w:rFonts w:hint="eastAsia" w:ascii="宋体" w:hAnsi="宋体"/>
                <w:bCs/>
                <w:szCs w:val="21"/>
                <w:lang w:eastAsia="zh-CN"/>
              </w:rPr>
              <w:t>办公地点</w:t>
            </w:r>
          </w:p>
        </w:tc>
        <w:tc>
          <w:tcPr>
            <w:tcW w:w="2977" w:type="dxa"/>
            <w:vAlign w:val="center"/>
          </w:tcPr>
          <w:p>
            <w:pPr>
              <w:rPr>
                <w:rFonts w:ascii="宋体" w:hAnsi="宋体"/>
                <w:bCs/>
                <w:szCs w:val="21"/>
                <w:lang w:eastAsia="zh-CN"/>
              </w:rPr>
            </w:pPr>
            <w:r>
              <w:rPr>
                <w:rFonts w:hint="eastAsia" w:ascii="宋体" w:hAnsi="宋体"/>
                <w:bCs/>
                <w:szCs w:val="21"/>
                <w:lang w:eastAsia="zh-CN"/>
              </w:rPr>
              <w:t>在南通市区有固定办公地点，且办公地在40分钟内能赶到现场进行审计服务的。</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提供房屋租赁合同或房产证、办公地在40分钟内能赶到现场进行审计服务的承诺书（格式自拟）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60" w:type="dxa"/>
            <w:vAlign w:val="center"/>
          </w:tcPr>
          <w:p>
            <w:pPr>
              <w:jc w:val="center"/>
              <w:rPr>
                <w:rFonts w:ascii="宋体" w:hAnsi="宋体"/>
                <w:bCs/>
                <w:szCs w:val="21"/>
                <w:lang w:eastAsia="zh-CN"/>
              </w:rPr>
            </w:pPr>
            <w:r>
              <w:rPr>
                <w:rFonts w:hint="eastAsia" w:ascii="宋体" w:hAnsi="宋体"/>
                <w:bCs/>
                <w:szCs w:val="21"/>
                <w:lang w:eastAsia="zh-CN"/>
              </w:rPr>
              <w:t>6</w:t>
            </w:r>
          </w:p>
        </w:tc>
        <w:tc>
          <w:tcPr>
            <w:tcW w:w="1934" w:type="dxa"/>
            <w:vAlign w:val="center"/>
          </w:tcPr>
          <w:p>
            <w:pPr>
              <w:jc w:val="center"/>
              <w:rPr>
                <w:rFonts w:ascii="宋体" w:hAnsi="宋体"/>
                <w:bCs/>
                <w:szCs w:val="21"/>
                <w:lang w:eastAsia="zh-CN"/>
              </w:rPr>
            </w:pPr>
            <w:r>
              <w:rPr>
                <w:rFonts w:hint="eastAsia" w:ascii="宋体" w:hAnsi="宋体"/>
                <w:bCs/>
                <w:szCs w:val="21"/>
                <w:lang w:eastAsia="zh-CN"/>
              </w:rPr>
              <w:t>第四章投标文件格式</w:t>
            </w:r>
          </w:p>
        </w:tc>
        <w:tc>
          <w:tcPr>
            <w:tcW w:w="2977" w:type="dxa"/>
            <w:vAlign w:val="center"/>
          </w:tcPr>
          <w:p>
            <w:pPr>
              <w:rPr>
                <w:rFonts w:ascii="宋体" w:hAnsi="宋体"/>
                <w:bCs/>
                <w:szCs w:val="21"/>
                <w:lang w:eastAsia="zh-CN"/>
              </w:rPr>
            </w:pPr>
            <w:r>
              <w:rPr>
                <w:rFonts w:hint="eastAsia" w:ascii="宋体" w:hAnsi="宋体"/>
                <w:bCs/>
                <w:szCs w:val="21"/>
                <w:lang w:eastAsia="zh-CN"/>
              </w:rPr>
              <w:t>提供第四章投标文件格式所有内容</w:t>
            </w:r>
          </w:p>
        </w:tc>
        <w:tc>
          <w:tcPr>
            <w:tcW w:w="3535" w:type="dxa"/>
            <w:vAlign w:val="center"/>
          </w:tcPr>
          <w:p>
            <w:pPr>
              <w:jc w:val="center"/>
              <w:rPr>
                <w:rFonts w:ascii="宋体" w:hAnsi="宋体"/>
                <w:bCs/>
                <w:szCs w:val="21"/>
                <w:lang w:eastAsia="zh-CN"/>
              </w:rPr>
            </w:pPr>
            <w:r>
              <w:rPr>
                <w:rFonts w:hint="eastAsia" w:ascii="宋体" w:hAnsi="宋体"/>
                <w:bCs/>
                <w:szCs w:val="21"/>
                <w:lang w:eastAsia="zh-CN"/>
              </w:rPr>
              <w:t>提供第四章投标文件格式所有内容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660" w:type="dxa"/>
            <w:vAlign w:val="center"/>
          </w:tcPr>
          <w:p>
            <w:pPr>
              <w:ind w:firstLine="432"/>
              <w:jc w:val="center"/>
              <w:rPr>
                <w:rFonts w:ascii="宋体" w:hAnsi="宋体"/>
                <w:bCs/>
                <w:szCs w:val="21"/>
                <w:lang w:eastAsia="zh-CN"/>
              </w:rPr>
            </w:pPr>
          </w:p>
        </w:tc>
        <w:tc>
          <w:tcPr>
            <w:tcW w:w="8446" w:type="dxa"/>
            <w:gridSpan w:val="3"/>
            <w:vAlign w:val="center"/>
          </w:tcPr>
          <w:p>
            <w:pPr>
              <w:spacing w:line="276" w:lineRule="auto"/>
              <w:rPr>
                <w:rFonts w:ascii="宋体" w:hAnsi="宋体"/>
                <w:bCs/>
                <w:szCs w:val="21"/>
                <w:lang w:eastAsia="zh-CN"/>
              </w:rPr>
            </w:pPr>
            <w:r>
              <w:rPr>
                <w:rFonts w:hint="eastAsia" w:ascii="宋体" w:hAnsi="宋体"/>
                <w:bCs/>
                <w:szCs w:val="21"/>
                <w:lang w:eastAsia="zh-CN"/>
              </w:rPr>
              <w:t>备注：1、上述所提供资料要求是复印件加盖公章，同时原件开标时带至开标现场备查，如因提供复印件不清楚而投标人未带原件备查的，做废标处理。</w:t>
            </w:r>
          </w:p>
          <w:p>
            <w:pPr>
              <w:spacing w:line="276" w:lineRule="auto"/>
              <w:rPr>
                <w:rFonts w:ascii="宋体" w:hAnsi="宋体"/>
                <w:bCs/>
                <w:szCs w:val="21"/>
                <w:lang w:eastAsia="zh-CN"/>
              </w:rPr>
            </w:pPr>
            <w:r>
              <w:rPr>
                <w:rFonts w:hint="eastAsia" w:ascii="宋体" w:hAnsi="宋体"/>
                <w:bCs/>
                <w:szCs w:val="21"/>
                <w:lang w:eastAsia="zh-CN"/>
              </w:rPr>
              <w:t>2、土建主审、安装主审及项目负责人不能是同一人。</w:t>
            </w:r>
          </w:p>
        </w:tc>
      </w:tr>
    </w:tbl>
    <w:p>
      <w:pPr>
        <w:snapToGrid w:val="0"/>
        <w:spacing w:before="120" w:beforeLines="50" w:after="120" w:afterLines="50" w:line="440" w:lineRule="exact"/>
        <w:ind w:firstLine="560" w:firstLineChars="200"/>
        <w:rPr>
          <w:rFonts w:ascii="黑体" w:hAnsi="黑体" w:eastAsia="黑体" w:cs="黑体"/>
          <w:bCs/>
          <w:sz w:val="28"/>
          <w:szCs w:val="28"/>
          <w:lang w:val="zh-CN" w:eastAsia="zh-CN"/>
        </w:rPr>
      </w:pPr>
      <w:r>
        <w:rPr>
          <w:rFonts w:hint="eastAsia" w:ascii="黑体" w:hAnsi="黑体" w:eastAsia="黑体" w:cs="黑体"/>
          <w:bCs/>
          <w:sz w:val="28"/>
          <w:szCs w:val="28"/>
          <w:lang w:val="zh-CN" w:eastAsia="zh-CN"/>
        </w:rPr>
        <w:t>二、商务标（100分）</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1、确定有效报价</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本项目采用固定下浮率报价，约定下浮率为正数。本项目最高下浮率为100%，高于或等于100%的为无效报价，低于100%的为有效投标。</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备注：高于100%招标人是指101%、102%等等，低于100%是指99%、98%等等。</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2、评标基准价的确定：</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所有有效报价（下浮率）的算术平均值作为评标基准价（基准价保留小数点后两位，第三位四舍五入）。</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3、计算商务标得分</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（1）投标人的投标报价（下浮率）与评标基准价相等的得100分。</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（2）当投标人的投标报价（下浮率）低于评标基准价时，低于且最接近于评标基准价的扣2分，次低于评标基准价的扣4分，次次低于评标基准价的扣6分，以2的倍数以此类推扣分。</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（3）当投标人的投标报价（下浮率）高于评标基准价时，高于且最接近于评标基准价的扣1分，次高于评标基准价的扣2分，次次高于评标基准价的扣3分，以1的倍数以此类推扣分。</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对于上述（1）、（2）、（3）的评分说明：如投标报价为A单位下浮率90%，B单位下浮率80%，C单位下浮率70%，则评标基准价为80.00%，则B单位的80%为评标基准价且得分为100分，低于评标基准价的下浮率为A单位的70%（得分为98分），高于评标基准价的下浮率为C单位的90%（得分为99分）。</w:t>
      </w:r>
    </w:p>
    <w:p>
      <w:pPr>
        <w:snapToGrid w:val="0"/>
        <w:spacing w:before="120" w:beforeLines="50" w:after="120" w:afterLines="50" w:line="440" w:lineRule="exact"/>
        <w:ind w:firstLine="560" w:firstLineChars="200"/>
        <w:rPr>
          <w:rFonts w:ascii="黑体" w:hAnsi="黑体" w:eastAsia="黑体" w:cs="黑体"/>
          <w:bCs/>
          <w:sz w:val="28"/>
          <w:szCs w:val="28"/>
          <w:lang w:val="zh-CN" w:eastAsia="zh-CN"/>
        </w:rPr>
      </w:pPr>
      <w:r>
        <w:rPr>
          <w:rFonts w:hint="eastAsia" w:ascii="黑体" w:hAnsi="黑体" w:eastAsia="黑体" w:cs="黑体"/>
          <w:bCs/>
          <w:sz w:val="28"/>
          <w:szCs w:val="28"/>
          <w:lang w:val="zh-CN" w:eastAsia="zh-CN"/>
        </w:rPr>
        <w:t>四、中标人的确定</w:t>
      </w:r>
    </w:p>
    <w:p>
      <w:pPr>
        <w:snapToGrid w:val="0"/>
        <w:spacing w:before="120" w:beforeLines="50" w:after="120" w:afterLines="50" w:line="440" w:lineRule="exact"/>
        <w:ind w:firstLine="480" w:firstLineChars="200"/>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本项目第一中标候选人为得分最高的投标人，如得分相同，则现场抽签确定。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napToGrid w:val="0"/>
        <w:spacing w:before="120" w:beforeLines="50" w:after="120" w:afterLines="50" w:line="440" w:lineRule="exact"/>
        <w:ind w:firstLine="560" w:firstLineChars="200"/>
        <w:rPr>
          <w:rFonts w:ascii="黑体" w:hAnsi="黑体" w:eastAsia="黑体" w:cs="黑体"/>
          <w:bCs/>
          <w:sz w:val="28"/>
          <w:szCs w:val="28"/>
          <w:lang w:val="zh-CN" w:eastAsia="zh-CN"/>
        </w:rPr>
      </w:pPr>
      <w:r>
        <w:rPr>
          <w:rFonts w:hint="eastAsia" w:ascii="黑体" w:hAnsi="黑体" w:eastAsia="黑体" w:cs="黑体"/>
          <w:bCs/>
          <w:sz w:val="28"/>
          <w:szCs w:val="28"/>
          <w:lang w:val="zh-CN" w:eastAsia="zh-CN"/>
        </w:rPr>
        <w:t>五、其他注意事项</w:t>
      </w:r>
    </w:p>
    <w:p>
      <w:pPr>
        <w:snapToGrid w:val="0"/>
        <w:spacing w:line="440" w:lineRule="exact"/>
        <w:ind w:firstLine="573"/>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1.在投标、开标期间，投标人不得向评委询问情况，不得进行旨在影响评标结果的活动。</w:t>
      </w:r>
    </w:p>
    <w:p>
      <w:pPr>
        <w:snapToGrid w:val="0"/>
        <w:spacing w:line="440" w:lineRule="exact"/>
        <w:ind w:firstLine="573"/>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2.评委会不得向投标人解释落标原因。</w:t>
      </w:r>
    </w:p>
    <w:p>
      <w:pPr>
        <w:snapToGrid w:val="0"/>
        <w:spacing w:line="440" w:lineRule="exact"/>
        <w:ind w:firstLine="573"/>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3.</w:t>
      </w:r>
      <w:r>
        <w:rPr>
          <w:rFonts w:asciiTheme="majorEastAsia" w:hAnsiTheme="majorEastAsia" w:eastAsiaTheme="majorEastAsia" w:cstheme="majorEastAsia"/>
          <w:sz w:val="24"/>
          <w:szCs w:val="24"/>
          <w:lang w:eastAsia="zh-CN"/>
        </w:rPr>
        <w:t xml:space="preserve"> </w:t>
      </w:r>
      <w:r>
        <w:rPr>
          <w:rFonts w:hint="eastAsia" w:asciiTheme="majorEastAsia" w:hAnsiTheme="majorEastAsia" w:eastAsiaTheme="majorEastAsia" w:cstheme="majorEastAsia"/>
          <w:sz w:val="24"/>
          <w:szCs w:val="24"/>
          <w:lang w:eastAsia="zh-CN"/>
        </w:rPr>
        <w:t>凡在投标、开标过程中，招标人已提示是否异议的事项，投标人当时没有提出异议的，事后投标人不得针对上述事项提出质疑。</w:t>
      </w:r>
    </w:p>
    <w:p>
      <w:pPr>
        <w:snapToGrid w:val="0"/>
        <w:spacing w:line="440" w:lineRule="exact"/>
        <w:ind w:firstLine="573"/>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4.</w:t>
      </w:r>
      <w:r>
        <w:rPr>
          <w:rFonts w:asciiTheme="majorEastAsia" w:hAnsiTheme="majorEastAsia" w:eastAsiaTheme="majorEastAsia" w:cstheme="majorEastAsia"/>
          <w:sz w:val="24"/>
          <w:szCs w:val="24"/>
          <w:lang w:eastAsia="zh-CN"/>
        </w:rPr>
        <w:t xml:space="preserve"> </w:t>
      </w:r>
      <w:r>
        <w:rPr>
          <w:rFonts w:hint="eastAsia" w:asciiTheme="majorEastAsia" w:hAnsiTheme="majorEastAsia" w:eastAsiaTheme="majorEastAsia" w:cstheme="majorEastAsia"/>
          <w:b/>
          <w:bCs/>
          <w:sz w:val="24"/>
          <w:szCs w:val="24"/>
          <w:lang w:eastAsia="zh-CN"/>
        </w:rPr>
        <w:t>投标人如在投标文件中弄虚作假，一经发现，将取消投标人今后承接招标人组织审计业务的资格。</w:t>
      </w:r>
    </w:p>
    <w:p>
      <w:pPr>
        <w:pStyle w:val="2"/>
        <w:spacing w:line="360" w:lineRule="auto"/>
        <w:ind w:left="0"/>
        <w:jc w:val="center"/>
        <w:rPr>
          <w:rFonts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w w:val="99"/>
          <w:lang w:eastAsia="zh-CN"/>
        </w:rPr>
        <w:t xml:space="preserve"> </w:t>
      </w:r>
      <w:r>
        <w:rPr>
          <w:rFonts w:hint="eastAsia" w:ascii="方正小标宋简体" w:hAnsi="方正小标宋简体" w:eastAsia="方正小标宋简体" w:cs="方正小标宋简体"/>
          <w:b w:val="0"/>
          <w:bCs w:val="0"/>
          <w:spacing w:val="2"/>
          <w:lang w:eastAsia="zh-CN"/>
        </w:rPr>
        <w:t>第三章</w:t>
      </w:r>
      <w:r>
        <w:rPr>
          <w:rFonts w:hint="eastAsia" w:ascii="方正小标宋简体" w:hAnsi="方正小标宋简体" w:eastAsia="方正小标宋简体" w:cs="方正小标宋简体"/>
          <w:b w:val="0"/>
          <w:bCs w:val="0"/>
          <w:spacing w:val="209"/>
          <w:lang w:eastAsia="zh-CN"/>
        </w:rPr>
        <w:t xml:space="preserve"> </w:t>
      </w:r>
      <w:r>
        <w:rPr>
          <w:rFonts w:hint="eastAsia" w:ascii="方正小标宋简体" w:hAnsi="方正小标宋简体" w:eastAsia="方正小标宋简体" w:cs="方正小标宋简体"/>
          <w:b w:val="0"/>
          <w:bCs w:val="0"/>
          <w:lang w:eastAsia="zh-CN"/>
        </w:rPr>
        <w:t>合同条款</w:t>
      </w:r>
      <w:r>
        <w:rPr>
          <w:rFonts w:hint="eastAsia" w:ascii="方正小标宋简体" w:hAnsi="方正小标宋简体" w:eastAsia="方正小标宋简体" w:cs="方正小标宋简体"/>
          <w:b w:val="0"/>
          <w:bCs w:val="0"/>
          <w:w w:val="99"/>
          <w:lang w:eastAsia="zh-CN"/>
        </w:rPr>
        <w:t xml:space="preserve"> </w:t>
      </w:r>
    </w:p>
    <w:p>
      <w:pPr>
        <w:spacing w:line="480" w:lineRule="exact"/>
        <w:jc w:val="center"/>
        <w:rPr>
          <w:rFonts w:ascii="新宋体" w:hAnsi="新宋体" w:eastAsia="新宋体"/>
          <w:b/>
          <w:sz w:val="36"/>
          <w:szCs w:val="36"/>
          <w:lang w:eastAsia="zh-CN"/>
        </w:rPr>
      </w:pPr>
      <w:r>
        <w:rPr>
          <w:rFonts w:hint="eastAsia" w:ascii="新宋体" w:hAnsi="新宋体" w:eastAsia="新宋体"/>
          <w:b/>
          <w:sz w:val="44"/>
          <w:szCs w:val="36"/>
          <w:lang w:eastAsia="zh-CN"/>
        </w:rPr>
        <w:t>建设工程造价咨询委托协议书</w:t>
      </w:r>
    </w:p>
    <w:p>
      <w:pPr>
        <w:spacing w:line="480" w:lineRule="exact"/>
        <w:rPr>
          <w:rFonts w:ascii="仿宋_GB2312" w:hAnsi="新宋体" w:eastAsia="仿宋_GB2312"/>
          <w:b/>
          <w:sz w:val="24"/>
          <w:szCs w:val="24"/>
          <w:lang w:eastAsia="zh-CN"/>
        </w:rPr>
      </w:pP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b/>
          <w:sz w:val="24"/>
          <w:szCs w:val="24"/>
          <w:lang w:eastAsia="zh-CN"/>
        </w:rPr>
        <w:t>委托方：</w:t>
      </w:r>
      <w:r>
        <w:rPr>
          <w:rFonts w:asciiTheme="majorEastAsia" w:hAnsiTheme="majorEastAsia" w:eastAsiaTheme="majorEastAsia"/>
          <w:b/>
          <w:sz w:val="24"/>
          <w:szCs w:val="24"/>
          <w:u w:val="single"/>
          <w:lang w:eastAsia="zh-CN"/>
        </w:rPr>
        <w:t xml:space="preserve">                      </w:t>
      </w:r>
      <w:r>
        <w:rPr>
          <w:rFonts w:hint="eastAsia" w:asciiTheme="majorEastAsia" w:hAnsiTheme="majorEastAsia" w:eastAsiaTheme="majorEastAsia"/>
          <w:sz w:val="24"/>
          <w:szCs w:val="24"/>
          <w:u w:val="single"/>
          <w:lang w:eastAsia="zh-CN"/>
        </w:rPr>
        <w:t>（</w:t>
      </w:r>
      <w:r>
        <w:rPr>
          <w:rFonts w:hint="eastAsia" w:asciiTheme="majorEastAsia" w:hAnsiTheme="majorEastAsia" w:eastAsiaTheme="majorEastAsia"/>
          <w:sz w:val="24"/>
          <w:szCs w:val="24"/>
          <w:lang w:eastAsia="zh-CN"/>
        </w:rPr>
        <w:t>以下简称“委托人”）</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b/>
          <w:sz w:val="24"/>
          <w:szCs w:val="24"/>
          <w:lang w:eastAsia="zh-CN"/>
        </w:rPr>
        <w:t>受托方：</w:t>
      </w:r>
      <w:r>
        <w:rPr>
          <w:rFonts w:hint="eastAsia" w:asciiTheme="majorEastAsia" w:hAnsiTheme="majorEastAsia" w:eastAsiaTheme="majorEastAsia"/>
          <w:b/>
          <w:sz w:val="24"/>
          <w:szCs w:val="24"/>
          <w:u w:val="single"/>
          <w:lang w:eastAsia="zh-CN"/>
        </w:rPr>
        <w:t xml:space="preserve"> </w:t>
      </w:r>
      <w:r>
        <w:rPr>
          <w:rFonts w:asciiTheme="majorEastAsia" w:hAnsiTheme="majorEastAsia" w:eastAsiaTheme="majorEastAsia"/>
          <w:b/>
          <w:sz w:val="24"/>
          <w:szCs w:val="24"/>
          <w:u w:val="single"/>
          <w:lang w:eastAsia="zh-CN"/>
        </w:rPr>
        <w:t xml:space="preserve">                       </w:t>
      </w:r>
      <w:r>
        <w:rPr>
          <w:rFonts w:hint="eastAsia" w:asciiTheme="majorEastAsia" w:hAnsiTheme="majorEastAsia" w:eastAsiaTheme="majorEastAsia"/>
          <w:sz w:val="24"/>
          <w:szCs w:val="24"/>
          <w:lang w:eastAsia="zh-CN"/>
        </w:rPr>
        <w:t>（以下简称“工程造价咨询单位”）</w:t>
      </w:r>
    </w:p>
    <w:p>
      <w:pPr>
        <w:spacing w:line="480" w:lineRule="exact"/>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施工方：</w:t>
      </w:r>
      <w:r>
        <w:rPr>
          <w:rFonts w:hint="eastAsia" w:asciiTheme="majorEastAsia" w:hAnsiTheme="majorEastAsia" w:eastAsiaTheme="majorEastAsia"/>
          <w:b/>
          <w:sz w:val="24"/>
          <w:szCs w:val="24"/>
          <w:u w:val="single"/>
          <w:lang w:eastAsia="zh-CN"/>
        </w:rPr>
        <w:t xml:space="preserve">                                    </w:t>
      </w:r>
    </w:p>
    <w:p>
      <w:pPr>
        <w:spacing w:line="480" w:lineRule="exact"/>
        <w:ind w:firstLine="360" w:firstLineChars="15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委托人、工程造价咨询单位及施工方三方协商一致，签订本协议书。</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一、委托人委托工程造价咨询单位为以下项目提供建设工程结算审核服务：</w:t>
      </w:r>
    </w:p>
    <w:p>
      <w:pPr>
        <w:spacing w:line="480" w:lineRule="exact"/>
        <w:ind w:firstLine="240" w:firstLineChars="100"/>
        <w:rPr>
          <w:rFonts w:asciiTheme="majorEastAsia" w:hAnsiTheme="majorEastAsia" w:eastAsiaTheme="majorEastAsia"/>
          <w:sz w:val="24"/>
          <w:szCs w:val="24"/>
          <w:u w:val="single"/>
          <w:lang w:eastAsia="zh-CN"/>
        </w:rPr>
      </w:pPr>
      <w:r>
        <w:rPr>
          <w:rFonts w:hint="eastAsia" w:asciiTheme="majorEastAsia" w:hAnsiTheme="majorEastAsia" w:eastAsiaTheme="majorEastAsia"/>
          <w:sz w:val="24"/>
          <w:szCs w:val="24"/>
          <w:lang w:eastAsia="zh-CN"/>
        </w:rPr>
        <w:t>（一）项目名称：2020年-2025年度直管公房修缮与维护工程结算审核服务</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（二）咨询业务内容：完成2020年-2025年度直管公房日常小零修、中修、专项、应急抢险维修工程及公共租赁房屋简装工程等结算审核，出具审计报告，并按招标人的要求编写相关的审计文书、移交相关审计资料。</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（三）咨询业务时限：服务期限为五年，2020年10月</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日至2025年9月</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日。每年经委托人考核合格后签订次年合同。</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二、双方约定的由委托人提供的工程造价资料及提供的时间：按照委托人的修缮与维护工程进度计划提供。</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三、工程造价咨询单位根据委托人提供的工程竣工结算资料及国家和省、市建设行政主管部门的有关工程造价计价的依据。按照委托人的修缮与维护工程结算进度提交审核报告。</w:t>
      </w:r>
    </w:p>
    <w:p>
      <w:pPr>
        <w:spacing w:line="480" w:lineRule="exact"/>
        <w:ind w:left="360" w:hanging="360" w:hangingChars="15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四、三方约定的付款方式、付款方、付款时间和收费标准：</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（一）付款方式：银行转账。</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（二）付款方：工程决算价高于2万元的单体项目，审计费用由施工方支付；工程决算价低于2万元的单体项目，审计费用由委托方支付。其中：公共租赁房屋简装工程，同一套型打包合并后作为一个单体项目。</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（三）付款时间：工程造价咨询单位向委托人提交工程造价咨询报告书，付款方在收到工程造价咨询单位开具的符合税务要求的工程发票后15日内一次性付清。</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（四）计费标准：</w:t>
      </w:r>
    </w:p>
    <w:p>
      <w:pPr>
        <w:spacing w:line="480"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本项目为固定下浮率合同，约定下浮率为正数，每个工程的最终结算价为委托人规定的计费标准*（1-中标下浮率）。</w:t>
      </w:r>
    </w:p>
    <w:p>
      <w:pPr>
        <w:spacing w:line="480"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最终结算计费标准如下：</w:t>
      </w:r>
    </w:p>
    <w:p>
      <w:pPr>
        <w:spacing w:line="480"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1、公共租赁房屋简装工程：每个套型</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元【1000元*（1-中标下浮率）】，按实际套型数量结算；</w:t>
      </w:r>
    </w:p>
    <w:p>
      <w:pPr>
        <w:spacing w:line="480"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2、小零修项目：按每两个月合并为一个项目送审，每个项目</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元【1500元*（1-中标下浮率）】，按合并后项目数量结算；</w:t>
      </w:r>
    </w:p>
    <w:p>
      <w:pPr>
        <w:spacing w:line="480"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3、其它项目：工程决算价高于2万元的单体项目，每个项目</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元【1000元*（1-中标下浮率）】；工程决算价低于2万元的单体项目，按送审金额合并，超过两万元时，作为一个项目送审，每个项目</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元【1000元*（1-中标下浮率）】，按合并后项目数量结算。</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五、工程造价咨询单位的义务：</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（一）向委托人提供与工程造价咨询业务有关的资料，包括工程造价咨询的资质证书及承担本合同业务的专业人员名单、咨询工作计划等，并按合同专用条件中约定的范围实施咨询业务。</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（二）在履行本协议期限内，协助委托人实现预定工程造价咨询目标，公正地维护各方的合法权利。遵守法律、法规，努力做到公正、合理、准确地提供工程造价审核报告。</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（三）对已形成资料的合规性、合理性、完整性作出评价。</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（四）在履行合同期间或合同规定期限内，不得泄露与本合同规定业务活动有关的保密资料和商业秘密；如有违反按有关法律法规处罚。</w:t>
      </w:r>
    </w:p>
    <w:p>
      <w:pPr>
        <w:spacing w:line="480" w:lineRule="exact"/>
        <w:ind w:left="480" w:hanging="480" w:hanging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六、委托人的义务：</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（一）委托人应负责与本建设工程造价咨询业务有关的第三人的协调，为咨询人工作提供外部条件。</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（二）委托人应当在约定的时间内，免费向咨询人提供与本项目咨询所需的详实资料，并对提交的时间、进度、质量及真实、合法、完整性负责。</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（三）在履行合同期间或合同规定期限内，委托人选派一名熟悉业务，知晓法律、法规、能独立作出决定的联系代表给予配合，提供依据、证据。</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七、工程造价咨询单位的责任：</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（一）工程造价咨询单位的责任期即建设工程造价咨询合同有效期；如因非工程造价咨询单位的责任造成审核进度的推迟或延误，超过约定的日期，双方应进一步约定相应延长合同有效期。</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（二）工程造价咨询单位应在委托协议的有效期内，向委托人提交完整、准确的工程造价审核成果，并留有完整、准确的资料档案，以便查证。</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八、委托人的责任：</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(一)委托人应当履行建设工程造价咨询合同约定的义务，如有违反则应当承担违约责任，赔偿给咨询人造成的损失。</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(二)委托人应当在约定的时间内就工程造价咨询单位书面提交并要求做出答复的事宜做出书面答复。咨询人要求第三人提供有关资料时，委托人应负责转达及资料转送。</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九、争议与仲裁</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建设工程造价咨询合同在履行过程中发生争议，委托人与咨询人应及时协商解决；如未能达成一致，可提交有关主管部门调解；协商或调解不成的，按下列第（二）种方式解决：</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（一）提交南通市仲裁委员会仲裁。</w:t>
      </w:r>
    </w:p>
    <w:p>
      <w:pPr>
        <w:spacing w:line="480" w:lineRule="exact"/>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（二）依法向人民法院起诉。</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十、本合同一式六份，具有同等法律效力，委托方执两份，受委托方执两份，施工方各执一份，委托方、受委托方与施工方签字盖章后生效。</w:t>
      </w:r>
    </w:p>
    <w:p>
      <w:pPr>
        <w:spacing w:line="480" w:lineRule="exact"/>
        <w:rPr>
          <w:rFonts w:asciiTheme="majorEastAsia" w:hAnsiTheme="majorEastAsia" w:eastAsiaTheme="majorEastAsia"/>
          <w:sz w:val="24"/>
          <w:szCs w:val="24"/>
          <w:lang w:eastAsia="zh-CN"/>
        </w:rPr>
      </w:pP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委托人：（盖章）</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法定代表人：（签字）</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委托代理人：（签字）  </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电话：      </w:t>
      </w:r>
    </w:p>
    <w:p>
      <w:pPr>
        <w:spacing w:line="480" w:lineRule="exact"/>
        <w:rPr>
          <w:rFonts w:asciiTheme="majorEastAsia" w:hAnsiTheme="majorEastAsia" w:eastAsiaTheme="majorEastAsia"/>
          <w:sz w:val="24"/>
          <w:szCs w:val="24"/>
          <w:lang w:eastAsia="zh-CN"/>
        </w:rPr>
      </w:pP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工程造价咨询单位：（盖章）</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法定代表人：（签字）</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委托代理人：（签字）</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电话：</w:t>
      </w:r>
    </w:p>
    <w:p>
      <w:pPr>
        <w:spacing w:line="480" w:lineRule="exact"/>
        <w:rPr>
          <w:rFonts w:asciiTheme="majorEastAsia" w:hAnsiTheme="majorEastAsia" w:eastAsiaTheme="majorEastAsia"/>
          <w:sz w:val="24"/>
          <w:szCs w:val="24"/>
          <w:lang w:eastAsia="zh-CN"/>
        </w:rPr>
      </w:pP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施工方：（盖章）                      </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法定代表人：（签字）</w:t>
      </w:r>
    </w:p>
    <w:p>
      <w:pPr>
        <w:spacing w:line="48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电话：                      </w:t>
      </w:r>
    </w:p>
    <w:p>
      <w:pPr>
        <w:spacing w:line="480" w:lineRule="exact"/>
        <w:rPr>
          <w:rFonts w:asciiTheme="majorEastAsia" w:hAnsiTheme="majorEastAsia" w:eastAsiaTheme="majorEastAsia"/>
          <w:sz w:val="24"/>
          <w:szCs w:val="24"/>
          <w:lang w:eastAsia="zh-CN"/>
        </w:rPr>
      </w:pPr>
    </w:p>
    <w:p>
      <w:pPr>
        <w:spacing w:line="480" w:lineRule="exact"/>
        <w:rPr>
          <w:rFonts w:asciiTheme="majorEastAsia" w:hAnsiTheme="majorEastAsia" w:eastAsiaTheme="majorEastAsia"/>
          <w:sz w:val="24"/>
          <w:szCs w:val="24"/>
          <w:lang w:eastAsia="zh-CN"/>
        </w:rPr>
      </w:pPr>
    </w:p>
    <w:p>
      <w:pPr>
        <w:wordWrap w:val="0"/>
        <w:spacing w:line="480" w:lineRule="exact"/>
        <w:jc w:val="righ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　  合同签订日期： </w:t>
      </w:r>
      <w:r>
        <w:rPr>
          <w:rFonts w:asciiTheme="majorEastAsia" w:hAnsiTheme="majorEastAsia" w:eastAsiaTheme="majorEastAsia"/>
          <w:sz w:val="24"/>
          <w:szCs w:val="24"/>
          <w:lang w:eastAsia="zh-CN"/>
        </w:rPr>
        <w:t xml:space="preserve">        </w:t>
      </w:r>
    </w:p>
    <w:p>
      <w:pPr>
        <w:spacing w:line="480" w:lineRule="exact"/>
        <w:rPr>
          <w:rFonts w:asciiTheme="majorEastAsia" w:hAnsiTheme="majorEastAsia" w:eastAsiaTheme="majorEastAsia"/>
          <w:sz w:val="24"/>
          <w:szCs w:val="24"/>
          <w:lang w:eastAsia="zh-CN"/>
        </w:rPr>
      </w:pPr>
    </w:p>
    <w:p>
      <w:pPr>
        <w:widowControl/>
        <w:rPr>
          <w:rFonts w:ascii="方正小标宋简体" w:hAnsi="方正小标宋简体" w:eastAsia="方正小标宋简体" w:cs="方正小标宋简体"/>
          <w:spacing w:val="2"/>
          <w:sz w:val="24"/>
          <w:szCs w:val="24"/>
          <w:lang w:eastAsia="zh-CN"/>
        </w:rPr>
      </w:pPr>
      <w:r>
        <w:rPr>
          <w:rFonts w:ascii="方正小标宋简体" w:hAnsi="方正小标宋简体" w:eastAsia="方正小标宋简体" w:cs="方正小标宋简体"/>
          <w:spacing w:val="2"/>
          <w:sz w:val="24"/>
          <w:szCs w:val="24"/>
          <w:lang w:eastAsia="zh-CN"/>
        </w:rPr>
        <w:br w:type="page"/>
      </w:r>
    </w:p>
    <w:p>
      <w:pPr>
        <w:spacing w:after="240" w:line="539" w:lineRule="exact"/>
        <w:ind w:left="334"/>
        <w:jc w:val="center"/>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2"/>
          <w:sz w:val="44"/>
          <w:szCs w:val="44"/>
          <w:lang w:eastAsia="zh-CN"/>
        </w:rPr>
        <w:t>第四章</w:t>
      </w:r>
      <w:r>
        <w:rPr>
          <w:rFonts w:hint="eastAsia" w:ascii="方正小标宋简体" w:hAnsi="方正小标宋简体" w:eastAsia="方正小标宋简体" w:cs="方正小标宋简体"/>
          <w:spacing w:val="-13"/>
          <w:sz w:val="44"/>
          <w:szCs w:val="44"/>
          <w:lang w:eastAsia="zh-CN"/>
        </w:rPr>
        <w:t xml:space="preserve">  </w:t>
      </w:r>
      <w:r>
        <w:rPr>
          <w:rFonts w:hint="eastAsia" w:ascii="方正小标宋简体" w:hAnsi="方正小标宋简体" w:eastAsia="方正小标宋简体" w:cs="方正小标宋简体"/>
          <w:sz w:val="44"/>
          <w:szCs w:val="44"/>
          <w:lang w:eastAsia="zh-CN"/>
        </w:rPr>
        <w:t>投标文件格式</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（封面）</w:t>
      </w:r>
    </w:p>
    <w:p>
      <w:pPr>
        <w:jc w:val="center"/>
        <w:rPr>
          <w:rFonts w:asciiTheme="majorEastAsia" w:hAnsiTheme="majorEastAsia" w:eastAsiaTheme="majorEastAsia" w:cstheme="majorEastAsia"/>
          <w:sz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u w:val="single" w:color="000000"/>
          <w:lang w:eastAsia="zh-CN"/>
        </w:rPr>
        <w:t>（项   目   名   称）</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b/>
          <w:bCs/>
          <w:sz w:val="36"/>
          <w:szCs w:val="36"/>
          <w:lang w:eastAsia="zh-CN"/>
        </w:rPr>
        <w:t>资格审查文件/商务标文件</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lang w:eastAsia="zh-CN"/>
        </w:rPr>
      </w:pP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spacing w:before="191"/>
        <w:ind w:left="103"/>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投标人(盖公章)：</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pacing w:val="5"/>
          <w:sz w:val="30"/>
          <w:szCs w:val="30"/>
          <w:u w:val="single" w:color="000000"/>
          <w:lang w:eastAsia="zh-CN"/>
        </w:rPr>
        <w:t xml:space="preserve"> </w:t>
      </w:r>
      <w:r>
        <w:rPr>
          <w:rFonts w:hint="eastAsia" w:asciiTheme="majorEastAsia" w:hAnsiTheme="majorEastAsia" w:eastAsiaTheme="majorEastAsia" w:cstheme="majorEastAsia"/>
          <w:sz w:val="30"/>
          <w:szCs w:val="30"/>
          <w:lang w:eastAsia="zh-CN"/>
        </w:rPr>
        <w:t xml:space="preserve"> </w:t>
      </w:r>
    </w:p>
    <w:p>
      <w:pPr>
        <w:spacing w:before="193"/>
        <w:ind w:left="103"/>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spacing w:before="190"/>
        <w:ind w:left="103"/>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法定代表人或委托代理人(签字或盖章)：</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u w:val="single" w:color="000000"/>
          <w:lang w:eastAsia="zh-CN"/>
        </w:rPr>
        <w:t xml:space="preserve"> </w:t>
      </w:r>
      <w:r>
        <w:rPr>
          <w:rFonts w:hint="eastAsia" w:asciiTheme="majorEastAsia" w:hAnsiTheme="majorEastAsia" w:eastAsiaTheme="majorEastAsia" w:cstheme="majorEastAsia"/>
          <w:spacing w:val="2"/>
          <w:sz w:val="30"/>
          <w:szCs w:val="30"/>
          <w:u w:val="single" w:color="000000"/>
          <w:lang w:eastAsia="zh-CN"/>
        </w:rPr>
        <w:t xml:space="preserve"> </w:t>
      </w:r>
      <w:r>
        <w:rPr>
          <w:rFonts w:hint="eastAsia" w:asciiTheme="majorEastAsia" w:hAnsiTheme="majorEastAsia" w:eastAsiaTheme="majorEastAsia" w:cstheme="majorEastAsia"/>
          <w:sz w:val="30"/>
          <w:szCs w:val="30"/>
          <w:lang w:eastAsia="zh-CN"/>
        </w:rPr>
        <w:t xml:space="preserve"> </w:t>
      </w:r>
    </w:p>
    <w:p>
      <w:pPr>
        <w:spacing w:before="190"/>
        <w:ind w:left="103"/>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spacing w:before="190"/>
        <w:ind w:left="106" w:right="1696"/>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szCs w:val="30"/>
          <w:lang w:eastAsia="zh-CN"/>
        </w:rPr>
        <w:t xml:space="preserve">日       期：       年     </w:t>
      </w:r>
      <w:r>
        <w:rPr>
          <w:rFonts w:hint="eastAsia" w:asciiTheme="majorEastAsia" w:hAnsiTheme="majorEastAsia" w:eastAsiaTheme="majorEastAsia" w:cstheme="majorEastAsia"/>
          <w:spacing w:val="-3"/>
          <w:sz w:val="30"/>
          <w:szCs w:val="30"/>
          <w:lang w:eastAsia="zh-CN"/>
        </w:rPr>
        <w:t>月     日</w:t>
      </w:r>
      <w:r>
        <w:rPr>
          <w:rFonts w:hint="eastAsia" w:asciiTheme="majorEastAsia" w:hAnsiTheme="majorEastAsia" w:eastAsiaTheme="majorEastAsia" w:cstheme="majorEastAsia"/>
          <w:sz w:val="30"/>
          <w:szCs w:val="30"/>
          <w:lang w:eastAsia="zh-CN"/>
        </w:rPr>
        <w:t xml:space="preserve"> </w:t>
      </w:r>
    </w:p>
    <w:p>
      <w:pPr>
        <w:spacing w:before="190"/>
        <w:ind w:left="264"/>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w w:val="99"/>
          <w:sz w:val="30"/>
          <w:lang w:eastAsia="zh-CN"/>
        </w:rPr>
        <w:t xml:space="preserve"> </w:t>
      </w:r>
    </w:p>
    <w:p>
      <w:pPr>
        <w:jc w:val="center"/>
        <w:rPr>
          <w:rFonts w:asciiTheme="majorEastAsia" w:hAnsiTheme="majorEastAsia" w:eastAsiaTheme="majorEastAsia" w:cstheme="majorEastAsia"/>
          <w:sz w:val="30"/>
          <w:szCs w:val="30"/>
          <w:lang w:eastAsia="zh-CN"/>
        </w:rPr>
        <w:sectPr>
          <w:footerReference r:id="rId4" w:type="default"/>
          <w:pgSz w:w="11910" w:h="16850"/>
          <w:pgMar w:top="1440" w:right="1800" w:bottom="1440" w:left="1800" w:header="0" w:footer="910" w:gutter="0"/>
          <w:cols w:space="720" w:num="1"/>
        </w:sectPr>
      </w:pPr>
    </w:p>
    <w:p>
      <w:pPr>
        <w:spacing w:line="385" w:lineRule="exact"/>
        <w:ind w:left="265"/>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一、法定代表人身份证明书</w:t>
      </w:r>
      <w:r>
        <w:rPr>
          <w:rFonts w:hint="eastAsia" w:asciiTheme="majorEastAsia" w:hAnsiTheme="majorEastAsia" w:eastAsiaTheme="majorEastAsia" w:cstheme="majorEastAsia"/>
          <w:b/>
          <w:bCs/>
          <w:w w:val="99"/>
          <w:sz w:val="30"/>
          <w:szCs w:val="30"/>
          <w:lang w:eastAsia="zh-CN"/>
        </w:rPr>
        <w:t xml:space="preserve"> </w:t>
      </w:r>
    </w:p>
    <w:p>
      <w:pPr>
        <w:spacing w:before="191"/>
        <w:ind w:left="264"/>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sz w:val="30"/>
          <w:lang w:eastAsia="zh-CN"/>
        </w:rPr>
        <w:t xml:space="preserve"> </w:t>
      </w:r>
    </w:p>
    <w:p>
      <w:pPr>
        <w:spacing w:before="198"/>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投标人名称：</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3"/>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3"/>
        <w:rPr>
          <w:rFonts w:asciiTheme="majorEastAsia" w:hAnsiTheme="majorEastAsia" w:eastAsiaTheme="majorEastAsia" w:cstheme="majorEastAsia"/>
          <w:lang w:eastAsia="zh-CN"/>
        </w:rPr>
      </w:pP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单位性质：</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1"/>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w:t>
      </w: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地  </w:t>
      </w:r>
      <w:r>
        <w:rPr>
          <w:rFonts w:hint="eastAsia" w:asciiTheme="majorEastAsia" w:hAnsiTheme="majorEastAsia" w:eastAsiaTheme="majorEastAsia" w:cstheme="majorEastAsia"/>
          <w:spacing w:val="122"/>
          <w:sz w:val="25"/>
          <w:szCs w:val="25"/>
          <w:lang w:eastAsia="zh-CN"/>
        </w:rPr>
        <w:t xml:space="preserve"> </w:t>
      </w:r>
      <w:r>
        <w:rPr>
          <w:rFonts w:hint="eastAsia" w:asciiTheme="majorEastAsia" w:hAnsiTheme="majorEastAsia" w:eastAsiaTheme="majorEastAsia" w:cstheme="majorEastAsia"/>
          <w:sz w:val="25"/>
          <w:szCs w:val="25"/>
          <w:lang w:eastAsia="zh-CN"/>
        </w:rPr>
        <w:t>址：</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1"/>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0"/>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w:t>
      </w: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成立时间： </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年</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月</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4"/>
          <w:sz w:val="25"/>
          <w:szCs w:val="25"/>
          <w:u w:val="single"/>
          <w:lang w:eastAsia="zh-CN"/>
        </w:rPr>
        <w:t xml:space="preserve"> </w:t>
      </w:r>
      <w:r>
        <w:rPr>
          <w:rFonts w:hint="eastAsia" w:asciiTheme="majorEastAsia" w:hAnsiTheme="majorEastAsia" w:eastAsiaTheme="majorEastAsia" w:cstheme="majorEastAsia"/>
          <w:spacing w:val="124"/>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日 </w:t>
      </w:r>
    </w:p>
    <w:p>
      <w:pPr>
        <w:spacing w:before="11"/>
        <w:rPr>
          <w:rFonts w:asciiTheme="majorEastAsia" w:hAnsiTheme="majorEastAsia" w:eastAsiaTheme="majorEastAsia" w:cstheme="majorEastAsia"/>
          <w:lang w:eastAsia="zh-CN"/>
        </w:rPr>
      </w:pP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经营期限：</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3"/>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0"/>
        <w:rPr>
          <w:rFonts w:asciiTheme="majorEastAsia" w:hAnsiTheme="majorEastAsia" w:eastAsiaTheme="majorEastAsia" w:cstheme="majorEastAsia"/>
          <w:lang w:eastAsia="zh-CN"/>
        </w:rPr>
      </w:pP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姓    名：</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性别：</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2"/>
          <w:sz w:val="25"/>
          <w:szCs w:val="25"/>
          <w:u w:val="single"/>
          <w:lang w:eastAsia="zh-CN"/>
        </w:rPr>
        <w:t xml:space="preserve">  </w:t>
      </w:r>
      <w:r>
        <w:rPr>
          <w:rFonts w:hint="eastAsia" w:asciiTheme="majorEastAsia" w:hAnsiTheme="majorEastAsia" w:eastAsiaTheme="majorEastAsia" w:cstheme="majorEastAsia"/>
          <w:sz w:val="25"/>
          <w:szCs w:val="25"/>
          <w:lang w:eastAsia="zh-CN"/>
        </w:rPr>
        <w:t>年龄：</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3"/>
        <w:rPr>
          <w:rFonts w:asciiTheme="majorEastAsia" w:hAnsiTheme="majorEastAsia" w:eastAsiaTheme="majorEastAsia" w:cstheme="majorEastAsia"/>
          <w:lang w:eastAsia="zh-CN"/>
        </w:rPr>
      </w:pP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职务：</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系：</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2"/>
          <w:sz w:val="25"/>
          <w:szCs w:val="25"/>
          <w:u w:val="single"/>
          <w:lang w:eastAsia="zh-CN"/>
        </w:rPr>
        <w:t xml:space="preserve"> </w:t>
      </w:r>
      <w:r>
        <w:rPr>
          <w:rFonts w:hint="eastAsia" w:asciiTheme="majorEastAsia" w:hAnsiTheme="majorEastAsia" w:eastAsiaTheme="majorEastAsia" w:cstheme="majorEastAsia"/>
          <w:sz w:val="25"/>
          <w:szCs w:val="25"/>
          <w:u w:val="single" w:color="000000"/>
          <w:lang w:eastAsia="zh-CN"/>
        </w:rPr>
        <w:t xml:space="preserve">(投标人单位名称)    </w:t>
      </w:r>
      <w:r>
        <w:rPr>
          <w:rFonts w:hint="eastAsia" w:asciiTheme="majorEastAsia" w:hAnsiTheme="majorEastAsia" w:eastAsiaTheme="majorEastAsia" w:cstheme="majorEastAsia"/>
          <w:w w:val="99"/>
          <w:sz w:val="25"/>
          <w:szCs w:val="25"/>
          <w:u w:val="single" w:color="000000"/>
          <w:lang w:eastAsia="zh-CN"/>
        </w:rPr>
        <w:t xml:space="preserve"> </w:t>
      </w:r>
      <w:r>
        <w:rPr>
          <w:rFonts w:hint="eastAsia" w:asciiTheme="majorEastAsia" w:hAnsiTheme="majorEastAsia" w:eastAsiaTheme="majorEastAsia" w:cstheme="majorEastAsia"/>
          <w:spacing w:val="3"/>
          <w:w w:val="99"/>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的法定代表人。 </w:t>
      </w:r>
    </w:p>
    <w:p>
      <w:pPr>
        <w:spacing w:before="10"/>
        <w:rPr>
          <w:rFonts w:asciiTheme="majorEastAsia" w:hAnsiTheme="majorEastAsia" w:eastAsiaTheme="majorEastAsia" w:cstheme="majorEastAsia"/>
          <w:lang w:eastAsia="zh-CN"/>
        </w:rPr>
      </w:pPr>
    </w:p>
    <w:p>
      <w:pPr>
        <w:spacing w:before="22"/>
        <w:ind w:left="122"/>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特此证明 </w:t>
      </w: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spacing w:before="184"/>
        <w:ind w:left="3625"/>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投标人(盖法人章)：</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pacing w:val="3"/>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spacing w:before="186"/>
        <w:ind w:firstLine="3750" w:firstLineChars="15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日   期：</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年</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 xml:space="preserve">月 </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3"/>
          <w:sz w:val="25"/>
          <w:szCs w:val="25"/>
          <w:u w:val="single"/>
          <w:lang w:eastAsia="zh-CN"/>
        </w:rPr>
        <w:t xml:space="preserve">  </w:t>
      </w:r>
      <w:r>
        <w:rPr>
          <w:rFonts w:hint="eastAsia" w:asciiTheme="majorEastAsia" w:hAnsiTheme="majorEastAsia" w:eastAsiaTheme="majorEastAsia" w:cstheme="majorEastAsia"/>
          <w:sz w:val="25"/>
          <w:szCs w:val="25"/>
          <w:lang w:eastAsia="zh-CN"/>
        </w:rPr>
        <w:t xml:space="preserve">日 </w:t>
      </w:r>
    </w:p>
    <w:p>
      <w:pPr>
        <w:spacing w:before="12"/>
        <w:rPr>
          <w:rFonts w:asciiTheme="majorEastAsia" w:hAnsiTheme="majorEastAsia" w:eastAsiaTheme="majorEastAsia" w:cstheme="majorEastAsia"/>
          <w:sz w:val="27"/>
          <w:szCs w:val="27"/>
          <w:lang w:eastAsia="zh-CN"/>
        </w:rPr>
      </w:pPr>
    </w:p>
    <w:p>
      <w:pPr>
        <w:spacing w:line="3365" w:lineRule="exact"/>
        <w:ind w:left="1243"/>
        <w:rPr>
          <w:rFonts w:asciiTheme="majorEastAsia" w:hAnsiTheme="majorEastAsia" w:eastAsiaTheme="majorEastAsia" w:cstheme="majorEastAsia"/>
          <w:sz w:val="20"/>
          <w:szCs w:val="20"/>
        </w:rPr>
      </w:pPr>
      <w:r>
        <w:rPr>
          <w:rFonts w:asciiTheme="majorEastAsia" w:hAnsiTheme="majorEastAsia" w:eastAsiaTheme="majorEastAsia" w:cstheme="majorEastAsia"/>
          <w:position w:val="-66"/>
          <w:sz w:val="20"/>
          <w:szCs w:val="20"/>
          <w:lang w:eastAsia="zh-CN"/>
        </w:rPr>
        <mc:AlternateContent>
          <mc:Choice Requires="wps">
            <w:drawing>
              <wp:inline distT="0" distB="0" distL="114300" distR="114300">
                <wp:extent cx="3824605" cy="2137410"/>
                <wp:effectExtent l="4445" t="4445" r="19050" b="10795"/>
                <wp:docPr id="1" name="文本框 3"/>
                <wp:cNvGraphicFramePr/>
                <a:graphic xmlns:a="http://schemas.openxmlformats.org/drawingml/2006/main">
                  <a:graphicData uri="http://schemas.microsoft.com/office/word/2010/wordprocessingShape">
                    <wps:wsp>
                      <wps:cNvSpPr txBox="1"/>
                      <wps:spPr>
                        <a:xfrm>
                          <a:off x="0" y="0"/>
                          <a:ext cx="3824605" cy="2137410"/>
                        </a:xfrm>
                        <a:prstGeom prst="rect">
                          <a:avLst/>
                        </a:prstGeom>
                        <a:noFill/>
                        <a:ln w="6096" cap="flat" cmpd="sng">
                          <a:solidFill>
                            <a:srgbClr val="000000"/>
                          </a:solidFill>
                          <a:prstDash val="solid"/>
                          <a:miter/>
                          <a:headEnd type="none" w="med" len="med"/>
                          <a:tailEnd type="none" w="med" len="med"/>
                        </a:ln>
                      </wps:spPr>
                      <wps:txbx>
                        <w:txbxContent>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spacing w:before="6"/>
                              <w:rPr>
                                <w:rFonts w:ascii="宋体" w:hAnsi="宋体" w:eastAsia="宋体" w:cs="宋体"/>
                                <w:sz w:val="34"/>
                                <w:szCs w:val="34"/>
                              </w:rPr>
                            </w:pPr>
                          </w:p>
                          <w:p>
                            <w:pPr>
                              <w:ind w:left="746"/>
                              <w:rPr>
                                <w:rFonts w:ascii="宋体" w:hAnsi="宋体" w:eastAsia="宋体" w:cs="宋体"/>
                                <w:sz w:val="25"/>
                                <w:szCs w:val="25"/>
                                <w:lang w:eastAsia="zh-CN"/>
                              </w:rPr>
                            </w:pPr>
                            <w:r>
                              <w:rPr>
                                <w:rFonts w:ascii="宋体" w:hAnsi="宋体" w:eastAsia="宋体" w:cs="宋体"/>
                                <w:b/>
                                <w:bCs/>
                                <w:sz w:val="25"/>
                                <w:szCs w:val="25"/>
                                <w:lang w:eastAsia="zh-CN"/>
                              </w:rPr>
                              <w:t>法定代表人身份证扫描件或复印件粘贴处</w:t>
                            </w:r>
                            <w:r>
                              <w:rPr>
                                <w:rFonts w:ascii="宋体" w:hAnsi="宋体" w:eastAsia="宋体" w:cs="宋体"/>
                                <w:b/>
                                <w:bCs/>
                                <w:w w:val="99"/>
                                <w:sz w:val="25"/>
                                <w:szCs w:val="25"/>
                                <w:lang w:eastAsia="zh-CN"/>
                              </w:rPr>
                              <w:t xml:space="preserve"> </w:t>
                            </w:r>
                          </w:p>
                        </w:txbxContent>
                      </wps:txbx>
                      <wps:bodyPr lIns="0" tIns="0" rIns="0" bIns="0" upright="1"/>
                    </wps:wsp>
                  </a:graphicData>
                </a:graphic>
              </wp:inline>
            </w:drawing>
          </mc:Choice>
          <mc:Fallback>
            <w:pict>
              <v:shape id="文本框 3" o:spid="_x0000_s1026" o:spt="202" type="#_x0000_t202" style="height:168.3pt;width:301.15pt;" filled="f" stroked="t" coordsize="21600,21600" o:gfxdata="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qgw1AAAAAUBAAAPAAAAAAAAAAEAIAAAACIAAABkcnMvZG93bnJldi54bWxQ&#10;SwECFAAUAAAACACHTuJAI2CoDfsBAADkAwAADgAAAAAAAAABACAAAAAjAQAAZHJzL2Uyb0RvYy54&#10;bWxQSwUGAAAAAAYABgBZAQAAkAUAAAAA&#10;">
                <v:fill on="f" focussize="0,0"/>
                <v:stroke weight="0.48pt" color="#000000" joinstyle="miter"/>
                <v:imagedata o:title=""/>
                <o:lock v:ext="edit" aspectratio="f"/>
                <v:textbox inset="0mm,0mm,0mm,0mm">
                  <w:txbxContent>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spacing w:before="6"/>
                        <w:rPr>
                          <w:rFonts w:ascii="宋体" w:hAnsi="宋体" w:eastAsia="宋体" w:cs="宋体"/>
                          <w:sz w:val="34"/>
                          <w:szCs w:val="34"/>
                        </w:rPr>
                      </w:pPr>
                    </w:p>
                    <w:p>
                      <w:pPr>
                        <w:ind w:left="746"/>
                        <w:rPr>
                          <w:rFonts w:ascii="宋体" w:hAnsi="宋体" w:eastAsia="宋体" w:cs="宋体"/>
                          <w:sz w:val="25"/>
                          <w:szCs w:val="25"/>
                          <w:lang w:eastAsia="zh-CN"/>
                        </w:rPr>
                      </w:pPr>
                      <w:r>
                        <w:rPr>
                          <w:rFonts w:ascii="宋体" w:hAnsi="宋体" w:eastAsia="宋体" w:cs="宋体"/>
                          <w:b/>
                          <w:bCs/>
                          <w:sz w:val="25"/>
                          <w:szCs w:val="25"/>
                          <w:lang w:eastAsia="zh-CN"/>
                        </w:rPr>
                        <w:t>法定代表人身份证扫描件或复印件粘贴处</w:t>
                      </w:r>
                      <w:r>
                        <w:rPr>
                          <w:rFonts w:ascii="宋体" w:hAnsi="宋体" w:eastAsia="宋体" w:cs="宋体"/>
                          <w:b/>
                          <w:bCs/>
                          <w:w w:val="99"/>
                          <w:sz w:val="25"/>
                          <w:szCs w:val="25"/>
                          <w:lang w:eastAsia="zh-CN"/>
                        </w:rPr>
                        <w:t xml:space="preserve"> </w:t>
                      </w:r>
                    </w:p>
                  </w:txbxContent>
                </v:textbox>
                <w10:wrap type="none"/>
                <w10:anchorlock/>
              </v:shape>
            </w:pict>
          </mc:Fallback>
        </mc:AlternateContent>
      </w:r>
    </w:p>
    <w:p>
      <w:pPr>
        <w:spacing w:line="292" w:lineRule="exact"/>
        <w:ind w:left="239"/>
        <w:jc w:val="center"/>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w w:val="99"/>
          <w:sz w:val="25"/>
          <w:lang w:eastAsia="zh-CN"/>
        </w:rPr>
        <w:t xml:space="preserve"> </w:t>
      </w:r>
    </w:p>
    <w:p>
      <w:pPr>
        <w:spacing w:before="157"/>
        <w:ind w:left="239"/>
        <w:jc w:val="center"/>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w w:val="99"/>
          <w:sz w:val="25"/>
          <w:lang w:eastAsia="zh-CN"/>
        </w:rPr>
        <w:t xml:space="preserve"> </w:t>
      </w:r>
    </w:p>
    <w:p>
      <w:pPr>
        <w:jc w:val="center"/>
        <w:rPr>
          <w:rFonts w:asciiTheme="majorEastAsia" w:hAnsiTheme="majorEastAsia" w:eastAsiaTheme="majorEastAsia" w:cstheme="majorEastAsia"/>
          <w:sz w:val="25"/>
          <w:szCs w:val="25"/>
          <w:lang w:eastAsia="zh-CN"/>
        </w:rPr>
        <w:sectPr>
          <w:pgSz w:w="11910" w:h="16850"/>
          <w:pgMar w:top="1440" w:right="1800" w:bottom="1440" w:left="1800" w:header="0" w:footer="910" w:gutter="0"/>
          <w:cols w:space="720" w:num="1"/>
        </w:sectPr>
      </w:pPr>
    </w:p>
    <w:p>
      <w:pPr>
        <w:spacing w:line="385" w:lineRule="exact"/>
        <w:ind w:left="149" w:right="124"/>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二、授权委托书</w:t>
      </w:r>
      <w:r>
        <w:rPr>
          <w:rFonts w:hint="eastAsia" w:asciiTheme="majorEastAsia" w:hAnsiTheme="majorEastAsia" w:eastAsiaTheme="majorEastAsia" w:cstheme="majorEastAsia"/>
          <w:b/>
          <w:bCs/>
          <w:w w:val="99"/>
          <w:sz w:val="30"/>
          <w:szCs w:val="30"/>
          <w:lang w:eastAsia="zh-CN"/>
        </w:rPr>
        <w:t xml:space="preserve"> </w:t>
      </w:r>
    </w:p>
    <w:p>
      <w:pPr>
        <w:spacing w:before="199"/>
        <w:ind w:left="583"/>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w w:val="99"/>
          <w:sz w:val="25"/>
          <w:lang w:eastAsia="zh-CN"/>
        </w:rPr>
        <w:t xml:space="preserve">  </w:t>
      </w:r>
    </w:p>
    <w:p>
      <w:pPr>
        <w:spacing w:before="160" w:line="357" w:lineRule="auto"/>
        <w:ind w:right="226" w:firstLine="472" w:firstLineChars="200"/>
        <w:jc w:val="both"/>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pacing w:val="-7"/>
          <w:sz w:val="25"/>
          <w:szCs w:val="25"/>
          <w:lang w:eastAsia="zh-CN"/>
        </w:rPr>
        <w:t>本授权委托书声明：我</w:t>
      </w:r>
      <w:r>
        <w:rPr>
          <w:rFonts w:hint="eastAsia" w:asciiTheme="majorEastAsia" w:hAnsiTheme="majorEastAsia" w:eastAsiaTheme="majorEastAsia" w:cstheme="majorEastAsia"/>
          <w:spacing w:val="-7"/>
          <w:sz w:val="25"/>
          <w:szCs w:val="25"/>
          <w:u w:val="single"/>
          <w:lang w:eastAsia="zh-CN"/>
        </w:rPr>
        <w:t xml:space="preserve">    </w:t>
      </w:r>
      <w:r>
        <w:rPr>
          <w:rFonts w:hint="eastAsia" w:asciiTheme="majorEastAsia" w:hAnsiTheme="majorEastAsia" w:eastAsiaTheme="majorEastAsia" w:cstheme="majorEastAsia"/>
          <w:sz w:val="25"/>
          <w:szCs w:val="25"/>
          <w:lang w:eastAsia="zh-CN"/>
        </w:rPr>
        <w:t>(姓名)系</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74"/>
          <w:sz w:val="25"/>
          <w:szCs w:val="25"/>
          <w:u w:val="single"/>
          <w:lang w:eastAsia="zh-CN"/>
        </w:rPr>
        <w:t xml:space="preserve">  </w:t>
      </w:r>
      <w:r>
        <w:rPr>
          <w:rFonts w:hint="eastAsia" w:asciiTheme="majorEastAsia" w:hAnsiTheme="majorEastAsia" w:eastAsiaTheme="majorEastAsia" w:cstheme="majorEastAsia"/>
          <w:sz w:val="25"/>
          <w:szCs w:val="25"/>
          <w:lang w:eastAsia="zh-CN"/>
        </w:rPr>
        <w:t>(投标人名称)的法</w:t>
      </w:r>
      <w:r>
        <w:rPr>
          <w:rFonts w:hint="eastAsia" w:asciiTheme="majorEastAsia" w:hAnsiTheme="majorEastAsia" w:eastAsiaTheme="majorEastAsia" w:cstheme="majorEastAsia"/>
          <w:spacing w:val="-9"/>
          <w:sz w:val="25"/>
          <w:szCs w:val="25"/>
          <w:lang w:eastAsia="zh-CN"/>
        </w:rPr>
        <w:t xml:space="preserve">定代表人，现授权委托 </w:t>
      </w:r>
      <w:r>
        <w:rPr>
          <w:rFonts w:hint="eastAsia" w:asciiTheme="majorEastAsia" w:hAnsiTheme="majorEastAsia" w:eastAsiaTheme="majorEastAsia" w:cstheme="majorEastAsia"/>
          <w:spacing w:val="-9"/>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(单位名称)</w:t>
      </w:r>
      <w:r>
        <w:rPr>
          <w:rFonts w:hint="eastAsia" w:asciiTheme="majorEastAsia" w:hAnsiTheme="majorEastAsia" w:eastAsiaTheme="majorEastAsia" w:cstheme="majorEastAsia"/>
          <w:spacing w:val="72"/>
          <w:sz w:val="25"/>
          <w:szCs w:val="25"/>
          <w:lang w:eastAsia="zh-CN"/>
        </w:rPr>
        <w:t xml:space="preserve"> </w:t>
      </w:r>
      <w:r>
        <w:rPr>
          <w:rFonts w:hint="eastAsia" w:asciiTheme="majorEastAsia" w:hAnsiTheme="majorEastAsia" w:eastAsiaTheme="majorEastAsia" w:cstheme="majorEastAsia"/>
          <w:spacing w:val="72"/>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(姓名)为我单位的合法代理人，以本公司的名义参加 </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(招标人名称)的</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6"/>
          <w:sz w:val="25"/>
          <w:szCs w:val="25"/>
          <w:lang w:eastAsia="zh-CN"/>
        </w:rPr>
        <w:t>（工程名称）投标。代理人所签署的一切文件和处理与之有关的一切事</w:t>
      </w:r>
      <w:r>
        <w:rPr>
          <w:rFonts w:hint="eastAsia" w:asciiTheme="majorEastAsia" w:hAnsiTheme="majorEastAsia" w:eastAsiaTheme="majorEastAsia" w:cstheme="majorEastAsia"/>
          <w:w w:val="99"/>
          <w:sz w:val="25"/>
          <w:szCs w:val="25"/>
          <w:lang w:eastAsia="zh-CN"/>
        </w:rPr>
        <w:t xml:space="preserve"> </w:t>
      </w:r>
      <w:r>
        <w:rPr>
          <w:rFonts w:hint="eastAsia" w:asciiTheme="majorEastAsia" w:hAnsiTheme="majorEastAsia" w:eastAsiaTheme="majorEastAsia" w:cstheme="majorEastAsia"/>
          <w:sz w:val="25"/>
          <w:szCs w:val="25"/>
          <w:lang w:eastAsia="zh-CN"/>
        </w:rPr>
        <w:t xml:space="preserve">务，我均予承认。 </w:t>
      </w:r>
    </w:p>
    <w:p>
      <w:pPr>
        <w:spacing w:before="40" w:line="357" w:lineRule="auto"/>
        <w:ind w:left="583" w:right="4827"/>
        <w:rPr>
          <w:rFonts w:asciiTheme="majorEastAsia" w:hAnsiTheme="majorEastAsia" w:eastAsiaTheme="majorEastAsia" w:cstheme="majorEastAsia"/>
          <w:w w:val="99"/>
          <w:sz w:val="25"/>
          <w:szCs w:val="25"/>
          <w:lang w:eastAsia="zh-CN"/>
        </w:rPr>
      </w:pPr>
      <w:r>
        <w:rPr>
          <w:rFonts w:hint="eastAsia" w:asciiTheme="majorEastAsia" w:hAnsiTheme="majorEastAsia" w:eastAsiaTheme="majorEastAsia" w:cstheme="majorEastAsia"/>
          <w:sz w:val="25"/>
          <w:szCs w:val="25"/>
          <w:lang w:eastAsia="zh-CN"/>
        </w:rPr>
        <w:t>委托期限：</w:t>
      </w:r>
      <w:r>
        <w:rPr>
          <w:rFonts w:hint="eastAsia" w:asciiTheme="majorEastAsia" w:hAnsiTheme="majorEastAsia" w:eastAsiaTheme="majorEastAsia" w:cstheme="majorEastAsia"/>
          <w:w w:val="99"/>
          <w:sz w:val="25"/>
          <w:szCs w:val="25"/>
          <w:u w:val="single" w:color="000000"/>
          <w:lang w:eastAsia="zh-CN"/>
        </w:rPr>
        <w:t xml:space="preserve">        </w:t>
      </w:r>
      <w:r>
        <w:rPr>
          <w:rFonts w:hint="eastAsia" w:asciiTheme="majorEastAsia" w:hAnsiTheme="majorEastAsia" w:eastAsiaTheme="majorEastAsia" w:cstheme="majorEastAsia"/>
          <w:spacing w:val="2"/>
          <w:w w:val="99"/>
          <w:sz w:val="25"/>
          <w:szCs w:val="25"/>
          <w:u w:val="single" w:color="000000"/>
          <w:lang w:eastAsia="zh-CN"/>
        </w:rPr>
        <w:t xml:space="preserve">      </w:t>
      </w:r>
      <w:r>
        <w:rPr>
          <w:rFonts w:hint="eastAsia" w:asciiTheme="majorEastAsia" w:hAnsiTheme="majorEastAsia" w:eastAsiaTheme="majorEastAsia" w:cstheme="majorEastAsia"/>
          <w:w w:val="99"/>
          <w:sz w:val="25"/>
          <w:szCs w:val="25"/>
          <w:u w:val="single" w:color="000000"/>
          <w:lang w:eastAsia="zh-CN"/>
        </w:rPr>
        <w:t xml:space="preserve"> </w:t>
      </w:r>
      <w:r>
        <w:rPr>
          <w:rFonts w:hint="eastAsia" w:asciiTheme="majorEastAsia" w:hAnsiTheme="majorEastAsia" w:eastAsiaTheme="majorEastAsia" w:cstheme="majorEastAsia"/>
          <w:spacing w:val="2"/>
          <w:w w:val="99"/>
          <w:sz w:val="25"/>
          <w:szCs w:val="25"/>
          <w:u w:val="single" w:color="000000"/>
          <w:lang w:eastAsia="zh-CN"/>
        </w:rPr>
        <w:t xml:space="preserve"> </w:t>
      </w:r>
      <w:r>
        <w:rPr>
          <w:rFonts w:hint="eastAsia" w:asciiTheme="majorEastAsia" w:hAnsiTheme="majorEastAsia" w:eastAsiaTheme="majorEastAsia" w:cstheme="majorEastAsia"/>
          <w:w w:val="99"/>
          <w:sz w:val="25"/>
          <w:szCs w:val="25"/>
          <w:u w:val="single" w:color="000000"/>
          <w:lang w:eastAsia="zh-CN"/>
        </w:rPr>
        <w:t xml:space="preserve">       </w:t>
      </w:r>
      <w:r>
        <w:rPr>
          <w:rFonts w:hint="eastAsia" w:asciiTheme="majorEastAsia" w:hAnsiTheme="majorEastAsia" w:eastAsiaTheme="majorEastAsia" w:cstheme="majorEastAsia"/>
          <w:spacing w:val="2"/>
          <w:w w:val="99"/>
          <w:sz w:val="25"/>
          <w:szCs w:val="25"/>
          <w:lang w:eastAsia="zh-CN"/>
        </w:rPr>
        <w:t xml:space="preserve"> </w:t>
      </w:r>
      <w:r>
        <w:rPr>
          <w:rFonts w:hint="eastAsia" w:asciiTheme="majorEastAsia" w:hAnsiTheme="majorEastAsia" w:eastAsiaTheme="majorEastAsia" w:cstheme="majorEastAsia"/>
          <w:w w:val="99"/>
          <w:sz w:val="25"/>
          <w:szCs w:val="25"/>
          <w:lang w:eastAsia="zh-CN"/>
        </w:rPr>
        <w:t xml:space="preserve"> </w:t>
      </w:r>
    </w:p>
    <w:p>
      <w:pPr>
        <w:spacing w:before="40" w:line="357" w:lineRule="auto"/>
        <w:ind w:left="583" w:right="4827"/>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代理人无转委权，特此托。 </w:t>
      </w: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spacing w:before="2"/>
        <w:rPr>
          <w:rFonts w:asciiTheme="majorEastAsia" w:hAnsiTheme="majorEastAsia" w:eastAsiaTheme="majorEastAsia" w:cstheme="majorEastAsia"/>
          <w:sz w:val="18"/>
          <w:szCs w:val="18"/>
          <w:lang w:eastAsia="zh-CN"/>
        </w:rPr>
      </w:pPr>
    </w:p>
    <w:p>
      <w:pPr>
        <w:spacing w:before="22"/>
        <w:ind w:left="3812" w:right="213"/>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投标人(盖公章)：</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spacing w:before="176"/>
        <w:ind w:left="3334" w:right="213"/>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法定代表人(</w:t>
      </w:r>
      <w:r>
        <w:rPr>
          <w:rFonts w:hint="eastAsia" w:asciiTheme="majorEastAsia" w:hAnsiTheme="majorEastAsia" w:eastAsiaTheme="majorEastAsia" w:cstheme="majorEastAsia"/>
          <w:sz w:val="24"/>
          <w:szCs w:val="24"/>
          <w:lang w:eastAsia="zh-CN"/>
        </w:rPr>
        <w:t>签字或盖章</w:t>
      </w:r>
      <w:r>
        <w:rPr>
          <w:rFonts w:hint="eastAsia" w:asciiTheme="majorEastAsia" w:hAnsiTheme="majorEastAsia" w:eastAsiaTheme="majorEastAsia" w:cstheme="majorEastAsia"/>
          <w:sz w:val="25"/>
          <w:szCs w:val="25"/>
          <w:lang w:eastAsia="zh-CN"/>
        </w:rPr>
        <w:t>)：</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spacing w:before="179"/>
        <w:ind w:left="3334" w:right="213"/>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委托代理人(</w:t>
      </w:r>
      <w:r>
        <w:rPr>
          <w:rFonts w:hint="eastAsia" w:asciiTheme="majorEastAsia" w:hAnsiTheme="majorEastAsia" w:eastAsiaTheme="majorEastAsia" w:cstheme="majorEastAsia"/>
          <w:sz w:val="24"/>
          <w:szCs w:val="24"/>
          <w:lang w:eastAsia="zh-CN"/>
        </w:rPr>
        <w:t>签字或盖章</w:t>
      </w:r>
      <w:r>
        <w:rPr>
          <w:rFonts w:hint="eastAsia" w:asciiTheme="majorEastAsia" w:hAnsiTheme="majorEastAsia" w:eastAsiaTheme="majorEastAsia" w:cstheme="majorEastAsia"/>
          <w:sz w:val="25"/>
          <w:szCs w:val="25"/>
          <w:lang w:eastAsia="zh-CN"/>
        </w:rPr>
        <w:t>)：</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rPr>
          <w:rFonts w:asciiTheme="majorEastAsia" w:hAnsiTheme="majorEastAsia" w:eastAsiaTheme="majorEastAsia" w:cstheme="majorEastAsia"/>
          <w:sz w:val="20"/>
          <w:szCs w:val="20"/>
          <w:lang w:eastAsia="zh-CN"/>
        </w:rPr>
      </w:pPr>
    </w:p>
    <w:p>
      <w:pPr>
        <w:spacing w:line="3365" w:lineRule="exact"/>
        <w:ind w:left="1723"/>
        <w:rPr>
          <w:rFonts w:asciiTheme="majorEastAsia" w:hAnsiTheme="majorEastAsia" w:eastAsiaTheme="majorEastAsia" w:cstheme="majorEastAsia"/>
          <w:sz w:val="20"/>
          <w:szCs w:val="20"/>
        </w:rPr>
      </w:pPr>
      <w:r>
        <w:rPr>
          <w:rFonts w:asciiTheme="majorEastAsia" w:hAnsiTheme="majorEastAsia" w:eastAsiaTheme="majorEastAsia" w:cstheme="majorEastAsia"/>
          <w:position w:val="-66"/>
          <w:sz w:val="20"/>
          <w:szCs w:val="20"/>
          <w:lang w:eastAsia="zh-CN"/>
        </w:rPr>
        <mc:AlternateContent>
          <mc:Choice Requires="wps">
            <w:drawing>
              <wp:inline distT="0" distB="0" distL="114300" distR="114300">
                <wp:extent cx="3824605" cy="2137410"/>
                <wp:effectExtent l="4445" t="4445" r="19050" b="10795"/>
                <wp:docPr id="2" name="文本框 2"/>
                <wp:cNvGraphicFramePr/>
                <a:graphic xmlns:a="http://schemas.openxmlformats.org/drawingml/2006/main">
                  <a:graphicData uri="http://schemas.microsoft.com/office/word/2010/wordprocessingShape">
                    <wps:wsp>
                      <wps:cNvSpPr txBox="1"/>
                      <wps:spPr>
                        <a:xfrm>
                          <a:off x="0" y="0"/>
                          <a:ext cx="3824605" cy="2137410"/>
                        </a:xfrm>
                        <a:prstGeom prst="rect">
                          <a:avLst/>
                        </a:prstGeom>
                        <a:noFill/>
                        <a:ln w="6096" cap="flat" cmpd="sng">
                          <a:solidFill>
                            <a:srgbClr val="000000"/>
                          </a:solidFill>
                          <a:prstDash val="solid"/>
                          <a:miter/>
                          <a:headEnd type="none" w="med" len="med"/>
                          <a:tailEnd type="none" w="med" len="med"/>
                        </a:ln>
                      </wps:spPr>
                      <wps:txbx>
                        <w:txbxContent>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34"/>
                                <w:szCs w:val="34"/>
                              </w:rPr>
                            </w:pPr>
                          </w:p>
                          <w:p>
                            <w:pPr>
                              <w:jc w:val="center"/>
                              <w:rPr>
                                <w:rFonts w:ascii="宋体" w:hAnsi="宋体" w:eastAsia="宋体" w:cs="宋体"/>
                                <w:sz w:val="25"/>
                                <w:szCs w:val="25"/>
                                <w:lang w:eastAsia="zh-CN"/>
                              </w:rPr>
                            </w:pPr>
                            <w:r>
                              <w:rPr>
                                <w:rFonts w:ascii="宋体" w:hAnsi="宋体" w:eastAsia="宋体" w:cs="宋体"/>
                                <w:b/>
                                <w:bCs/>
                                <w:sz w:val="25"/>
                                <w:szCs w:val="25"/>
                                <w:lang w:eastAsia="zh-CN"/>
                              </w:rPr>
                              <w:t>委托代理人身份证扫描件或复印件粘贴处</w:t>
                            </w:r>
                          </w:p>
                        </w:txbxContent>
                      </wps:txbx>
                      <wps:bodyPr lIns="0" tIns="0" rIns="0" bIns="0" upright="1"/>
                    </wps:wsp>
                  </a:graphicData>
                </a:graphic>
              </wp:inline>
            </w:drawing>
          </mc:Choice>
          <mc:Fallback>
            <w:pict>
              <v:shape id="_x0000_s1026" o:spid="_x0000_s1026" o:spt="202" type="#_x0000_t202" style="height:168.3pt;width:301.15pt;" filled="f" stroked="t" coordsize="21600,21600" o:gfxdata="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82qDDUAAAABQEAAA8AAAAAAAAAAQAgAAAAIgAAAGRycy9kb3ducmV2Lnht&#10;bFBLAQIUABQAAAAIAIdO4kCiNG4F/QEAAOQDAAAOAAAAAAAAAAEAIAAAACMBAABkcnMvZTJvRG9j&#10;LnhtbFBLBQYAAAAABgAGAFkBAACSBQAAAAA=&#10;">
                <v:fill on="f" focussize="0,0"/>
                <v:stroke weight="0.48pt" color="#000000" joinstyle="miter"/>
                <v:imagedata o:title=""/>
                <o:lock v:ext="edit" aspectratio="f"/>
                <v:textbox inset="0mm,0mm,0mm,0mm">
                  <w:txbxContent>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34"/>
                          <w:szCs w:val="34"/>
                        </w:rPr>
                      </w:pPr>
                    </w:p>
                    <w:p>
                      <w:pPr>
                        <w:jc w:val="center"/>
                        <w:rPr>
                          <w:rFonts w:ascii="宋体" w:hAnsi="宋体" w:eastAsia="宋体" w:cs="宋体"/>
                          <w:sz w:val="25"/>
                          <w:szCs w:val="25"/>
                          <w:lang w:eastAsia="zh-CN"/>
                        </w:rPr>
                      </w:pPr>
                      <w:r>
                        <w:rPr>
                          <w:rFonts w:ascii="宋体" w:hAnsi="宋体" w:eastAsia="宋体" w:cs="宋体"/>
                          <w:b/>
                          <w:bCs/>
                          <w:sz w:val="25"/>
                          <w:szCs w:val="25"/>
                          <w:lang w:eastAsia="zh-CN"/>
                        </w:rPr>
                        <w:t>委托代理人身份证扫描件或复印件粘贴处</w:t>
                      </w:r>
                    </w:p>
                  </w:txbxContent>
                </v:textbox>
                <w10:wrap type="none"/>
                <w10:anchorlock/>
              </v:shape>
            </w:pict>
          </mc:Fallback>
        </mc:AlternateContent>
      </w:r>
    </w:p>
    <w:p>
      <w:pPr>
        <w:rPr>
          <w:rFonts w:asciiTheme="majorEastAsia" w:hAnsiTheme="majorEastAsia" w:eastAsiaTheme="majorEastAsia" w:cstheme="majorEastAsia"/>
          <w:sz w:val="20"/>
          <w:szCs w:val="20"/>
        </w:rPr>
      </w:pPr>
    </w:p>
    <w:p>
      <w:pPr>
        <w:spacing w:before="190"/>
        <w:ind w:right="103" w:firstLine="4000" w:firstLineChars="16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授权日期：    年    月    日 </w:t>
      </w:r>
    </w:p>
    <w:p>
      <w:pPr>
        <w:rPr>
          <w:rFonts w:asciiTheme="majorEastAsia" w:hAnsiTheme="majorEastAsia" w:eastAsiaTheme="majorEastAsia" w:cstheme="majorEastAsia"/>
          <w:sz w:val="25"/>
          <w:szCs w:val="25"/>
          <w:lang w:eastAsia="zh-CN"/>
        </w:rPr>
        <w:sectPr>
          <w:pgSz w:w="11910" w:h="16850"/>
          <w:pgMar w:top="1440" w:right="1800" w:bottom="1440" w:left="1800" w:header="0" w:footer="910" w:gutter="0"/>
          <w:cols w:space="720" w:num="1"/>
        </w:sectPr>
      </w:pPr>
    </w:p>
    <w:p>
      <w:pPr>
        <w:pStyle w:val="9"/>
        <w:snapToGrid w:val="0"/>
        <w:spacing w:after="240"/>
        <w:jc w:val="center"/>
        <w:rPr>
          <w:rFonts w:asciiTheme="majorEastAsia" w:hAnsiTheme="majorEastAsia" w:eastAsiaTheme="majorEastAsia" w:cstheme="majorEastAsia"/>
          <w:b/>
          <w:sz w:val="32"/>
          <w:szCs w:val="32"/>
          <w:lang w:eastAsia="zh-CN"/>
        </w:rPr>
      </w:pPr>
      <w:r>
        <w:rPr>
          <w:rFonts w:hint="eastAsia" w:asciiTheme="majorEastAsia" w:hAnsiTheme="majorEastAsia" w:eastAsiaTheme="majorEastAsia" w:cstheme="majorEastAsia"/>
          <w:b/>
          <w:sz w:val="32"/>
          <w:szCs w:val="32"/>
          <w:lang w:eastAsia="zh-CN"/>
        </w:rPr>
        <w:t>三、投标单位基本情况表</w:t>
      </w:r>
    </w:p>
    <w:p>
      <w:pPr>
        <w:pStyle w:val="9"/>
        <w:snapToGrid w:val="0"/>
        <w:rPr>
          <w:rFonts w:asciiTheme="majorEastAsia" w:hAnsiTheme="majorEastAsia" w:eastAsiaTheme="majorEastAsia" w:cstheme="majorEastAsia"/>
          <w:b/>
          <w:sz w:val="32"/>
          <w:szCs w:val="32"/>
          <w:lang w:eastAsia="zh-CN"/>
        </w:rPr>
      </w:pPr>
      <w:r>
        <w:rPr>
          <w:rFonts w:hint="eastAsia" w:asciiTheme="majorEastAsia" w:hAnsiTheme="majorEastAsia" w:eastAsiaTheme="majorEastAsia" w:cstheme="majorEastAsia"/>
          <w:lang w:eastAsia="zh-CN"/>
        </w:rPr>
        <w:t>项目名称：</w:t>
      </w:r>
    </w:p>
    <w:tbl>
      <w:tblPr>
        <w:tblStyle w:val="12"/>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756"/>
        <w:gridCol w:w="547"/>
        <w:gridCol w:w="872"/>
        <w:gridCol w:w="224"/>
        <w:gridCol w:w="1310"/>
        <w:gridCol w:w="1418"/>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企业名称</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（盖章）</w:t>
            </w:r>
          </w:p>
        </w:tc>
        <w:tc>
          <w:tcPr>
            <w:tcW w:w="7494" w:type="dxa"/>
            <w:gridSpan w:val="7"/>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法定代表人</w:t>
            </w:r>
          </w:p>
        </w:tc>
        <w:tc>
          <w:tcPr>
            <w:tcW w:w="1756" w:type="dxa"/>
            <w:vAlign w:val="center"/>
          </w:tcPr>
          <w:p>
            <w:pPr>
              <w:jc w:val="center"/>
              <w:rPr>
                <w:rFonts w:asciiTheme="majorEastAsia" w:hAnsiTheme="majorEastAsia" w:eastAsiaTheme="majorEastAsia" w:cstheme="majorEastAsia"/>
                <w:szCs w:val="21"/>
              </w:rPr>
            </w:pPr>
          </w:p>
        </w:tc>
        <w:tc>
          <w:tcPr>
            <w:tcW w:w="1419" w:type="dxa"/>
            <w:gridSpan w:val="2"/>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职务</w:t>
            </w:r>
          </w:p>
        </w:tc>
        <w:tc>
          <w:tcPr>
            <w:tcW w:w="1534" w:type="dxa"/>
            <w:gridSpan w:val="2"/>
            <w:vAlign w:val="center"/>
          </w:tcPr>
          <w:p>
            <w:pPr>
              <w:jc w:val="center"/>
              <w:rPr>
                <w:rFonts w:asciiTheme="majorEastAsia" w:hAnsiTheme="majorEastAsia" w:eastAsiaTheme="majorEastAsia" w:cstheme="majorEastAsia"/>
                <w:szCs w:val="21"/>
              </w:rPr>
            </w:pPr>
          </w:p>
        </w:tc>
        <w:tc>
          <w:tcPr>
            <w:tcW w:w="141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职称</w:t>
            </w:r>
          </w:p>
        </w:tc>
        <w:tc>
          <w:tcPr>
            <w:tcW w:w="1367"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企业总人数</w:t>
            </w:r>
          </w:p>
        </w:tc>
        <w:tc>
          <w:tcPr>
            <w:tcW w:w="1756" w:type="dxa"/>
            <w:vAlign w:val="center"/>
          </w:tcPr>
          <w:p>
            <w:pPr>
              <w:jc w:val="center"/>
              <w:rPr>
                <w:rFonts w:asciiTheme="majorEastAsia" w:hAnsiTheme="majorEastAsia" w:eastAsiaTheme="majorEastAsia" w:cstheme="majorEastAsia"/>
                <w:szCs w:val="21"/>
              </w:rPr>
            </w:pPr>
          </w:p>
        </w:tc>
        <w:tc>
          <w:tcPr>
            <w:tcW w:w="1419" w:type="dxa"/>
            <w:gridSpan w:val="2"/>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注册造价师人数</w:t>
            </w:r>
          </w:p>
        </w:tc>
        <w:tc>
          <w:tcPr>
            <w:tcW w:w="1534" w:type="dxa"/>
            <w:gridSpan w:val="2"/>
            <w:vAlign w:val="center"/>
          </w:tcPr>
          <w:p>
            <w:pPr>
              <w:jc w:val="center"/>
              <w:rPr>
                <w:rFonts w:asciiTheme="majorEastAsia" w:hAnsiTheme="majorEastAsia" w:eastAsiaTheme="majorEastAsia" w:cstheme="majorEastAsia"/>
                <w:szCs w:val="21"/>
              </w:rPr>
            </w:pPr>
          </w:p>
        </w:tc>
        <w:tc>
          <w:tcPr>
            <w:tcW w:w="141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会计师人数</w:t>
            </w:r>
          </w:p>
        </w:tc>
        <w:tc>
          <w:tcPr>
            <w:tcW w:w="1367"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所有制类别</w:t>
            </w:r>
          </w:p>
        </w:tc>
        <w:tc>
          <w:tcPr>
            <w:tcW w:w="1756" w:type="dxa"/>
            <w:vAlign w:val="center"/>
          </w:tcPr>
          <w:p>
            <w:pPr>
              <w:jc w:val="center"/>
              <w:rPr>
                <w:rFonts w:asciiTheme="majorEastAsia" w:hAnsiTheme="majorEastAsia" w:eastAsiaTheme="majorEastAsia" w:cstheme="majorEastAsia"/>
                <w:szCs w:val="21"/>
              </w:rPr>
            </w:pPr>
          </w:p>
        </w:tc>
        <w:tc>
          <w:tcPr>
            <w:tcW w:w="1419" w:type="dxa"/>
            <w:gridSpan w:val="2"/>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成立时间</w:t>
            </w:r>
          </w:p>
        </w:tc>
        <w:tc>
          <w:tcPr>
            <w:tcW w:w="4319" w:type="dxa"/>
            <w:gridSpan w:val="4"/>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资质</w:t>
            </w:r>
          </w:p>
        </w:tc>
        <w:tc>
          <w:tcPr>
            <w:tcW w:w="1756" w:type="dxa"/>
            <w:vAlign w:val="center"/>
          </w:tcPr>
          <w:p>
            <w:pPr>
              <w:jc w:val="center"/>
              <w:rPr>
                <w:rFonts w:asciiTheme="majorEastAsia" w:hAnsiTheme="majorEastAsia" w:eastAsiaTheme="majorEastAsia" w:cstheme="majorEastAsia"/>
                <w:szCs w:val="21"/>
              </w:rPr>
            </w:pPr>
          </w:p>
        </w:tc>
        <w:tc>
          <w:tcPr>
            <w:tcW w:w="1419" w:type="dxa"/>
            <w:gridSpan w:val="2"/>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证号</w:t>
            </w:r>
          </w:p>
        </w:tc>
        <w:tc>
          <w:tcPr>
            <w:tcW w:w="1534" w:type="dxa"/>
            <w:gridSpan w:val="2"/>
            <w:vAlign w:val="center"/>
          </w:tcPr>
          <w:p>
            <w:pPr>
              <w:jc w:val="center"/>
              <w:rPr>
                <w:rFonts w:asciiTheme="majorEastAsia" w:hAnsiTheme="majorEastAsia" w:eastAsiaTheme="majorEastAsia" w:cstheme="majorEastAsia"/>
                <w:szCs w:val="21"/>
              </w:rPr>
            </w:pPr>
          </w:p>
        </w:tc>
        <w:tc>
          <w:tcPr>
            <w:tcW w:w="1418"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发证单位</w:t>
            </w:r>
          </w:p>
        </w:tc>
        <w:tc>
          <w:tcPr>
            <w:tcW w:w="1367"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主管部门</w:t>
            </w:r>
          </w:p>
        </w:tc>
        <w:tc>
          <w:tcPr>
            <w:tcW w:w="3175" w:type="dxa"/>
            <w:gridSpan w:val="3"/>
            <w:vAlign w:val="center"/>
          </w:tcPr>
          <w:p>
            <w:pPr>
              <w:jc w:val="center"/>
              <w:rPr>
                <w:rFonts w:asciiTheme="majorEastAsia" w:hAnsiTheme="majorEastAsia" w:eastAsiaTheme="majorEastAsia" w:cstheme="majorEastAsia"/>
                <w:szCs w:val="21"/>
              </w:rPr>
            </w:pPr>
          </w:p>
        </w:tc>
        <w:tc>
          <w:tcPr>
            <w:tcW w:w="1534" w:type="dxa"/>
            <w:gridSpan w:val="2"/>
            <w:vAlign w:val="center"/>
          </w:tcPr>
          <w:p>
            <w:pPr>
              <w:jc w:val="center"/>
              <w:rPr>
                <w:rFonts w:asciiTheme="majorEastAsia" w:hAnsiTheme="majorEastAsia" w:eastAsiaTheme="majorEastAsia" w:cstheme="majorEastAsia"/>
                <w:spacing w:val="-12"/>
                <w:szCs w:val="21"/>
              </w:rPr>
            </w:pPr>
            <w:r>
              <w:rPr>
                <w:rFonts w:hint="eastAsia" w:asciiTheme="majorEastAsia" w:hAnsiTheme="majorEastAsia" w:eastAsiaTheme="majorEastAsia" w:cstheme="majorEastAsia"/>
                <w:spacing w:val="-12"/>
                <w:szCs w:val="21"/>
              </w:rPr>
              <w:t>营业执照证号</w:t>
            </w:r>
          </w:p>
        </w:tc>
        <w:tc>
          <w:tcPr>
            <w:tcW w:w="2785" w:type="dxa"/>
            <w:gridSpan w:val="2"/>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54" w:type="dxa"/>
            <w:tcBorders>
              <w:bottom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开户银行</w:t>
            </w:r>
          </w:p>
        </w:tc>
        <w:tc>
          <w:tcPr>
            <w:tcW w:w="2303" w:type="dxa"/>
            <w:gridSpan w:val="2"/>
            <w:tcBorders>
              <w:bottom w:val="single" w:color="auto" w:sz="4" w:space="0"/>
            </w:tcBorders>
            <w:vAlign w:val="center"/>
          </w:tcPr>
          <w:p>
            <w:pPr>
              <w:jc w:val="center"/>
              <w:rPr>
                <w:rFonts w:asciiTheme="majorEastAsia" w:hAnsiTheme="majorEastAsia" w:eastAsiaTheme="majorEastAsia" w:cstheme="majorEastAsia"/>
                <w:szCs w:val="21"/>
              </w:rPr>
            </w:pPr>
          </w:p>
        </w:tc>
        <w:tc>
          <w:tcPr>
            <w:tcW w:w="872" w:type="dxa"/>
            <w:tcBorders>
              <w:bottom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帐号</w:t>
            </w:r>
          </w:p>
        </w:tc>
        <w:tc>
          <w:tcPr>
            <w:tcW w:w="1534" w:type="dxa"/>
            <w:gridSpan w:val="2"/>
            <w:tcBorders>
              <w:bottom w:val="single" w:color="auto" w:sz="4" w:space="0"/>
            </w:tcBorders>
            <w:vAlign w:val="center"/>
          </w:tcPr>
          <w:p>
            <w:pPr>
              <w:jc w:val="center"/>
              <w:rPr>
                <w:rFonts w:asciiTheme="majorEastAsia" w:hAnsiTheme="majorEastAsia" w:eastAsiaTheme="majorEastAsia" w:cstheme="majorEastAsia"/>
                <w:szCs w:val="21"/>
              </w:rPr>
            </w:pPr>
          </w:p>
        </w:tc>
        <w:tc>
          <w:tcPr>
            <w:tcW w:w="1418" w:type="dxa"/>
            <w:tcBorders>
              <w:bottom w:val="single" w:color="auto" w:sz="4" w:space="0"/>
            </w:tcBorders>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电话</w:t>
            </w:r>
          </w:p>
        </w:tc>
        <w:tc>
          <w:tcPr>
            <w:tcW w:w="1367" w:type="dxa"/>
            <w:tcBorders>
              <w:bottom w:val="single" w:color="auto" w:sz="4" w:space="0"/>
            </w:tcBorders>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资金情况</w:t>
            </w:r>
          </w:p>
        </w:tc>
        <w:tc>
          <w:tcPr>
            <w:tcW w:w="7494" w:type="dxa"/>
            <w:gridSpan w:val="7"/>
            <w:vAlign w:val="center"/>
          </w:tcPr>
          <w:p>
            <w:pPr>
              <w:rPr>
                <w:rFonts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企业注册资金     万元，</w:t>
            </w:r>
          </w:p>
          <w:p>
            <w:pPr>
              <w:rPr>
                <w:rFonts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其中固定资金     万元，</w:t>
            </w:r>
          </w:p>
          <w:p>
            <w:pPr>
              <w:rPr>
                <w:rFonts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流动资金      万元，</w:t>
            </w:r>
          </w:p>
          <w:p>
            <w:pPr>
              <w:rPr>
                <w:rFonts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流动资金中自有资金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经营范围</w:t>
            </w:r>
          </w:p>
        </w:tc>
        <w:tc>
          <w:tcPr>
            <w:tcW w:w="3399" w:type="dxa"/>
            <w:gridSpan w:val="4"/>
            <w:vAlign w:val="center"/>
          </w:tcPr>
          <w:p>
            <w:pPr>
              <w:jc w:val="center"/>
              <w:rPr>
                <w:rFonts w:asciiTheme="majorEastAsia" w:hAnsiTheme="majorEastAsia" w:eastAsiaTheme="majorEastAsia" w:cstheme="majorEastAsia"/>
                <w:szCs w:val="21"/>
              </w:rPr>
            </w:pPr>
          </w:p>
        </w:tc>
        <w:tc>
          <w:tcPr>
            <w:tcW w:w="1310"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发证单位</w:t>
            </w:r>
          </w:p>
        </w:tc>
        <w:tc>
          <w:tcPr>
            <w:tcW w:w="2785" w:type="dxa"/>
            <w:gridSpan w:val="2"/>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1554"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组织</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机构</w:t>
            </w:r>
          </w:p>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框图</w:t>
            </w:r>
          </w:p>
        </w:tc>
        <w:tc>
          <w:tcPr>
            <w:tcW w:w="7494" w:type="dxa"/>
            <w:gridSpan w:val="7"/>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lang w:eastAsia="zh-CN"/>
              </w:rPr>
              <w:t>（不够可另加附件补充。</w:t>
            </w:r>
            <w:r>
              <w:rPr>
                <w:rFonts w:hint="eastAsia" w:asciiTheme="majorEastAsia" w:hAnsiTheme="majorEastAsia" w:eastAsiaTheme="majorEastAsia" w:cstheme="majorEastAsia"/>
                <w:szCs w:val="21"/>
              </w:rPr>
              <w:t>）</w:t>
            </w:r>
          </w:p>
        </w:tc>
      </w:tr>
    </w:tbl>
    <w:p>
      <w:pPr>
        <w:ind w:right="-11"/>
        <w:rPr>
          <w:rFonts w:asciiTheme="majorEastAsia" w:hAnsiTheme="majorEastAsia" w:eastAsiaTheme="majorEastAsia" w:cstheme="majorEastAsia"/>
          <w:bCs/>
          <w:szCs w:val="21"/>
          <w:lang w:eastAsia="zh-CN"/>
        </w:rPr>
      </w:pPr>
      <w:r>
        <w:rPr>
          <w:rFonts w:hint="eastAsia" w:asciiTheme="majorEastAsia" w:hAnsiTheme="majorEastAsia" w:eastAsiaTheme="majorEastAsia" w:cstheme="majorEastAsia"/>
          <w:bCs/>
          <w:szCs w:val="21"/>
          <w:lang w:eastAsia="zh-CN"/>
        </w:rPr>
        <w:t>附注：随本表提供营业执照、资质证书等。</w:t>
      </w:r>
    </w:p>
    <w:p>
      <w:pPr>
        <w:rPr>
          <w:rFonts w:asciiTheme="majorEastAsia" w:hAnsiTheme="majorEastAsia" w:eastAsiaTheme="majorEastAsia" w:cstheme="majorEastAsia"/>
          <w:sz w:val="25"/>
          <w:szCs w:val="25"/>
          <w:lang w:eastAsia="zh-CN"/>
        </w:rPr>
      </w:pPr>
    </w:p>
    <w:p>
      <w:pPr>
        <w:ind w:firstLine="500" w:firstLineChars="2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投标人(盖公章)：</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1"/>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ind w:firstLine="500" w:firstLineChars="2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法定代表人(</w:t>
      </w:r>
      <w:r>
        <w:rPr>
          <w:rFonts w:hint="eastAsia" w:asciiTheme="majorEastAsia" w:hAnsiTheme="majorEastAsia" w:eastAsiaTheme="majorEastAsia" w:cstheme="majorEastAsia"/>
          <w:sz w:val="24"/>
          <w:szCs w:val="24"/>
          <w:lang w:eastAsia="zh-CN"/>
        </w:rPr>
        <w:t>签字或盖章</w:t>
      </w:r>
      <w:r>
        <w:rPr>
          <w:rFonts w:hint="eastAsia" w:asciiTheme="majorEastAsia" w:hAnsiTheme="majorEastAsia" w:eastAsiaTheme="majorEastAsia" w:cstheme="majorEastAsia"/>
          <w:sz w:val="25"/>
          <w:szCs w:val="25"/>
          <w:lang w:eastAsia="zh-CN"/>
        </w:rPr>
        <w:t>)：</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line="383" w:lineRule="exact"/>
        <w:jc w:val="center"/>
        <w:rPr>
          <w:rFonts w:asciiTheme="majorEastAsia" w:hAnsiTheme="majorEastAsia" w:eastAsiaTheme="majorEastAsia" w:cstheme="majorEastAsia"/>
          <w:b/>
          <w:bCs/>
          <w:sz w:val="30"/>
          <w:szCs w:val="30"/>
          <w:lang w:eastAsia="zh-CN"/>
        </w:rPr>
      </w:pPr>
    </w:p>
    <w:p>
      <w:pPr>
        <w:spacing w:line="383" w:lineRule="exact"/>
        <w:jc w:val="center"/>
        <w:rPr>
          <w:rFonts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sz w:val="25"/>
          <w:szCs w:val="25"/>
          <w:lang w:eastAsia="zh-CN"/>
        </w:rPr>
        <w:t xml:space="preserve">                        日   期：</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年</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 xml:space="preserve">月 </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3"/>
          <w:sz w:val="25"/>
          <w:szCs w:val="25"/>
          <w:u w:val="single"/>
          <w:lang w:eastAsia="zh-CN"/>
        </w:rPr>
        <w:t xml:space="preserve">  </w:t>
      </w:r>
      <w:r>
        <w:rPr>
          <w:rFonts w:hint="eastAsia" w:asciiTheme="majorEastAsia" w:hAnsiTheme="majorEastAsia" w:eastAsiaTheme="majorEastAsia" w:cstheme="majorEastAsia"/>
          <w:sz w:val="25"/>
          <w:szCs w:val="25"/>
          <w:lang w:eastAsia="zh-CN"/>
        </w:rPr>
        <w:t>日</w:t>
      </w:r>
    </w:p>
    <w:p>
      <w:pPr>
        <w:spacing w:line="383" w:lineRule="exact"/>
        <w:jc w:val="center"/>
        <w:rPr>
          <w:rFonts w:asciiTheme="majorEastAsia" w:hAnsiTheme="majorEastAsia" w:eastAsiaTheme="majorEastAsia" w:cstheme="majorEastAsia"/>
          <w:b/>
          <w:bCs/>
          <w:sz w:val="30"/>
          <w:szCs w:val="30"/>
          <w:lang w:eastAsia="zh-CN"/>
        </w:rPr>
      </w:pPr>
    </w:p>
    <w:p>
      <w:pPr>
        <w:pStyle w:val="7"/>
        <w:adjustRightInd w:val="0"/>
        <w:snapToGrid w:val="0"/>
        <w:spacing w:before="0" w:line="480" w:lineRule="auto"/>
        <w:ind w:left="0"/>
        <w:jc w:val="center"/>
        <w:rPr>
          <w:rFonts w:asciiTheme="majorEastAsia" w:hAnsiTheme="majorEastAsia" w:eastAsiaTheme="majorEastAsia" w:cstheme="majorEastAsia"/>
          <w:sz w:val="32"/>
          <w:lang w:eastAsia="zh-CN"/>
        </w:rPr>
      </w:pPr>
      <w:r>
        <w:rPr>
          <w:rFonts w:hint="eastAsia" w:asciiTheme="majorEastAsia" w:hAnsiTheme="majorEastAsia" w:eastAsiaTheme="majorEastAsia" w:cstheme="majorEastAsia"/>
          <w:sz w:val="32"/>
          <w:lang w:eastAsia="zh-CN"/>
        </w:rPr>
        <w:t>四、投标单位简介</w:t>
      </w:r>
    </w:p>
    <w:p>
      <w:pPr>
        <w:rPr>
          <w:rFonts w:asciiTheme="majorEastAsia" w:hAnsiTheme="majorEastAsia" w:eastAsiaTheme="majorEastAsia" w:cstheme="majorEastAsia"/>
          <w:szCs w:val="21"/>
          <w:lang w:eastAsia="zh-CN"/>
        </w:rPr>
      </w:pPr>
      <w:r>
        <w:rPr>
          <w:rFonts w:hint="eastAsia" w:asciiTheme="majorEastAsia" w:hAnsiTheme="majorEastAsia" w:eastAsiaTheme="majorEastAsia" w:cstheme="majorEastAsia"/>
          <w:szCs w:val="21"/>
          <w:lang w:eastAsia="zh-CN"/>
        </w:rPr>
        <w:t xml:space="preserve">项目名称：                                                     </w:t>
      </w:r>
    </w:p>
    <w:tbl>
      <w:tblPr>
        <w:tblStyle w:val="12"/>
        <w:tblW w:w="82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3" w:hRule="atLeast"/>
        </w:trPr>
        <w:tc>
          <w:tcPr>
            <w:tcW w:w="8266" w:type="dxa"/>
          </w:tcPr>
          <w:p>
            <w:pPr>
              <w:ind w:right="-11"/>
              <w:rPr>
                <w:rFonts w:asciiTheme="majorEastAsia" w:hAnsiTheme="majorEastAsia" w:eastAsiaTheme="majorEastAsia" w:cstheme="majorEastAsia"/>
                <w:szCs w:val="21"/>
                <w:lang w:eastAsia="zh-CN"/>
              </w:rPr>
            </w:pPr>
          </w:p>
        </w:tc>
      </w:tr>
    </w:tbl>
    <w:p>
      <w:pPr>
        <w:spacing w:before="22"/>
        <w:ind w:left="3932"/>
        <w:rPr>
          <w:rFonts w:asciiTheme="majorEastAsia" w:hAnsiTheme="majorEastAsia" w:eastAsiaTheme="majorEastAsia" w:cstheme="majorEastAsia"/>
          <w:sz w:val="25"/>
          <w:szCs w:val="25"/>
          <w:lang w:eastAsia="zh-CN"/>
        </w:rPr>
      </w:pPr>
    </w:p>
    <w:p>
      <w:pPr>
        <w:spacing w:before="22"/>
        <w:ind w:firstLine="500" w:firstLineChars="200"/>
        <w:rPr>
          <w:rFonts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5"/>
          <w:szCs w:val="25"/>
          <w:lang w:eastAsia="zh-CN"/>
        </w:rPr>
        <w:t>投标人(盖公章)：</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1"/>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76"/>
        <w:ind w:firstLine="500" w:firstLineChars="2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法定代表人(</w:t>
      </w:r>
      <w:r>
        <w:rPr>
          <w:rFonts w:hint="eastAsia" w:asciiTheme="majorEastAsia" w:hAnsiTheme="majorEastAsia" w:eastAsiaTheme="majorEastAsia" w:cstheme="majorEastAsia"/>
          <w:sz w:val="24"/>
          <w:szCs w:val="24"/>
          <w:lang w:eastAsia="zh-CN"/>
        </w:rPr>
        <w:t>签字或盖章</w:t>
      </w:r>
      <w:r>
        <w:rPr>
          <w:rFonts w:hint="eastAsia" w:asciiTheme="majorEastAsia" w:hAnsiTheme="majorEastAsia" w:eastAsiaTheme="majorEastAsia" w:cstheme="majorEastAsia"/>
          <w:sz w:val="25"/>
          <w:szCs w:val="25"/>
          <w:lang w:eastAsia="zh-CN"/>
        </w:rPr>
        <w:t>)：</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3"/>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line="383" w:lineRule="exact"/>
        <w:ind w:right="455"/>
        <w:jc w:val="center"/>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 xml:space="preserve">                       </w:t>
      </w:r>
    </w:p>
    <w:p>
      <w:pPr>
        <w:spacing w:line="383" w:lineRule="exact"/>
        <w:ind w:right="455"/>
        <w:jc w:val="center"/>
        <w:rPr>
          <w:rFonts w:asciiTheme="majorEastAsia" w:hAnsiTheme="majorEastAsia" w:eastAsiaTheme="majorEastAsia" w:cstheme="majorEastAsia"/>
          <w:b/>
          <w:bCs/>
          <w:sz w:val="30"/>
          <w:szCs w:val="30"/>
          <w:lang w:eastAsia="zh-CN"/>
        </w:rPr>
      </w:pPr>
      <w:r>
        <w:rPr>
          <w:rFonts w:hint="eastAsia" w:asciiTheme="majorEastAsia" w:hAnsiTheme="majorEastAsia" w:eastAsiaTheme="majorEastAsia" w:cstheme="majorEastAsia"/>
          <w:sz w:val="25"/>
          <w:szCs w:val="25"/>
          <w:lang w:eastAsia="zh-CN"/>
        </w:rPr>
        <w:t xml:space="preserve">                       日   期：</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年</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z w:val="25"/>
          <w:szCs w:val="25"/>
          <w:lang w:eastAsia="zh-CN"/>
        </w:rPr>
        <w:t xml:space="preserve">月 </w:t>
      </w:r>
      <w:r>
        <w:rPr>
          <w:rFonts w:hint="eastAsia" w:asciiTheme="majorEastAsia" w:hAnsiTheme="majorEastAsia" w:eastAsiaTheme="majorEastAsia" w:cstheme="majorEastAsia"/>
          <w:sz w:val="25"/>
          <w:szCs w:val="25"/>
          <w:u w:val="single"/>
          <w:lang w:eastAsia="zh-CN"/>
        </w:rPr>
        <w:t xml:space="preserve">   </w:t>
      </w:r>
      <w:r>
        <w:rPr>
          <w:rFonts w:hint="eastAsia" w:asciiTheme="majorEastAsia" w:hAnsiTheme="majorEastAsia" w:eastAsiaTheme="majorEastAsia" w:cstheme="majorEastAsia"/>
          <w:spacing w:val="123"/>
          <w:sz w:val="25"/>
          <w:szCs w:val="25"/>
          <w:u w:val="single"/>
          <w:lang w:eastAsia="zh-CN"/>
        </w:rPr>
        <w:t xml:space="preserve">  </w:t>
      </w:r>
      <w:r>
        <w:rPr>
          <w:rFonts w:hint="eastAsia" w:asciiTheme="majorEastAsia" w:hAnsiTheme="majorEastAsia" w:eastAsiaTheme="majorEastAsia" w:cstheme="majorEastAsia"/>
          <w:sz w:val="25"/>
          <w:szCs w:val="25"/>
          <w:lang w:eastAsia="zh-CN"/>
        </w:rPr>
        <w:t>日</w:t>
      </w:r>
    </w:p>
    <w:p>
      <w:pPr>
        <w:spacing w:line="383" w:lineRule="exact"/>
        <w:ind w:right="455"/>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五、投 标</w:t>
      </w:r>
      <w:r>
        <w:rPr>
          <w:rFonts w:hint="eastAsia" w:asciiTheme="majorEastAsia" w:hAnsiTheme="majorEastAsia" w:eastAsiaTheme="majorEastAsia" w:cstheme="majorEastAsia"/>
          <w:b/>
          <w:bCs/>
          <w:spacing w:val="-3"/>
          <w:sz w:val="30"/>
          <w:szCs w:val="30"/>
          <w:lang w:eastAsia="zh-CN"/>
        </w:rPr>
        <w:t xml:space="preserve"> </w:t>
      </w:r>
      <w:r>
        <w:rPr>
          <w:rFonts w:hint="eastAsia" w:asciiTheme="majorEastAsia" w:hAnsiTheme="majorEastAsia" w:eastAsiaTheme="majorEastAsia" w:cstheme="majorEastAsia"/>
          <w:b/>
          <w:bCs/>
          <w:sz w:val="30"/>
          <w:szCs w:val="30"/>
          <w:lang w:eastAsia="zh-CN"/>
        </w:rPr>
        <w:t>函</w:t>
      </w:r>
      <w:r>
        <w:rPr>
          <w:rFonts w:hint="eastAsia" w:asciiTheme="majorEastAsia" w:hAnsiTheme="majorEastAsia" w:eastAsiaTheme="majorEastAsia" w:cstheme="majorEastAsia"/>
          <w:b/>
          <w:bCs/>
          <w:w w:val="99"/>
          <w:sz w:val="30"/>
          <w:szCs w:val="30"/>
          <w:lang w:eastAsia="zh-CN"/>
        </w:rPr>
        <w:t xml:space="preserve"> </w:t>
      </w:r>
    </w:p>
    <w:p>
      <w:pPr>
        <w:spacing w:line="389" w:lineRule="exact"/>
        <w:ind w:right="453"/>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w w:val="99"/>
          <w:sz w:val="30"/>
          <w:lang w:eastAsia="zh-CN"/>
        </w:rPr>
        <w:t xml:space="preserve"> </w:t>
      </w:r>
    </w:p>
    <w:p>
      <w:pPr>
        <w:spacing w:line="391" w:lineRule="exact"/>
        <w:ind w:right="453"/>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w w:val="99"/>
          <w:sz w:val="30"/>
          <w:lang w:eastAsia="zh-CN"/>
        </w:rPr>
        <w:t xml:space="preserve"> </w:t>
      </w:r>
    </w:p>
    <w:p>
      <w:pPr>
        <w:pStyle w:val="8"/>
        <w:spacing w:before="0" w:line="480" w:lineRule="auto"/>
        <w:ind w:left="0"/>
        <w:rPr>
          <w:rFonts w:asciiTheme="majorEastAsia" w:hAnsiTheme="majorEastAsia" w:eastAsiaTheme="majorEastAsia" w:cstheme="majorEastAsia"/>
          <w:lang w:eastAsia="zh-CN"/>
        </w:rPr>
      </w:pPr>
      <w:r>
        <w:rPr>
          <w:rFonts w:hint="eastAsia" w:asciiTheme="majorEastAsia" w:hAnsiTheme="majorEastAsia" w:eastAsiaTheme="majorEastAsia" w:cstheme="majorEastAsia"/>
          <w:u w:val="single" w:color="000000"/>
          <w:lang w:eastAsia="zh-CN"/>
        </w:rPr>
        <w:t xml:space="preserve">     </w:t>
      </w:r>
      <w:r>
        <w:rPr>
          <w:rFonts w:hint="eastAsia" w:asciiTheme="majorEastAsia" w:hAnsiTheme="majorEastAsia" w:eastAsiaTheme="majorEastAsia" w:cstheme="majorEastAsia"/>
          <w:spacing w:val="-1"/>
          <w:u w:val="single" w:color="000000"/>
          <w:lang w:eastAsia="zh-CN"/>
        </w:rPr>
        <w:t xml:space="preserve"> </w:t>
      </w:r>
      <w:r>
        <w:rPr>
          <w:rFonts w:hint="eastAsia" w:asciiTheme="majorEastAsia" w:hAnsiTheme="majorEastAsia" w:eastAsiaTheme="majorEastAsia" w:cstheme="majorEastAsia"/>
          <w:u w:val="single" w:color="000000"/>
          <w:lang w:eastAsia="zh-CN"/>
        </w:rPr>
        <w:t xml:space="preserve">                             </w:t>
      </w:r>
      <w:r>
        <w:rPr>
          <w:rFonts w:hint="eastAsia" w:asciiTheme="majorEastAsia" w:hAnsiTheme="majorEastAsia" w:eastAsiaTheme="majorEastAsia" w:cstheme="majorEastAsia"/>
          <w:spacing w:val="-120"/>
          <w:lang w:eastAsia="zh-CN"/>
        </w:rPr>
        <w:t>：</w:t>
      </w:r>
      <w:r>
        <w:rPr>
          <w:rFonts w:hint="eastAsia" w:asciiTheme="majorEastAsia" w:hAnsiTheme="majorEastAsia" w:eastAsiaTheme="majorEastAsia" w:cstheme="majorEastAsia"/>
          <w:lang w:eastAsia="zh-CN"/>
        </w:rPr>
        <w:t xml:space="preserve">（招标人名称） </w:t>
      </w:r>
    </w:p>
    <w:p>
      <w:pPr>
        <w:spacing w:line="480" w:lineRule="auto"/>
        <w:rPr>
          <w:rFonts w:asciiTheme="majorEastAsia" w:hAnsiTheme="majorEastAsia" w:eastAsiaTheme="majorEastAsia" w:cstheme="majorEastAsia"/>
          <w:sz w:val="21"/>
          <w:szCs w:val="21"/>
          <w:lang w:eastAsia="zh-CN"/>
        </w:rPr>
      </w:pPr>
    </w:p>
    <w:p>
      <w:pPr>
        <w:pStyle w:val="8"/>
        <w:spacing w:before="0" w:line="480" w:lineRule="auto"/>
        <w:ind w:left="0" w:firstLine="48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spacing w:val="-2"/>
          <w:lang w:eastAsia="zh-CN"/>
        </w:rPr>
        <w:t>1．本单位收到并研究了贵方的招标文件，愿意按招标文件规定的工作内容承担招标方</w:t>
      </w:r>
      <w:r>
        <w:rPr>
          <w:rFonts w:hint="eastAsia" w:asciiTheme="majorEastAsia" w:hAnsiTheme="majorEastAsia" w:eastAsiaTheme="majorEastAsia" w:cstheme="majorEastAsia"/>
          <w:lang w:eastAsia="zh-CN"/>
        </w:rPr>
        <w:t>委托工程造价咨询任务，严格执行承诺的咨询义务，并愿以</w:t>
      </w:r>
      <w:r>
        <w:rPr>
          <w:rFonts w:hint="eastAsia" w:asciiTheme="majorEastAsia" w:hAnsiTheme="majorEastAsia" w:eastAsiaTheme="majorEastAsia" w:cstheme="majorEastAsia"/>
          <w:u w:val="single"/>
          <w:lang w:eastAsia="zh-CN"/>
        </w:rPr>
        <w:t xml:space="preserve">    </w:t>
      </w:r>
      <w:r>
        <w:rPr>
          <w:rFonts w:hint="eastAsia" w:asciiTheme="majorEastAsia" w:hAnsiTheme="majorEastAsia" w:eastAsiaTheme="majorEastAsia" w:cstheme="majorEastAsia"/>
          <w:lang w:eastAsia="zh-CN"/>
        </w:rPr>
        <w:t>%的下浮率（下浮率约定为正数），按招标文件的要求承包本次招标范围内的全部工程，修补工程中的任何缺陷。</w:t>
      </w:r>
    </w:p>
    <w:p>
      <w:pPr>
        <w:pStyle w:val="8"/>
        <w:spacing w:before="0" w:line="480" w:lineRule="auto"/>
        <w:ind w:left="0" w:firstLine="480" w:firstLineChars="20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2</w:t>
      </w:r>
      <w:r>
        <w:rPr>
          <w:rFonts w:hint="eastAsia" w:asciiTheme="majorEastAsia" w:hAnsiTheme="majorEastAsia" w:eastAsiaTheme="majorEastAsia" w:cstheme="majorEastAsia"/>
          <w:spacing w:val="-1"/>
          <w:lang w:eastAsia="zh-CN"/>
        </w:rPr>
        <w:t>．</w:t>
      </w:r>
      <w:r>
        <w:rPr>
          <w:rFonts w:hint="eastAsia" w:asciiTheme="majorEastAsia" w:hAnsiTheme="majorEastAsia" w:eastAsiaTheme="majorEastAsia" w:cstheme="majorEastAsia"/>
          <w:lang w:eastAsia="zh-CN"/>
        </w:rPr>
        <w:t xml:space="preserve">本单位承诺本投标函以及投标文件的其他部分作为我们投标的组成部分。 </w:t>
      </w:r>
    </w:p>
    <w:p>
      <w:pPr>
        <w:pStyle w:val="8"/>
        <w:spacing w:before="0" w:line="480" w:lineRule="auto"/>
        <w:ind w:left="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4.</w:t>
      </w:r>
      <w:r>
        <w:rPr>
          <w:rFonts w:hint="eastAsia" w:asciiTheme="majorEastAsia" w:hAnsiTheme="majorEastAsia" w:eastAsiaTheme="majorEastAsia" w:cstheme="majorEastAsia"/>
          <w:spacing w:val="-65"/>
          <w:lang w:eastAsia="zh-CN"/>
        </w:rPr>
        <w:t xml:space="preserve"> </w:t>
      </w:r>
      <w:r>
        <w:rPr>
          <w:rFonts w:hint="eastAsia" w:asciiTheme="majorEastAsia" w:hAnsiTheme="majorEastAsia" w:eastAsiaTheme="majorEastAsia" w:cstheme="majorEastAsia"/>
          <w:lang w:eastAsia="zh-CN"/>
        </w:rPr>
        <w:t xml:space="preserve">如本单位中标，我单位保证按招标文件的要求和贵方签订委托协议，成立结算审计小组，并按投标文件的承诺安排专业人员实施服务，项目负责人为 </w:t>
      </w:r>
      <w:r>
        <w:rPr>
          <w:rFonts w:hint="eastAsia" w:asciiTheme="majorEastAsia" w:hAnsiTheme="majorEastAsia" w:eastAsiaTheme="majorEastAsia" w:cstheme="majorEastAsia"/>
          <w:u w:val="single" w:color="000000"/>
          <w:lang w:eastAsia="zh-CN"/>
        </w:rPr>
        <w:t xml:space="preserve">              </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u w:val="single" w:color="000000"/>
          <w:lang w:eastAsia="zh-CN"/>
        </w:rPr>
        <w:t xml:space="preserve">土建主审为           </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u w:val="single" w:color="000000"/>
          <w:lang w:eastAsia="zh-CN"/>
        </w:rPr>
        <w:t xml:space="preserve">安装主审为           </w:t>
      </w:r>
      <w:r>
        <w:rPr>
          <w:rFonts w:hint="eastAsia" w:asciiTheme="majorEastAsia" w:hAnsiTheme="majorEastAsia" w:eastAsiaTheme="majorEastAsia" w:cstheme="majorEastAsia"/>
          <w:lang w:eastAsia="zh-CN"/>
        </w:rPr>
        <w:t xml:space="preserve">。我公司承诺服务费期内服务价格不变。 </w:t>
      </w:r>
    </w:p>
    <w:p>
      <w:pPr>
        <w:pStyle w:val="8"/>
        <w:spacing w:before="0" w:line="480" w:lineRule="auto"/>
        <w:ind w:left="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5. 本单位同意从投标截止之日起 90</w:t>
      </w:r>
      <w:r>
        <w:rPr>
          <w:rFonts w:hint="eastAsia" w:asciiTheme="majorEastAsia" w:hAnsiTheme="majorEastAsia" w:eastAsiaTheme="majorEastAsia" w:cstheme="majorEastAsia"/>
          <w:spacing w:val="-69"/>
          <w:lang w:eastAsia="zh-CN"/>
        </w:rPr>
        <w:t xml:space="preserve"> </w:t>
      </w:r>
      <w:r>
        <w:rPr>
          <w:rFonts w:hint="eastAsia" w:asciiTheme="majorEastAsia" w:hAnsiTheme="majorEastAsia" w:eastAsiaTheme="majorEastAsia" w:cstheme="majorEastAsia"/>
          <w:lang w:eastAsia="zh-CN"/>
        </w:rPr>
        <w:t xml:space="preserve">天内信守本投标文件，在此期限期满之前的任何时间，本投标文件一直对我们具有约束力。 </w:t>
      </w:r>
    </w:p>
    <w:p>
      <w:pPr>
        <w:pStyle w:val="8"/>
        <w:spacing w:before="0" w:line="480" w:lineRule="auto"/>
        <w:ind w:left="0"/>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w:t>
      </w:r>
    </w:p>
    <w:p>
      <w:pPr>
        <w:pStyle w:val="8"/>
        <w:spacing w:before="151"/>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w:t>
      </w:r>
    </w:p>
    <w:p>
      <w:pPr>
        <w:pStyle w:val="8"/>
        <w:spacing w:before="154"/>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投标</w:t>
      </w:r>
      <w:r>
        <w:rPr>
          <w:rFonts w:hint="eastAsia" w:asciiTheme="majorEastAsia" w:hAnsiTheme="majorEastAsia" w:eastAsiaTheme="majorEastAsia" w:cstheme="majorEastAsia"/>
          <w:spacing w:val="-1"/>
          <w:lang w:eastAsia="zh-CN"/>
        </w:rPr>
        <w:t>人</w:t>
      </w:r>
      <w:r>
        <w:rPr>
          <w:rFonts w:hint="eastAsia" w:asciiTheme="majorEastAsia" w:hAnsiTheme="majorEastAsia" w:eastAsiaTheme="majorEastAsia" w:cstheme="majorEastAsia"/>
          <w:lang w:eastAsia="zh-CN"/>
        </w:rPr>
        <w:t>（盖公章</w:t>
      </w:r>
      <w:r>
        <w:rPr>
          <w:rFonts w:hint="eastAsia" w:asciiTheme="majorEastAsia" w:hAnsiTheme="majorEastAsia" w:eastAsiaTheme="majorEastAsia" w:cstheme="majorEastAsia"/>
          <w:spacing w:val="-120"/>
          <w:lang w:eastAsia="zh-CN"/>
        </w:rPr>
        <w:t>）</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u w:val="single" w:color="000000"/>
          <w:lang w:eastAsia="zh-CN"/>
        </w:rPr>
        <w:t xml:space="preserve">                                     </w:t>
      </w:r>
      <w:r>
        <w:rPr>
          <w:rFonts w:hint="eastAsia" w:asciiTheme="majorEastAsia" w:hAnsiTheme="majorEastAsia" w:eastAsiaTheme="majorEastAsia" w:cstheme="majorEastAsia"/>
          <w:lang w:eastAsia="zh-CN"/>
        </w:rPr>
        <w:t xml:space="preserve"> </w:t>
      </w:r>
    </w:p>
    <w:p>
      <w:pPr>
        <w:pStyle w:val="8"/>
        <w:spacing w:before="151"/>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 xml:space="preserve"> </w:t>
      </w:r>
    </w:p>
    <w:p>
      <w:pPr>
        <w:pStyle w:val="8"/>
        <w:spacing w:before="154"/>
        <w:jc w:val="both"/>
        <w:rPr>
          <w:rFonts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法定代表人（签字或盖章）：</w:t>
      </w:r>
      <w:r>
        <w:rPr>
          <w:rFonts w:hint="eastAsia" w:asciiTheme="majorEastAsia" w:hAnsiTheme="majorEastAsia" w:eastAsiaTheme="majorEastAsia" w:cstheme="majorEastAsia"/>
          <w:u w:val="single" w:color="000000"/>
          <w:lang w:eastAsia="zh-CN"/>
        </w:rPr>
        <w:t xml:space="preserve">                                      </w:t>
      </w:r>
      <w:r>
        <w:rPr>
          <w:rFonts w:hint="eastAsia" w:asciiTheme="majorEastAsia" w:hAnsiTheme="majorEastAsia" w:eastAsiaTheme="majorEastAsia" w:cstheme="majorEastAsia"/>
          <w:lang w:eastAsia="zh-CN"/>
        </w:rPr>
        <w:t xml:space="preserve"> </w:t>
      </w:r>
    </w:p>
    <w:p>
      <w:pPr>
        <w:rPr>
          <w:rFonts w:asciiTheme="majorEastAsia" w:hAnsiTheme="majorEastAsia" w:eastAsiaTheme="majorEastAsia" w:cstheme="majorEastAsia"/>
          <w:sz w:val="20"/>
          <w:szCs w:val="20"/>
          <w:lang w:eastAsia="zh-CN"/>
        </w:rPr>
      </w:pPr>
    </w:p>
    <w:p>
      <w:pPr>
        <w:spacing w:before="7"/>
        <w:rPr>
          <w:rFonts w:asciiTheme="majorEastAsia" w:hAnsiTheme="majorEastAsia" w:eastAsiaTheme="majorEastAsia" w:cstheme="majorEastAsia"/>
          <w:sz w:val="17"/>
          <w:szCs w:val="17"/>
          <w:lang w:eastAsia="zh-CN"/>
        </w:rPr>
      </w:pPr>
    </w:p>
    <w:p>
      <w:pPr>
        <w:pStyle w:val="8"/>
        <w:spacing w:before="129" w:line="303" w:lineRule="exact"/>
        <w:ind w:left="0" w:right="422"/>
        <w:jc w:val="center"/>
        <w:rPr>
          <w:rFonts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lang w:eastAsia="zh-CN"/>
        </w:rPr>
        <w:t xml:space="preserve">                                  日期：      年     月     日</w:t>
      </w:r>
      <w:r>
        <w:rPr>
          <w:rFonts w:hint="eastAsia" w:asciiTheme="majorEastAsia" w:hAnsiTheme="majorEastAsia" w:eastAsiaTheme="majorEastAsia" w:cstheme="majorEastAsia"/>
          <w:b/>
          <w:bCs/>
          <w:w w:val="99"/>
          <w:sz w:val="36"/>
          <w:szCs w:val="36"/>
          <w:lang w:eastAsia="zh-CN"/>
        </w:rPr>
        <w:t xml:space="preserve"> </w:t>
      </w:r>
    </w:p>
    <w:p>
      <w:pPr>
        <w:spacing w:line="458" w:lineRule="exact"/>
        <w:ind w:right="423"/>
        <w:jc w:val="center"/>
        <w:rPr>
          <w:rFonts w:asciiTheme="majorEastAsia" w:hAnsiTheme="majorEastAsia" w:eastAsiaTheme="majorEastAsia" w:cstheme="majorEastAsia"/>
          <w:b/>
          <w:w w:val="99"/>
          <w:sz w:val="36"/>
          <w:lang w:eastAsia="zh-CN"/>
        </w:rPr>
        <w:sectPr>
          <w:pgSz w:w="11910" w:h="16850"/>
          <w:pgMar w:top="1440" w:right="1800" w:bottom="1440" w:left="1800" w:header="0" w:footer="910" w:gutter="0"/>
          <w:cols w:space="720" w:num="1"/>
        </w:sectPr>
      </w:pPr>
      <w:r>
        <w:rPr>
          <w:rFonts w:hint="eastAsia" w:asciiTheme="majorEastAsia" w:hAnsiTheme="majorEastAsia" w:eastAsiaTheme="majorEastAsia" w:cstheme="majorEastAsia"/>
          <w:b/>
          <w:w w:val="99"/>
          <w:sz w:val="36"/>
          <w:lang w:eastAsia="zh-CN"/>
        </w:rPr>
        <w:t xml:space="preserve"> </w:t>
      </w:r>
    </w:p>
    <w:p>
      <w:pPr>
        <w:spacing w:line="480" w:lineRule="auto"/>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w w:val="99"/>
          <w:sz w:val="36"/>
          <w:lang w:eastAsia="zh-CN"/>
        </w:rPr>
        <w:t xml:space="preserve"> </w:t>
      </w:r>
      <w:r>
        <w:rPr>
          <w:rFonts w:hint="eastAsia" w:asciiTheme="majorEastAsia" w:hAnsiTheme="majorEastAsia" w:eastAsiaTheme="majorEastAsia" w:cstheme="majorEastAsia"/>
          <w:b/>
          <w:bCs/>
          <w:sz w:val="30"/>
          <w:szCs w:val="30"/>
          <w:lang w:eastAsia="zh-CN"/>
        </w:rPr>
        <w:t>六、项目组成员一览表</w:t>
      </w:r>
      <w:r>
        <w:rPr>
          <w:rFonts w:hint="eastAsia" w:asciiTheme="majorEastAsia" w:hAnsiTheme="majorEastAsia" w:eastAsiaTheme="majorEastAsia" w:cstheme="majorEastAsia"/>
          <w:b/>
          <w:bCs/>
          <w:w w:val="99"/>
          <w:sz w:val="30"/>
          <w:szCs w:val="30"/>
          <w:lang w:eastAsia="zh-CN"/>
        </w:rPr>
        <w:t xml:space="preserve"> </w:t>
      </w:r>
    </w:p>
    <w:p>
      <w:pPr>
        <w:spacing w:before="135"/>
        <w:ind w:left="223"/>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 xml:space="preserve">项目名称： </w:t>
      </w:r>
    </w:p>
    <w:tbl>
      <w:tblPr>
        <w:tblStyle w:val="13"/>
        <w:tblW w:w="14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568"/>
        <w:gridCol w:w="855"/>
        <w:gridCol w:w="1050"/>
        <w:gridCol w:w="1518"/>
        <w:gridCol w:w="1377"/>
        <w:gridCol w:w="1370"/>
        <w:gridCol w:w="2127"/>
        <w:gridCol w:w="1417"/>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序号</w:t>
            </w:r>
          </w:p>
        </w:tc>
        <w:tc>
          <w:tcPr>
            <w:tcW w:w="1568"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项目组</w:t>
            </w:r>
          </w:p>
        </w:tc>
        <w:tc>
          <w:tcPr>
            <w:tcW w:w="855"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姓名</w:t>
            </w:r>
          </w:p>
        </w:tc>
        <w:tc>
          <w:tcPr>
            <w:tcW w:w="1050"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年龄</w:t>
            </w:r>
          </w:p>
        </w:tc>
        <w:tc>
          <w:tcPr>
            <w:tcW w:w="1518"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资格证书号</w:t>
            </w:r>
          </w:p>
        </w:tc>
        <w:tc>
          <w:tcPr>
            <w:tcW w:w="1377"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工作年限</w:t>
            </w:r>
          </w:p>
        </w:tc>
        <w:tc>
          <w:tcPr>
            <w:tcW w:w="1370" w:type="dxa"/>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职称</w:t>
            </w:r>
          </w:p>
        </w:tc>
        <w:tc>
          <w:tcPr>
            <w:tcW w:w="2127"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是否为市优秀造价师</w:t>
            </w:r>
          </w:p>
        </w:tc>
        <w:tc>
          <w:tcPr>
            <w:tcW w:w="1417"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代表业绩</w:t>
            </w:r>
          </w:p>
        </w:tc>
        <w:tc>
          <w:tcPr>
            <w:tcW w:w="2325" w:type="dxa"/>
            <w:vAlign w:val="center"/>
          </w:tcPr>
          <w:p>
            <w:pPr>
              <w:spacing w:line="500" w:lineRule="exact"/>
              <w:jc w:val="center"/>
              <w:rPr>
                <w:rFonts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1</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项目负责人</w:t>
            </w: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2</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土建主审</w:t>
            </w: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2-1</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安装主审</w:t>
            </w: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2-2</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项目组其他成员</w:t>
            </w: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2-3</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2-4</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vAlign w:val="center"/>
          </w:tcPr>
          <w:p>
            <w:pPr>
              <w:spacing w:line="500" w:lineRule="exact"/>
              <w:jc w:val="center"/>
              <w:rPr>
                <w:rFonts w:asciiTheme="majorEastAsia" w:hAnsiTheme="majorEastAsia" w:eastAsiaTheme="majorEastAsia" w:cstheme="majorEastAsia"/>
                <w:sz w:val="21"/>
                <w:szCs w:val="21"/>
                <w:lang w:eastAsia="zh-CN"/>
              </w:rPr>
            </w:pPr>
            <w:r>
              <w:rPr>
                <w:rFonts w:asciiTheme="majorEastAsia" w:hAnsiTheme="majorEastAsia" w:eastAsiaTheme="majorEastAsia" w:cstheme="majorEastAsia"/>
                <w:sz w:val="21"/>
                <w:szCs w:val="21"/>
                <w:lang w:eastAsia="zh-CN"/>
              </w:rPr>
              <w:t>…</w:t>
            </w:r>
          </w:p>
        </w:tc>
        <w:tc>
          <w:tcPr>
            <w:tcW w:w="156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855"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050"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518"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370" w:type="dxa"/>
          </w:tcPr>
          <w:p>
            <w:pPr>
              <w:spacing w:line="500" w:lineRule="exact"/>
              <w:jc w:val="center"/>
              <w:rPr>
                <w:rFonts w:asciiTheme="majorEastAsia" w:hAnsiTheme="majorEastAsia" w:eastAsiaTheme="majorEastAsia" w:cstheme="majorEastAsia"/>
                <w:sz w:val="21"/>
                <w:szCs w:val="21"/>
                <w:lang w:eastAsia="zh-CN"/>
              </w:rPr>
            </w:pPr>
          </w:p>
        </w:tc>
        <w:tc>
          <w:tcPr>
            <w:tcW w:w="212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1417" w:type="dxa"/>
            <w:vAlign w:val="center"/>
          </w:tcPr>
          <w:p>
            <w:pPr>
              <w:spacing w:line="500" w:lineRule="exact"/>
              <w:jc w:val="center"/>
              <w:rPr>
                <w:rFonts w:asciiTheme="majorEastAsia" w:hAnsiTheme="majorEastAsia" w:eastAsiaTheme="majorEastAsia" w:cstheme="majorEastAsia"/>
                <w:sz w:val="21"/>
                <w:szCs w:val="21"/>
                <w:lang w:eastAsia="zh-CN"/>
              </w:rPr>
            </w:pPr>
          </w:p>
        </w:tc>
        <w:tc>
          <w:tcPr>
            <w:tcW w:w="2325" w:type="dxa"/>
            <w:vAlign w:val="center"/>
          </w:tcPr>
          <w:p>
            <w:pPr>
              <w:spacing w:line="500" w:lineRule="exact"/>
              <w:jc w:val="center"/>
              <w:rPr>
                <w:rFonts w:asciiTheme="majorEastAsia" w:hAnsiTheme="majorEastAsia" w:eastAsiaTheme="majorEastAsia" w:cstheme="majorEastAsia"/>
                <w:sz w:val="21"/>
                <w:szCs w:val="21"/>
                <w:lang w:eastAsia="zh-CN"/>
              </w:rPr>
            </w:pPr>
          </w:p>
        </w:tc>
      </w:tr>
    </w:tbl>
    <w:p>
      <w:pPr>
        <w:spacing w:before="135"/>
        <w:ind w:left="223"/>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附：相关资格证书、职称证书、工作年限证明、市优秀造价师证明、业绩证明材料（合同及业主证明）、2020年1-8月的社保证明、劳动合同等材料等复印件并加盖单位公章。</w:t>
      </w:r>
    </w:p>
    <w:p>
      <w:pPr>
        <w:rPr>
          <w:rFonts w:asciiTheme="majorEastAsia" w:hAnsiTheme="majorEastAsia" w:eastAsiaTheme="majorEastAsia" w:cstheme="majorEastAsia"/>
          <w:sz w:val="20"/>
          <w:szCs w:val="20"/>
          <w:lang w:eastAsia="zh-CN"/>
        </w:rPr>
      </w:pPr>
    </w:p>
    <w:p>
      <w:pPr>
        <w:spacing w:before="4"/>
        <w:rPr>
          <w:rFonts w:asciiTheme="majorEastAsia" w:hAnsiTheme="majorEastAsia" w:eastAsiaTheme="majorEastAsia" w:cstheme="majorEastAsia"/>
          <w:sz w:val="18"/>
          <w:szCs w:val="18"/>
          <w:lang w:eastAsia="zh-CN"/>
        </w:rPr>
      </w:pPr>
    </w:p>
    <w:p>
      <w:pPr>
        <w:spacing w:before="22"/>
        <w:ind w:left="3932" w:firstLine="2000" w:firstLineChars="8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投标人(盖公章)：</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1"/>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rPr>
          <w:rFonts w:asciiTheme="majorEastAsia" w:hAnsiTheme="majorEastAsia" w:eastAsiaTheme="majorEastAsia" w:cstheme="majorEastAsia"/>
          <w:sz w:val="20"/>
          <w:szCs w:val="20"/>
          <w:lang w:eastAsia="zh-CN"/>
        </w:rPr>
      </w:pPr>
    </w:p>
    <w:p>
      <w:pPr>
        <w:spacing w:before="176"/>
        <w:ind w:left="3454" w:firstLine="1500" w:firstLineChars="600"/>
        <w:rPr>
          <w:rFonts w:asciiTheme="majorEastAsia" w:hAnsiTheme="majorEastAsia" w:eastAsiaTheme="majorEastAsia" w:cstheme="majorEastAsia"/>
          <w:sz w:val="25"/>
          <w:szCs w:val="25"/>
          <w:lang w:eastAsia="zh-CN"/>
        </w:rPr>
      </w:pPr>
      <w:r>
        <w:rPr>
          <w:rFonts w:hint="eastAsia" w:asciiTheme="majorEastAsia" w:hAnsiTheme="majorEastAsia" w:eastAsiaTheme="majorEastAsia" w:cstheme="majorEastAsia"/>
          <w:sz w:val="25"/>
          <w:szCs w:val="25"/>
          <w:lang w:eastAsia="zh-CN"/>
        </w:rPr>
        <w:t>法定代表人(</w:t>
      </w:r>
      <w:r>
        <w:rPr>
          <w:rFonts w:hint="eastAsia" w:asciiTheme="majorEastAsia" w:hAnsiTheme="majorEastAsia" w:eastAsiaTheme="majorEastAsia" w:cstheme="majorEastAsia"/>
          <w:sz w:val="24"/>
          <w:szCs w:val="24"/>
          <w:lang w:eastAsia="zh-CN"/>
        </w:rPr>
        <w:t>签字或盖章</w:t>
      </w:r>
      <w:r>
        <w:rPr>
          <w:rFonts w:hint="eastAsia" w:asciiTheme="majorEastAsia" w:hAnsiTheme="majorEastAsia" w:eastAsiaTheme="majorEastAsia" w:cstheme="majorEastAsia"/>
          <w:sz w:val="25"/>
          <w:szCs w:val="25"/>
          <w:lang w:eastAsia="zh-CN"/>
        </w:rPr>
        <w:t>)：</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2"/>
          <w:sz w:val="25"/>
          <w:szCs w:val="25"/>
          <w:u w:val="single" w:color="000000"/>
          <w:lang w:eastAsia="zh-CN"/>
        </w:rPr>
        <w:t xml:space="preserve"> </w:t>
      </w:r>
      <w:r>
        <w:rPr>
          <w:rFonts w:hint="eastAsia" w:asciiTheme="majorEastAsia" w:hAnsiTheme="majorEastAsia" w:eastAsiaTheme="majorEastAsia" w:cstheme="majorEastAsia"/>
          <w:sz w:val="25"/>
          <w:szCs w:val="25"/>
          <w:u w:val="single" w:color="000000"/>
          <w:lang w:eastAsia="zh-CN"/>
        </w:rPr>
        <w:t xml:space="preserve">            </w:t>
      </w:r>
      <w:r>
        <w:rPr>
          <w:rFonts w:hint="eastAsia" w:asciiTheme="majorEastAsia" w:hAnsiTheme="majorEastAsia" w:eastAsiaTheme="majorEastAsia" w:cstheme="majorEastAsia"/>
          <w:spacing w:val="3"/>
          <w:sz w:val="25"/>
          <w:szCs w:val="25"/>
          <w:u w:val="single" w:color="000000"/>
          <w:lang w:eastAsia="zh-CN"/>
        </w:rPr>
        <w:t xml:space="preserve"> </w:t>
      </w:r>
      <w:r>
        <w:rPr>
          <w:rFonts w:hint="eastAsia" w:asciiTheme="majorEastAsia" w:hAnsiTheme="majorEastAsia" w:eastAsiaTheme="majorEastAsia" w:cstheme="majorEastAsia"/>
          <w:sz w:val="25"/>
          <w:szCs w:val="25"/>
          <w:lang w:eastAsia="zh-CN"/>
        </w:rPr>
        <w:t xml:space="preserve"> </w:t>
      </w:r>
    </w:p>
    <w:p>
      <w:pPr>
        <w:spacing w:before="157"/>
        <w:ind w:left="339"/>
        <w:jc w:val="center"/>
        <w:rPr>
          <w:rFonts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w w:val="99"/>
          <w:sz w:val="25"/>
          <w:lang w:eastAsia="zh-CN"/>
        </w:rPr>
        <w:t xml:space="preserve">                    </w:t>
      </w:r>
      <w:r>
        <w:rPr>
          <w:rFonts w:hint="eastAsia" w:asciiTheme="majorEastAsia" w:hAnsiTheme="majorEastAsia" w:eastAsiaTheme="majorEastAsia" w:cstheme="majorEastAsia"/>
          <w:sz w:val="24"/>
          <w:szCs w:val="24"/>
          <w:lang w:eastAsia="zh-CN"/>
        </w:rPr>
        <w:t xml:space="preserve">日期：      年     月     日 </w:t>
      </w:r>
    </w:p>
    <w:p>
      <w:pPr>
        <w:jc w:val="center"/>
        <w:rPr>
          <w:rFonts w:asciiTheme="majorEastAsia" w:hAnsiTheme="majorEastAsia" w:eastAsiaTheme="majorEastAsia" w:cstheme="majorEastAsia"/>
          <w:sz w:val="25"/>
          <w:szCs w:val="25"/>
          <w:lang w:eastAsia="zh-CN"/>
        </w:rPr>
        <w:sectPr>
          <w:pgSz w:w="16850" w:h="11910" w:orient="landscape"/>
          <w:pgMar w:top="1440" w:right="1800" w:bottom="1440" w:left="1800" w:header="0" w:footer="910" w:gutter="0"/>
          <w:cols w:space="720" w:num="1"/>
        </w:sectPr>
      </w:pPr>
    </w:p>
    <w:p>
      <w:pPr>
        <w:spacing w:before="190"/>
        <w:ind w:left="182"/>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七、评标办法中所涉及的事项需提供的所有资料</w:t>
      </w:r>
      <w:r>
        <w:rPr>
          <w:rFonts w:hint="eastAsia" w:asciiTheme="majorEastAsia" w:hAnsiTheme="majorEastAsia" w:eastAsiaTheme="majorEastAsia" w:cstheme="majorEastAsia"/>
          <w:b/>
          <w:bCs/>
          <w:w w:val="99"/>
          <w:sz w:val="30"/>
          <w:szCs w:val="30"/>
          <w:lang w:eastAsia="zh-CN"/>
        </w:rPr>
        <w:t xml:space="preserve"> </w:t>
      </w:r>
    </w:p>
    <w:p>
      <w:pPr>
        <w:spacing w:before="190"/>
        <w:ind w:left="184"/>
        <w:jc w:val="center"/>
        <w:rPr>
          <w:rFonts w:asciiTheme="majorEastAsia" w:hAnsiTheme="majorEastAsia" w:eastAsiaTheme="majorEastAsia" w:cstheme="majorEastAsia"/>
          <w:b/>
          <w:w w:val="99"/>
          <w:sz w:val="30"/>
          <w:lang w:eastAsia="zh-CN"/>
        </w:rPr>
      </w:pPr>
    </w:p>
    <w:p>
      <w:pPr>
        <w:spacing w:before="190"/>
        <w:ind w:left="184"/>
        <w:jc w:val="center"/>
        <w:rPr>
          <w:rFonts w:asciiTheme="majorEastAsia" w:hAnsiTheme="majorEastAsia" w:eastAsiaTheme="majorEastAsia" w:cstheme="majorEastAsia"/>
          <w:b/>
          <w:w w:val="99"/>
          <w:sz w:val="30"/>
          <w:lang w:eastAsia="zh-CN"/>
        </w:rPr>
      </w:pPr>
    </w:p>
    <w:p>
      <w:pPr>
        <w:spacing w:before="190"/>
        <w:ind w:left="184"/>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w w:val="99"/>
          <w:sz w:val="30"/>
          <w:lang w:eastAsia="zh-CN"/>
        </w:rPr>
        <w:t xml:space="preserve"> </w:t>
      </w:r>
    </w:p>
    <w:p>
      <w:pPr>
        <w:spacing w:before="193"/>
        <w:ind w:left="185"/>
        <w:jc w:val="center"/>
        <w:rPr>
          <w:rFonts w:asciiTheme="majorEastAsia" w:hAnsiTheme="majorEastAsia" w:eastAsiaTheme="majorEastAsia" w:cstheme="majorEastAsia"/>
          <w:sz w:val="30"/>
          <w:szCs w:val="30"/>
          <w:lang w:eastAsia="zh-CN"/>
        </w:rPr>
      </w:pPr>
      <w:r>
        <w:rPr>
          <w:rFonts w:hint="eastAsia" w:asciiTheme="majorEastAsia" w:hAnsiTheme="majorEastAsia" w:eastAsiaTheme="majorEastAsia" w:cstheme="majorEastAsia"/>
          <w:b/>
          <w:bCs/>
          <w:sz w:val="30"/>
          <w:szCs w:val="30"/>
          <w:lang w:eastAsia="zh-CN"/>
        </w:rPr>
        <w:t>八、评标办法中未涉及的事项，投标人认为需要提交的其他资料</w:t>
      </w:r>
      <w:r>
        <w:rPr>
          <w:rFonts w:hint="eastAsia" w:asciiTheme="majorEastAsia" w:hAnsiTheme="majorEastAsia" w:eastAsiaTheme="majorEastAsia" w:cstheme="majorEastAsia"/>
          <w:b/>
          <w:bCs/>
          <w:w w:val="99"/>
          <w:sz w:val="30"/>
          <w:szCs w:val="30"/>
          <w:lang w:eastAsia="zh-CN"/>
        </w:rPr>
        <w:t xml:space="preserve"> </w:t>
      </w:r>
    </w:p>
    <w:p>
      <w:pPr>
        <w:spacing w:before="11"/>
        <w:rPr>
          <w:rFonts w:asciiTheme="majorEastAsia" w:hAnsiTheme="majorEastAsia" w:eastAsiaTheme="majorEastAsia" w:cstheme="majorEastAsia"/>
          <w:b/>
          <w:bCs/>
          <w:sz w:val="12"/>
          <w:szCs w:val="12"/>
          <w:lang w:eastAsia="zh-CN"/>
        </w:rPr>
      </w:pPr>
    </w:p>
    <w:p>
      <w:pPr>
        <w:spacing w:before="36"/>
        <w:ind w:left="103"/>
        <w:rPr>
          <w:rFonts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lang w:eastAsia="zh-CN"/>
        </w:rPr>
        <w:t xml:space="preserve"> </w:t>
      </w:r>
    </w:p>
    <w:sectPr>
      <w:pgSz w:w="11910" w:h="16850"/>
      <w:pgMar w:top="1440" w:right="1800" w:bottom="1440" w:left="1800" w:header="0" w:footer="91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7216" behindDoc="1" locked="0" layoutInCell="1" allowOverlap="1">
              <wp:simplePos x="0" y="0"/>
              <wp:positionH relativeFrom="page">
                <wp:posOffset>3790315</wp:posOffset>
              </wp:positionH>
              <wp:positionV relativeFrom="page">
                <wp:posOffset>9935210</wp:posOffset>
              </wp:positionV>
              <wp:extent cx="217805" cy="1397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217805" cy="139700"/>
                      </a:xfrm>
                      <a:prstGeom prst="rect">
                        <a:avLst/>
                      </a:prstGeom>
                      <a:noFill/>
                      <a:ln>
                        <a:noFill/>
                      </a:ln>
                      <a:effectLst/>
                    </wps:spPr>
                    <wps:txbx>
                      <w:txbxContent>
                        <w:p>
                          <w:pPr>
                            <w:spacing w:line="204" w:lineRule="exact"/>
                            <w:ind w:left="20"/>
                            <w:rPr>
                              <w:rFonts w:ascii="Times New Roman" w:hAnsi="Times New Roman" w:eastAsia="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sz w:val="18"/>
                            </w:rPr>
                            <w:t>3</w:t>
                          </w:r>
                          <w:r>
                            <w:fldChar w:fldCharType="end"/>
                          </w:r>
                          <w:r>
                            <w:rPr>
                              <w:rFonts w:ascii="Times New Roman"/>
                              <w:spacing w:val="1"/>
                              <w:sz w:val="18"/>
                            </w:rPr>
                            <w:t xml:space="preserve"> </w:t>
                          </w:r>
                          <w:r>
                            <w:rPr>
                              <w:rFonts w:ascii="Times New Roman"/>
                              <w:sz w:val="18"/>
                            </w:rPr>
                            <w:t>-</w:t>
                          </w:r>
                        </w:p>
                      </w:txbxContent>
                    </wps:txbx>
                    <wps:bodyPr lIns="0" tIns="0" rIns="0" bIns="0" upright="1"/>
                  </wps:wsp>
                </a:graphicData>
              </a:graphic>
            </wp:anchor>
          </w:drawing>
        </mc:Choice>
        <mc:Fallback>
          <w:pict>
            <v:shape id="文本框 4" o:spid="_x0000_s1026" o:spt="202" type="#_x0000_t202" style="position:absolute;left:0pt;margin-left:298.45pt;margin-top:782.3pt;height:11pt;width:17.15pt;mso-position-horizontal-relative:page;mso-position-vertical-relative:page;z-index:-251659264;mso-width-relative:page;mso-height-relative:page;" filled="f" stroked="f" coordsize="21600,21600" o:gfxdata="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u3rrdoAAAANAQAA&#10;DwAAAAAAAAABACAAAAAiAAAAZHJzL2Rvd25yZXYueG1sUEsBAhQAFAAAAAgAh07iQODkgSSlAQAA&#10;MQMAAA4AAAAAAAAAAQAgAAAAKQEAAGRycy9lMm9Eb2MueG1sUEsFBgAAAAAGAAYAWQEAAEAFAAAA&#10;AA==&#10;">
              <v:fill on="f" focussize="0,0"/>
              <v:stroke on="f"/>
              <v:imagedata o:title=""/>
              <o:lock v:ext="edit" aspectratio="f"/>
              <v:textbox inset="0mm,0mm,0mm,0mm">
                <w:txbxContent>
                  <w:p>
                    <w:pPr>
                      <w:spacing w:line="204" w:lineRule="exact"/>
                      <w:ind w:left="20"/>
                      <w:rPr>
                        <w:rFonts w:ascii="Times New Roman" w:hAnsi="Times New Roman" w:eastAsia="Times New Roman" w:cs="Times New Roman"/>
                        <w:sz w:val="18"/>
                        <w:szCs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sz w:val="18"/>
                      </w:rPr>
                      <w:t>3</w:t>
                    </w:r>
                    <w:r>
                      <w:fldChar w:fldCharType="end"/>
                    </w:r>
                    <w:r>
                      <w:rPr>
                        <w:rFonts w:ascii="Times New Roman"/>
                        <w:spacing w:val="1"/>
                        <w:sz w:val="18"/>
                      </w:rPr>
                      <w:t xml:space="preserve"> </w:t>
                    </w:r>
                    <w:r>
                      <w:rPr>
                        <w:rFonts w:ascii="Times New Roman"/>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8240" behindDoc="1" locked="0" layoutInCell="1" allowOverlap="1">
              <wp:simplePos x="0" y="0"/>
              <wp:positionH relativeFrom="page">
                <wp:posOffset>3733165</wp:posOffset>
              </wp:positionH>
              <wp:positionV relativeFrom="page">
                <wp:posOffset>9976485</wp:posOffset>
              </wp:positionV>
              <wp:extent cx="167005" cy="1397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21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95pt;margin-top:785.55pt;height:11pt;width:13.15pt;mso-position-horizontal-relative:page;mso-position-vertical-relative:page;z-index:-251658240;mso-width-relative:page;mso-height-relative:page;" filled="f" stroked="f" coordsize="21600,21600" o:gfxdata="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P8QCe2wAAAA0BAAAPAAAA&#10;AAAAAAEAIAAAACIAAABkcnMvZG93bnJldi54bWxQSwECFAAUAAAACACHTuJAhWkn+qABAAAxAwAA&#10;DgAAAAAAAAABACAAAAAqAQAAZHJzL2Uyb0RvYy54bWxQSwUGAAAAAAYABgBZAQAAPAUAAAAA&#10;">
              <v:fill on="f" focussize="0,0"/>
              <v:stroke on="f"/>
              <v:imagedata o:title=""/>
              <o:lock v:ext="edit" aspectratio="f"/>
              <v:textbox inset="0mm,0mm,0mm,0mm">
                <w:txbxContent>
                  <w:p>
                    <w:pPr>
                      <w:spacing w:line="204" w:lineRule="exact"/>
                      <w:ind w:left="40"/>
                      <w:rPr>
                        <w:rFonts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rPr>
                        <w:rFonts w:ascii="Times New Roman"/>
                        <w:sz w:val="18"/>
                      </w:rP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FA"/>
    <w:rsid w:val="00010036"/>
    <w:rsid w:val="00013AED"/>
    <w:rsid w:val="00015130"/>
    <w:rsid w:val="00041A74"/>
    <w:rsid w:val="00043909"/>
    <w:rsid w:val="00060B54"/>
    <w:rsid w:val="000614E2"/>
    <w:rsid w:val="000717E5"/>
    <w:rsid w:val="00096393"/>
    <w:rsid w:val="000A7EA9"/>
    <w:rsid w:val="000B4F00"/>
    <w:rsid w:val="000C28CA"/>
    <w:rsid w:val="000C5BB9"/>
    <w:rsid w:val="000D0995"/>
    <w:rsid w:val="000D354B"/>
    <w:rsid w:val="000F567E"/>
    <w:rsid w:val="0010331F"/>
    <w:rsid w:val="00121F22"/>
    <w:rsid w:val="00122FD1"/>
    <w:rsid w:val="00130224"/>
    <w:rsid w:val="00137CF5"/>
    <w:rsid w:val="00150B35"/>
    <w:rsid w:val="0015239A"/>
    <w:rsid w:val="00172AD1"/>
    <w:rsid w:val="001A2C03"/>
    <w:rsid w:val="001A364F"/>
    <w:rsid w:val="001B1F5E"/>
    <w:rsid w:val="001C3732"/>
    <w:rsid w:val="001C5172"/>
    <w:rsid w:val="001D2E30"/>
    <w:rsid w:val="001D31DB"/>
    <w:rsid w:val="001D6C33"/>
    <w:rsid w:val="001D7B6E"/>
    <w:rsid w:val="001E0CED"/>
    <w:rsid w:val="001E58EE"/>
    <w:rsid w:val="001F022D"/>
    <w:rsid w:val="001F08B8"/>
    <w:rsid w:val="001F4115"/>
    <w:rsid w:val="001F79E8"/>
    <w:rsid w:val="00201C8F"/>
    <w:rsid w:val="00212837"/>
    <w:rsid w:val="00213888"/>
    <w:rsid w:val="00216D54"/>
    <w:rsid w:val="00231FAC"/>
    <w:rsid w:val="0024170D"/>
    <w:rsid w:val="00250083"/>
    <w:rsid w:val="0025271B"/>
    <w:rsid w:val="00256A65"/>
    <w:rsid w:val="002639E3"/>
    <w:rsid w:val="00285E64"/>
    <w:rsid w:val="002900CC"/>
    <w:rsid w:val="002B2D1B"/>
    <w:rsid w:val="002D4CEF"/>
    <w:rsid w:val="002E5DBA"/>
    <w:rsid w:val="00300A9B"/>
    <w:rsid w:val="00320DF0"/>
    <w:rsid w:val="00323185"/>
    <w:rsid w:val="00333316"/>
    <w:rsid w:val="00333A18"/>
    <w:rsid w:val="00351451"/>
    <w:rsid w:val="00351C6D"/>
    <w:rsid w:val="00364D2F"/>
    <w:rsid w:val="00367AE1"/>
    <w:rsid w:val="003713DE"/>
    <w:rsid w:val="00382D28"/>
    <w:rsid w:val="003928DA"/>
    <w:rsid w:val="003948C2"/>
    <w:rsid w:val="003A37C2"/>
    <w:rsid w:val="003B63FA"/>
    <w:rsid w:val="003B7199"/>
    <w:rsid w:val="003C63D8"/>
    <w:rsid w:val="003C6A45"/>
    <w:rsid w:val="003D1F5C"/>
    <w:rsid w:val="003E15EA"/>
    <w:rsid w:val="003E34D7"/>
    <w:rsid w:val="003E6510"/>
    <w:rsid w:val="003F1C02"/>
    <w:rsid w:val="00402290"/>
    <w:rsid w:val="00403C50"/>
    <w:rsid w:val="00407F6F"/>
    <w:rsid w:val="00412597"/>
    <w:rsid w:val="004211E1"/>
    <w:rsid w:val="00423CB2"/>
    <w:rsid w:val="0043391C"/>
    <w:rsid w:val="004410B6"/>
    <w:rsid w:val="00455E05"/>
    <w:rsid w:val="00477DD7"/>
    <w:rsid w:val="00484A6C"/>
    <w:rsid w:val="00494820"/>
    <w:rsid w:val="004B1FFE"/>
    <w:rsid w:val="004B21BC"/>
    <w:rsid w:val="004B5717"/>
    <w:rsid w:val="004C4717"/>
    <w:rsid w:val="004E3B61"/>
    <w:rsid w:val="00504721"/>
    <w:rsid w:val="0051066A"/>
    <w:rsid w:val="00516727"/>
    <w:rsid w:val="005171DC"/>
    <w:rsid w:val="00527EE0"/>
    <w:rsid w:val="0054201D"/>
    <w:rsid w:val="00552AFD"/>
    <w:rsid w:val="00557C57"/>
    <w:rsid w:val="005625C3"/>
    <w:rsid w:val="00585072"/>
    <w:rsid w:val="005918FC"/>
    <w:rsid w:val="005A3E9F"/>
    <w:rsid w:val="005B014E"/>
    <w:rsid w:val="005C6068"/>
    <w:rsid w:val="005C7ED3"/>
    <w:rsid w:val="005D0E43"/>
    <w:rsid w:val="005D1149"/>
    <w:rsid w:val="005E643D"/>
    <w:rsid w:val="005F2679"/>
    <w:rsid w:val="00606F8D"/>
    <w:rsid w:val="006313E3"/>
    <w:rsid w:val="00634694"/>
    <w:rsid w:val="00652275"/>
    <w:rsid w:val="00660AA2"/>
    <w:rsid w:val="00663151"/>
    <w:rsid w:val="0066527E"/>
    <w:rsid w:val="00692BD3"/>
    <w:rsid w:val="006A2FC4"/>
    <w:rsid w:val="006B71F1"/>
    <w:rsid w:val="006C487C"/>
    <w:rsid w:val="006C74B5"/>
    <w:rsid w:val="006D6BB2"/>
    <w:rsid w:val="006E6692"/>
    <w:rsid w:val="007040E5"/>
    <w:rsid w:val="00704D76"/>
    <w:rsid w:val="00707627"/>
    <w:rsid w:val="00707A78"/>
    <w:rsid w:val="00712D76"/>
    <w:rsid w:val="00725890"/>
    <w:rsid w:val="00752BE6"/>
    <w:rsid w:val="0075608F"/>
    <w:rsid w:val="00762DC6"/>
    <w:rsid w:val="00763819"/>
    <w:rsid w:val="00771CAF"/>
    <w:rsid w:val="00776EF5"/>
    <w:rsid w:val="00777E11"/>
    <w:rsid w:val="007865EA"/>
    <w:rsid w:val="007A175E"/>
    <w:rsid w:val="007A5CDA"/>
    <w:rsid w:val="007B2CA8"/>
    <w:rsid w:val="007C718D"/>
    <w:rsid w:val="007E480E"/>
    <w:rsid w:val="007F2019"/>
    <w:rsid w:val="008017C0"/>
    <w:rsid w:val="00812F21"/>
    <w:rsid w:val="008178F5"/>
    <w:rsid w:val="00833FFB"/>
    <w:rsid w:val="00836232"/>
    <w:rsid w:val="00851C70"/>
    <w:rsid w:val="00854C77"/>
    <w:rsid w:val="008678C8"/>
    <w:rsid w:val="00883E98"/>
    <w:rsid w:val="00887DAF"/>
    <w:rsid w:val="008932CB"/>
    <w:rsid w:val="008C2355"/>
    <w:rsid w:val="008D1A85"/>
    <w:rsid w:val="008D5DB9"/>
    <w:rsid w:val="008F2AD5"/>
    <w:rsid w:val="00911DCC"/>
    <w:rsid w:val="00940F5D"/>
    <w:rsid w:val="0094534E"/>
    <w:rsid w:val="00951EC0"/>
    <w:rsid w:val="00976FC4"/>
    <w:rsid w:val="009775D0"/>
    <w:rsid w:val="009A2038"/>
    <w:rsid w:val="009E44CA"/>
    <w:rsid w:val="00A31D79"/>
    <w:rsid w:val="00A367CD"/>
    <w:rsid w:val="00A4197B"/>
    <w:rsid w:val="00A510E2"/>
    <w:rsid w:val="00A61A86"/>
    <w:rsid w:val="00A63DD9"/>
    <w:rsid w:val="00A67760"/>
    <w:rsid w:val="00A80B57"/>
    <w:rsid w:val="00A84E66"/>
    <w:rsid w:val="00A924E1"/>
    <w:rsid w:val="00A9619F"/>
    <w:rsid w:val="00AA0353"/>
    <w:rsid w:val="00AA5A0D"/>
    <w:rsid w:val="00AB3421"/>
    <w:rsid w:val="00AB5046"/>
    <w:rsid w:val="00AC231B"/>
    <w:rsid w:val="00AC2CF8"/>
    <w:rsid w:val="00AD4333"/>
    <w:rsid w:val="00AD4C8F"/>
    <w:rsid w:val="00AE6350"/>
    <w:rsid w:val="00AF5C5F"/>
    <w:rsid w:val="00AF7ED7"/>
    <w:rsid w:val="00B051D6"/>
    <w:rsid w:val="00B05801"/>
    <w:rsid w:val="00B24F94"/>
    <w:rsid w:val="00B65888"/>
    <w:rsid w:val="00B828E1"/>
    <w:rsid w:val="00B9641E"/>
    <w:rsid w:val="00BB246C"/>
    <w:rsid w:val="00BB3623"/>
    <w:rsid w:val="00BC1A2D"/>
    <w:rsid w:val="00BC7290"/>
    <w:rsid w:val="00BE243E"/>
    <w:rsid w:val="00BE617B"/>
    <w:rsid w:val="00BF3FF5"/>
    <w:rsid w:val="00BF482D"/>
    <w:rsid w:val="00C128BE"/>
    <w:rsid w:val="00C14B99"/>
    <w:rsid w:val="00C23292"/>
    <w:rsid w:val="00C235CD"/>
    <w:rsid w:val="00C25628"/>
    <w:rsid w:val="00C3662C"/>
    <w:rsid w:val="00C461B3"/>
    <w:rsid w:val="00C51991"/>
    <w:rsid w:val="00C7181A"/>
    <w:rsid w:val="00C95C75"/>
    <w:rsid w:val="00CA2344"/>
    <w:rsid w:val="00CB1C3C"/>
    <w:rsid w:val="00CB2335"/>
    <w:rsid w:val="00CB34AA"/>
    <w:rsid w:val="00CC4CE1"/>
    <w:rsid w:val="00CF3D27"/>
    <w:rsid w:val="00D04E41"/>
    <w:rsid w:val="00D558DD"/>
    <w:rsid w:val="00D75002"/>
    <w:rsid w:val="00D76566"/>
    <w:rsid w:val="00D87031"/>
    <w:rsid w:val="00D90049"/>
    <w:rsid w:val="00DA1105"/>
    <w:rsid w:val="00DA69A6"/>
    <w:rsid w:val="00DC43ED"/>
    <w:rsid w:val="00DD1EC6"/>
    <w:rsid w:val="00DE632F"/>
    <w:rsid w:val="00DF142D"/>
    <w:rsid w:val="00E118B8"/>
    <w:rsid w:val="00E1258F"/>
    <w:rsid w:val="00E27BDD"/>
    <w:rsid w:val="00E60A6C"/>
    <w:rsid w:val="00E7272D"/>
    <w:rsid w:val="00E75CBE"/>
    <w:rsid w:val="00E8493E"/>
    <w:rsid w:val="00E9058E"/>
    <w:rsid w:val="00EA5B4A"/>
    <w:rsid w:val="00EA6CD0"/>
    <w:rsid w:val="00EB65E8"/>
    <w:rsid w:val="00ED4F95"/>
    <w:rsid w:val="00EE402E"/>
    <w:rsid w:val="00EF44DF"/>
    <w:rsid w:val="00F258A0"/>
    <w:rsid w:val="00F27EB2"/>
    <w:rsid w:val="00F36F19"/>
    <w:rsid w:val="00F73D9A"/>
    <w:rsid w:val="00F75A4C"/>
    <w:rsid w:val="00F7702C"/>
    <w:rsid w:val="00F91560"/>
    <w:rsid w:val="00FA3B79"/>
    <w:rsid w:val="00FC14BA"/>
    <w:rsid w:val="00FC20E8"/>
    <w:rsid w:val="00FC42FD"/>
    <w:rsid w:val="00FC4625"/>
    <w:rsid w:val="00FC726E"/>
    <w:rsid w:val="00FD5CF8"/>
    <w:rsid w:val="00FE4FBC"/>
    <w:rsid w:val="00FE7E20"/>
    <w:rsid w:val="00FF3C7D"/>
    <w:rsid w:val="0B8F1D58"/>
    <w:rsid w:val="12F0161F"/>
    <w:rsid w:val="15496141"/>
    <w:rsid w:val="19E35034"/>
    <w:rsid w:val="21611010"/>
    <w:rsid w:val="229129A8"/>
    <w:rsid w:val="24FD6CEE"/>
    <w:rsid w:val="2EAD25B5"/>
    <w:rsid w:val="368D4C89"/>
    <w:rsid w:val="3F5D0A08"/>
    <w:rsid w:val="411A7200"/>
    <w:rsid w:val="43A636ED"/>
    <w:rsid w:val="4AFF748B"/>
    <w:rsid w:val="4E407EAD"/>
    <w:rsid w:val="543E397F"/>
    <w:rsid w:val="54E71546"/>
    <w:rsid w:val="55AD451A"/>
    <w:rsid w:val="56BC7251"/>
    <w:rsid w:val="5CEE7F73"/>
    <w:rsid w:val="62DF6554"/>
    <w:rsid w:val="62EF5CF8"/>
    <w:rsid w:val="6A3B1AB8"/>
    <w:rsid w:val="7C433ED2"/>
    <w:rsid w:val="7FCF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ind w:left="100"/>
      <w:outlineLvl w:val="0"/>
    </w:pPr>
    <w:rPr>
      <w:rFonts w:ascii="宋体" w:hAnsi="宋体" w:eastAsia="宋体"/>
      <w:b/>
      <w:bCs/>
      <w:sz w:val="44"/>
      <w:szCs w:val="44"/>
    </w:rPr>
  </w:style>
  <w:style w:type="paragraph" w:styleId="3">
    <w:name w:val="heading 2"/>
    <w:basedOn w:val="1"/>
    <w:next w:val="1"/>
    <w:qFormat/>
    <w:uiPriority w:val="1"/>
    <w:pPr>
      <w:ind w:left="329"/>
      <w:outlineLvl w:val="1"/>
    </w:pPr>
    <w:rPr>
      <w:rFonts w:ascii="宋体" w:hAnsi="宋体" w:eastAsia="宋体"/>
      <w:b/>
      <w:bCs/>
      <w:sz w:val="36"/>
      <w:szCs w:val="36"/>
    </w:rPr>
  </w:style>
  <w:style w:type="paragraph" w:styleId="4">
    <w:name w:val="heading 3"/>
    <w:basedOn w:val="1"/>
    <w:next w:val="1"/>
    <w:qFormat/>
    <w:uiPriority w:val="1"/>
    <w:pPr>
      <w:spacing w:before="190"/>
      <w:ind w:left="184"/>
      <w:outlineLvl w:val="2"/>
    </w:pPr>
    <w:rPr>
      <w:rFonts w:ascii="宋体" w:hAnsi="宋体" w:eastAsia="宋体"/>
      <w:b/>
      <w:bCs/>
      <w:sz w:val="30"/>
      <w:szCs w:val="30"/>
    </w:rPr>
  </w:style>
  <w:style w:type="paragraph" w:styleId="5">
    <w:name w:val="heading 4"/>
    <w:basedOn w:val="1"/>
    <w:next w:val="1"/>
    <w:qFormat/>
    <w:uiPriority w:val="1"/>
    <w:pPr>
      <w:spacing w:before="14"/>
      <w:ind w:left="400"/>
      <w:outlineLvl w:val="3"/>
    </w:pPr>
    <w:rPr>
      <w:rFonts w:ascii="宋体" w:hAnsi="宋体" w:eastAsia="宋体"/>
      <w:b/>
      <w:bCs/>
      <w:sz w:val="28"/>
      <w:szCs w:val="28"/>
    </w:rPr>
  </w:style>
  <w:style w:type="paragraph" w:styleId="6">
    <w:name w:val="heading 5"/>
    <w:basedOn w:val="1"/>
    <w:next w:val="1"/>
    <w:qFormat/>
    <w:uiPriority w:val="1"/>
    <w:pPr>
      <w:spacing w:before="14"/>
      <w:ind w:left="119"/>
      <w:outlineLvl w:val="4"/>
    </w:pPr>
    <w:rPr>
      <w:rFonts w:ascii="宋体" w:hAnsi="宋体" w:eastAsia="宋体"/>
      <w:sz w:val="28"/>
      <w:szCs w:val="28"/>
    </w:rPr>
  </w:style>
  <w:style w:type="paragraph" w:styleId="7">
    <w:name w:val="heading 6"/>
    <w:basedOn w:val="1"/>
    <w:next w:val="1"/>
    <w:qFormat/>
    <w:uiPriority w:val="1"/>
    <w:pPr>
      <w:spacing w:before="154"/>
      <w:ind w:left="103"/>
      <w:outlineLvl w:val="5"/>
    </w:pPr>
    <w:rPr>
      <w:rFonts w:ascii="宋体" w:hAnsi="宋体" w:eastAsia="宋体"/>
      <w:b/>
      <w:bCs/>
      <w:sz w:val="24"/>
      <w:szCs w:val="24"/>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Body Text"/>
    <w:basedOn w:val="1"/>
    <w:qFormat/>
    <w:uiPriority w:val="1"/>
    <w:pPr>
      <w:spacing w:before="34"/>
      <w:ind w:left="103"/>
    </w:pPr>
    <w:rPr>
      <w:rFonts w:ascii="宋体" w:hAnsi="宋体" w:eastAsia="宋体"/>
      <w:sz w:val="24"/>
      <w:szCs w:val="24"/>
    </w:rPr>
  </w:style>
  <w:style w:type="paragraph" w:styleId="9">
    <w:name w:val="Plain Text"/>
    <w:basedOn w:val="1"/>
    <w:link w:val="20"/>
    <w:qFormat/>
    <w:uiPriority w:val="0"/>
    <w:pPr>
      <w:jc w:val="both"/>
    </w:pPr>
    <w:rPr>
      <w:rFonts w:ascii="宋体" w:hAnsi="Courier New" w:eastAsia="宋体" w:cs="Courier New"/>
      <w:szCs w:val="21"/>
    </w:rPr>
  </w:style>
  <w:style w:type="paragraph" w:styleId="10">
    <w:name w:val="footer"/>
    <w:basedOn w:val="1"/>
    <w:unhideWhenUsed/>
    <w:qFormat/>
    <w:uiPriority w:val="0"/>
    <w:pPr>
      <w:tabs>
        <w:tab w:val="center" w:pos="4153"/>
        <w:tab w:val="right" w:pos="8306"/>
      </w:tabs>
      <w:snapToGrid w:val="0"/>
    </w:pPr>
    <w:rPr>
      <w:sz w:val="18"/>
    </w:rPr>
  </w:style>
  <w:style w:type="paragraph" w:styleId="11">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3">
    <w:name w:val="Table Grid"/>
    <w:basedOn w:val="12"/>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qFormat/>
    <w:uiPriority w:val="1"/>
  </w:style>
  <w:style w:type="paragraph" w:customStyle="1" w:styleId="18">
    <w:name w:val="Table Paragraph"/>
    <w:basedOn w:val="1"/>
    <w:qFormat/>
    <w:uiPriority w:val="1"/>
  </w:style>
  <w:style w:type="paragraph" w:customStyle="1" w:styleId="19">
    <w:name w:val="p0"/>
    <w:basedOn w:val="1"/>
    <w:qFormat/>
    <w:uiPriority w:val="0"/>
    <w:pPr>
      <w:widowControl/>
      <w:spacing w:before="100" w:beforeAutospacing="1" w:after="100" w:afterAutospacing="1"/>
    </w:pPr>
    <w:rPr>
      <w:rFonts w:ascii="宋体" w:hAnsi="宋体" w:eastAsia="宋体" w:cs="宋体"/>
      <w:sz w:val="24"/>
      <w:szCs w:val="24"/>
      <w:lang w:eastAsia="zh-CN"/>
    </w:rPr>
  </w:style>
  <w:style w:type="character" w:customStyle="1" w:styleId="20">
    <w:name w:val="纯文本 Char1"/>
    <w:link w:val="9"/>
    <w:qFormat/>
    <w:uiPriority w:val="0"/>
    <w:rPr>
      <w:rFonts w:ascii="宋体" w:hAnsi="Courier New" w:eastAsia="宋体" w:cs="Courier New"/>
      <w:szCs w:val="21"/>
    </w:rPr>
  </w:style>
  <w:style w:type="character" w:customStyle="1" w:styleId="21">
    <w:name w:val="纯文本 Char"/>
    <w:basedOn w:val="14"/>
    <w:semiHidden/>
    <w:qFormat/>
    <w:uiPriority w:val="99"/>
    <w:rPr>
      <w:rFonts w:ascii="宋体" w:hAnsi="Courier New" w:eastAsia="宋体" w:cs="Courier New"/>
      <w:sz w:val="21"/>
      <w:szCs w:val="21"/>
    </w:rPr>
  </w:style>
  <w:style w:type="character" w:customStyle="1" w:styleId="22">
    <w:name w:val="textcontents"/>
    <w:basedOn w:val="1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27</Pages>
  <Words>2227</Words>
  <Characters>12697</Characters>
  <Lines>105</Lines>
  <Paragraphs>29</Paragraphs>
  <TotalTime>4027</TotalTime>
  <ScaleCrop>false</ScaleCrop>
  <LinksUpToDate>false</LinksUpToDate>
  <CharactersWithSpaces>14895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2019-01-28T09:24:00Z</dcterms:created>
  <dc:creator>526710</dc:creator>
  <cp:lastModifiedBy>言月田</cp:lastModifiedBy>
  <cp:lastPrinted>2020-09-11T01:11:50Z</cp:lastPrinted>
  <dcterms:modified xsi:type="dcterms:W3CDTF">2020-09-11T01:29:57Z</dcterms:modified>
  <dc:title>海门港新区红中小区工程招标代理</dc:title>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2016</vt:lpwstr>
  </property>
  <property fmtid="{D5CDD505-2E9C-101B-9397-08002B2CF9AE}" pid="4" name="LastSaved">
    <vt:filetime>2019-01-28T00:00:00Z</vt:filetime>
  </property>
  <property fmtid="{D5CDD505-2E9C-101B-9397-08002B2CF9AE}" pid="5" name="KSOProductBuildVer">
    <vt:lpwstr>2052-11.1.0.9912</vt:lpwstr>
  </property>
</Properties>
</file>